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spacing w:line="54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朝阳区人民政府大屯街道办事处2021年政府信息公开工作年度报告</w:t>
      </w:r>
    </w:p>
    <w:p>
      <w:pPr>
        <w:spacing w:line="560" w:lineRule="exact"/>
        <w:jc w:val="center"/>
        <w:rPr>
          <w:sz w:val="44"/>
          <w:szCs w:val="44"/>
        </w:rPr>
      </w:pPr>
    </w:p>
    <w:p>
      <w:pPr>
        <w:widowControl/>
        <w:spacing w:line="560" w:lineRule="exact"/>
        <w:ind w:firstLine="672" w:firstLineChars="200"/>
        <w:jc w:val="left"/>
        <w:rPr>
          <w:rFonts w:ascii="仿宋_GB2312" w:hAnsi="宋体" w:eastAsia="仿宋_GB2312" w:cs="宋体"/>
          <w:spacing w:val="8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</w:rPr>
        <w:t>依据《中华人民共和国政府信息公开条例》(以下简称《政府信息公开条例》)第五十条规定，编制本报告。</w:t>
      </w:r>
    </w:p>
    <w:p>
      <w:pPr>
        <w:widowControl/>
        <w:spacing w:line="560" w:lineRule="exact"/>
        <w:ind w:firstLine="672" w:firstLineChars="200"/>
        <w:jc w:val="left"/>
        <w:rPr>
          <w:rFonts w:ascii="黑体" w:hAnsi="宋体" w:eastAsia="黑体" w:cs="宋体"/>
          <w:spacing w:val="8"/>
          <w:kern w:val="0"/>
          <w:sz w:val="32"/>
          <w:szCs w:val="32"/>
        </w:rPr>
      </w:pPr>
      <w:r>
        <w:rPr>
          <w:rFonts w:hint="eastAsia" w:ascii="黑体" w:hAnsi="宋体" w:eastAsia="黑体" w:cs="宋体"/>
          <w:spacing w:val="8"/>
          <w:kern w:val="0"/>
          <w:sz w:val="32"/>
          <w:szCs w:val="32"/>
        </w:rPr>
        <w:t>一、总体情况</w:t>
      </w:r>
    </w:p>
    <w:p>
      <w:pPr>
        <w:widowControl/>
        <w:spacing w:line="560" w:lineRule="exact"/>
        <w:ind w:firstLine="675"/>
        <w:jc w:val="left"/>
        <w:rPr>
          <w:rFonts w:hint="eastAsia" w:eastAsia="仿宋_GB2312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lang w:val="en-US" w:eastAsia="zh-CN"/>
        </w:rPr>
        <w:t>2021年，大屯</w:t>
      </w:r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  <w:t>街道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以习近平新时代中国特色社会主义思想为指导，深入贯彻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>党的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十九大和十九届二中、三中、四中</w:t>
      </w:r>
      <w:r>
        <w:rPr>
          <w:rFonts w:hint="eastAsia" w:eastAsia="仿宋_GB2312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五中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>及六中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全会精神，</w:t>
      </w:r>
      <w:r>
        <w:rPr>
          <w:rFonts w:eastAsia="仿宋_GB2312"/>
          <w:color w:val="000000"/>
          <w:sz w:val="32"/>
          <w:szCs w:val="32"/>
        </w:rPr>
        <w:t>认真落实党中央、国务院、市委市政府、区委区政府关于全面推进政务公开工作的系列部署，</w:t>
      </w:r>
      <w:r>
        <w:rPr>
          <w:rFonts w:hint="eastAsia" w:eastAsia="仿宋_GB2312"/>
          <w:color w:val="000000"/>
          <w:sz w:val="32"/>
          <w:szCs w:val="32"/>
        </w:rPr>
        <w:t>全面落实</w:t>
      </w:r>
      <w:r>
        <w:rPr>
          <w:rFonts w:eastAsia="仿宋_GB2312"/>
          <w:color w:val="000000"/>
          <w:sz w:val="32"/>
          <w:szCs w:val="32"/>
        </w:rPr>
        <w:t>《中华人民共和国政府信息公开条例》</w:t>
      </w:r>
      <w:r>
        <w:rPr>
          <w:rFonts w:hint="eastAsia" w:eastAsia="仿宋_GB2312"/>
          <w:color w:val="000000"/>
          <w:sz w:val="32"/>
          <w:szCs w:val="32"/>
          <w:lang w:eastAsia="zh-CN"/>
        </w:rPr>
        <w:t>，</w:t>
      </w:r>
      <w:r>
        <w:rPr>
          <w:rFonts w:hint="eastAsia" w:eastAsia="仿宋_GB2312"/>
          <w:color w:val="000000"/>
          <w:sz w:val="32"/>
          <w:szCs w:val="32"/>
        </w:rPr>
        <w:t>积极回应人民群众对于政府信息公开的需求，确保人民群众依法获取政府信息，</w:t>
      </w:r>
      <w:r>
        <w:rPr>
          <w:rFonts w:eastAsia="仿宋_GB2312"/>
          <w:color w:val="000000"/>
          <w:sz w:val="32"/>
          <w:szCs w:val="32"/>
        </w:rPr>
        <w:t>围绕街道</w:t>
      </w:r>
      <w:r>
        <w:rPr>
          <w:rFonts w:hint="eastAsia" w:eastAsia="仿宋_GB2312"/>
          <w:color w:val="000000"/>
          <w:sz w:val="32"/>
          <w:szCs w:val="32"/>
        </w:rPr>
        <w:t>主体</w:t>
      </w:r>
      <w:r>
        <w:rPr>
          <w:rFonts w:eastAsia="仿宋_GB2312"/>
          <w:color w:val="000000"/>
          <w:sz w:val="32"/>
          <w:szCs w:val="32"/>
        </w:rPr>
        <w:t>工作，</w:t>
      </w:r>
      <w:r>
        <w:rPr>
          <w:rFonts w:hint="eastAsia" w:eastAsia="仿宋_GB2312"/>
          <w:color w:val="000000"/>
          <w:sz w:val="32"/>
          <w:szCs w:val="32"/>
          <w:lang w:val="en-US" w:eastAsia="zh-CN"/>
        </w:rPr>
        <w:t>加强组织领导，</w:t>
      </w:r>
      <w:r>
        <w:rPr>
          <w:rFonts w:eastAsia="仿宋_GB2312"/>
          <w:color w:val="000000"/>
          <w:sz w:val="32"/>
          <w:szCs w:val="32"/>
        </w:rPr>
        <w:t>全面推进决策、执行、管理、服务、结果公开</w:t>
      </w:r>
      <w:r>
        <w:rPr>
          <w:rFonts w:hint="eastAsia" w:eastAsia="仿宋_GB2312"/>
          <w:color w:val="000000"/>
          <w:sz w:val="32"/>
          <w:szCs w:val="32"/>
          <w:lang w:eastAsia="zh-CN"/>
        </w:rPr>
        <w:t>。</w:t>
      </w:r>
      <w:r>
        <w:rPr>
          <w:rFonts w:eastAsia="仿宋_GB2312"/>
          <w:color w:val="000000"/>
          <w:kern w:val="0"/>
          <w:sz w:val="32"/>
          <w:szCs w:val="32"/>
        </w:rPr>
        <w:t>采取以会代训的方式</w:t>
      </w:r>
      <w:r>
        <w:rPr>
          <w:rFonts w:hint="eastAsia" w:eastAsia="仿宋_GB2312"/>
          <w:color w:val="000000"/>
          <w:kern w:val="0"/>
          <w:sz w:val="32"/>
          <w:szCs w:val="32"/>
          <w:lang w:eastAsia="zh-CN"/>
        </w:rPr>
        <w:t>，</w:t>
      </w:r>
      <w:r>
        <w:rPr>
          <w:rFonts w:eastAsia="仿宋_GB2312"/>
          <w:color w:val="000000"/>
          <w:kern w:val="0"/>
          <w:sz w:val="32"/>
          <w:szCs w:val="32"/>
        </w:rPr>
        <w:t>组织召开大屯街道政务公开工作会议，组织主管政务公开工作的分管领导和具体工作人员进行</w:t>
      </w:r>
      <w:r>
        <w:rPr>
          <w:rFonts w:hint="eastAsia" w:eastAsia="仿宋_GB2312"/>
          <w:color w:val="000000"/>
          <w:kern w:val="0"/>
          <w:sz w:val="32"/>
          <w:szCs w:val="32"/>
          <w:lang w:val="en-US" w:eastAsia="zh-CN"/>
        </w:rPr>
        <w:t>教育</w:t>
      </w:r>
      <w:r>
        <w:rPr>
          <w:rFonts w:eastAsia="仿宋_GB2312"/>
          <w:color w:val="000000"/>
          <w:kern w:val="0"/>
          <w:sz w:val="32"/>
          <w:szCs w:val="32"/>
        </w:rPr>
        <w:t>培训。</w:t>
      </w:r>
      <w:r>
        <w:rPr>
          <w:rFonts w:eastAsia="仿宋_GB2312"/>
          <w:color w:val="000000"/>
          <w:sz w:val="32"/>
          <w:szCs w:val="32"/>
        </w:rPr>
        <w:t>加强政策解读、扩大公众参与</w:t>
      </w:r>
      <w:r>
        <w:rPr>
          <w:rFonts w:hint="eastAsia" w:eastAsia="仿宋_GB2312"/>
          <w:color w:val="000000"/>
          <w:sz w:val="32"/>
          <w:szCs w:val="32"/>
          <w:lang w:eastAsia="zh-CN"/>
        </w:rPr>
        <w:t>。</w:t>
      </w:r>
      <w:r>
        <w:rPr>
          <w:rFonts w:hint="eastAsia" w:eastAsia="仿宋_GB2312"/>
          <w:color w:val="000000"/>
          <w:sz w:val="32"/>
          <w:szCs w:val="32"/>
        </w:rPr>
        <w:t>有序</w:t>
      </w:r>
      <w:r>
        <w:rPr>
          <w:rFonts w:hint="eastAsia" w:eastAsia="仿宋_GB2312"/>
          <w:color w:val="000000"/>
          <w:sz w:val="32"/>
          <w:szCs w:val="32"/>
          <w:lang w:val="en-US" w:eastAsia="zh-CN"/>
        </w:rPr>
        <w:t>开展</w:t>
      </w:r>
      <w:r>
        <w:rPr>
          <w:rFonts w:hint="eastAsia" w:eastAsia="仿宋_GB2312"/>
          <w:color w:val="000000"/>
          <w:sz w:val="32"/>
          <w:szCs w:val="32"/>
        </w:rPr>
        <w:t>政府信息公开</w:t>
      </w:r>
      <w:r>
        <w:rPr>
          <w:rFonts w:hint="eastAsia" w:eastAsia="仿宋_GB2312"/>
          <w:color w:val="000000"/>
          <w:sz w:val="32"/>
          <w:szCs w:val="32"/>
          <w:lang w:val="en-US" w:eastAsia="zh-CN"/>
        </w:rPr>
        <w:t>工作、提升政府信息管理水平，做好政府信息公开监督保障工作</w:t>
      </w:r>
      <w:bookmarkStart w:id="0" w:name="_GoBack"/>
      <w:bookmarkEnd w:id="0"/>
      <w:r>
        <w:rPr>
          <w:rFonts w:hint="eastAsia" w:eastAsia="仿宋_GB2312"/>
          <w:color w:val="000000"/>
          <w:sz w:val="32"/>
          <w:szCs w:val="32"/>
        </w:rPr>
        <w:t>。</w:t>
      </w:r>
    </w:p>
    <w:p>
      <w:pPr>
        <w:widowControl/>
        <w:spacing w:line="600" w:lineRule="exact"/>
        <w:ind w:firstLine="640" w:firstLineChars="200"/>
        <w:rPr>
          <w:rFonts w:eastAsia="仿宋_GB2312"/>
          <w:color w:val="000000"/>
          <w:kern w:val="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  <w:lang w:eastAsia="zh-CN"/>
        </w:rPr>
        <w:t>（</w:t>
      </w:r>
      <w:r>
        <w:rPr>
          <w:rFonts w:hint="eastAsia" w:eastAsia="仿宋_GB2312"/>
          <w:color w:val="000000"/>
          <w:sz w:val="32"/>
          <w:szCs w:val="32"/>
          <w:lang w:val="en-US" w:eastAsia="zh-CN"/>
        </w:rPr>
        <w:t>一</w:t>
      </w:r>
      <w:r>
        <w:rPr>
          <w:rFonts w:hint="eastAsia" w:eastAsia="仿宋_GB2312"/>
          <w:color w:val="000000"/>
          <w:sz w:val="32"/>
          <w:szCs w:val="32"/>
          <w:lang w:eastAsia="zh-CN"/>
        </w:rPr>
        <w:t>）</w:t>
      </w:r>
      <w:r>
        <w:rPr>
          <w:rFonts w:hint="eastAsia" w:eastAsia="仿宋_GB2312"/>
          <w:color w:val="000000"/>
          <w:sz w:val="32"/>
          <w:szCs w:val="32"/>
        </w:rPr>
        <w:t>主动公开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情况。202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年，我街道通过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朝阳区人民政府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政府网站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大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屯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街道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信息专栏、电子公示屏等平台，与街道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《大屯之声》社区报、《今日大屯》微信公众号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配合，主动公开基层动态信息，涉及日常工作、领导信息、机构职能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疫情防</w:t>
      </w:r>
      <w:r>
        <w:rPr>
          <w:rFonts w:hint="eastAsia" w:eastAsia="仿宋_GB2312"/>
          <w:color w:val="000000"/>
          <w:sz w:val="32"/>
          <w:szCs w:val="32"/>
          <w:lang w:val="en-US" w:eastAsia="zh-CN"/>
        </w:rPr>
        <w:t>控、民生保障</w:t>
      </w:r>
      <w:r>
        <w:rPr>
          <w:rFonts w:hint="eastAsia" w:eastAsia="仿宋_GB2312"/>
          <w:color w:val="000000"/>
          <w:sz w:val="32"/>
          <w:szCs w:val="32"/>
        </w:rPr>
        <w:t>等内容；</w:t>
      </w:r>
      <w:r>
        <w:rPr>
          <w:rFonts w:eastAsia="仿宋_GB2312"/>
          <w:color w:val="000000"/>
          <w:kern w:val="0"/>
          <w:sz w:val="32"/>
          <w:szCs w:val="32"/>
        </w:rPr>
        <w:t>以政务服务大厅为媒介，设立信息查阅点，发放便民手册，开设政府信息公开服务窗口。在服务大厅配备电子触摸屏，通过先进的电子设备与网络链接，发布同步更新公开信息。努力实现信息“应公开、尽公开”。围绕公开内容、公开程序、权利救济途径等，加强政策解读和公众参与</w:t>
      </w:r>
      <w:r>
        <w:rPr>
          <w:rFonts w:hint="eastAsia" w:eastAsia="仿宋_GB2312"/>
          <w:color w:val="000000"/>
          <w:kern w:val="0"/>
          <w:sz w:val="32"/>
          <w:szCs w:val="32"/>
          <w:lang w:eastAsia="zh-CN"/>
        </w:rPr>
        <w:t>，</w:t>
      </w:r>
      <w:r>
        <w:rPr>
          <w:rFonts w:hint="eastAsia" w:eastAsia="仿宋_GB2312"/>
          <w:color w:val="000000"/>
          <w:kern w:val="0"/>
          <w:sz w:val="32"/>
          <w:szCs w:val="32"/>
          <w:lang w:val="en-US" w:eastAsia="zh-CN"/>
        </w:rPr>
        <w:t>加强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 xml:space="preserve">政府信息公开平台建设 </w:t>
      </w:r>
      <w:r>
        <w:rPr>
          <w:rFonts w:eastAsia="仿宋_GB2312"/>
          <w:color w:val="000000"/>
          <w:kern w:val="0"/>
          <w:sz w:val="32"/>
          <w:szCs w:val="32"/>
        </w:rPr>
        <w:t>。</w:t>
      </w:r>
    </w:p>
    <w:p>
      <w:pPr>
        <w:widowControl/>
        <w:numPr>
          <w:ilvl w:val="0"/>
          <w:numId w:val="0"/>
        </w:numPr>
        <w:spacing w:line="560" w:lineRule="exact"/>
        <w:ind w:firstLine="640" w:firstLineChars="200"/>
        <w:jc w:val="left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（二）依申请公开情况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。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202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年，我街道年共收到政府信息公开申请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7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件，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均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已按时办结。我街道坚持“公开、透明、便民”的原则，由综合办公室牵头各相关业务科室，由业务科室提供申请内容，通过综合办公室统一回复。</w:t>
      </w:r>
    </w:p>
    <w:p>
      <w:pPr>
        <w:widowControl/>
        <w:spacing w:line="560" w:lineRule="exact"/>
        <w:ind w:firstLine="675"/>
        <w:jc w:val="left"/>
        <w:rPr>
          <w:rFonts w:hint="eastAsia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（三）行政执法公开情况。我街道确保能够</w:t>
      </w:r>
      <w:r>
        <w:rPr>
          <w:rFonts w:hint="eastAsia" w:eastAsia="仿宋_GB2312"/>
          <w:color w:val="000000"/>
          <w:sz w:val="32"/>
          <w:szCs w:val="32"/>
        </w:rPr>
        <w:t>及时、准确对行政许可和行政处罚进行“双公示”，对每个季度的“双随机、一公开”抽查事项和检查结果进行公开，保障公民、法人和其他组织对行政执法的知情权和监督权，切实做到依法行政，行政执法的法律效果和社会效果明显改善。此外，我街道对外公开的联系电话为二十四小时值班电话，坚持首问负责，努力做到有问必答、有疑必释。</w:t>
      </w:r>
    </w:p>
    <w:p>
      <w:pPr>
        <w:numPr>
          <w:ilvl w:val="0"/>
          <w:numId w:val="1"/>
        </w:numPr>
        <w:spacing w:line="560" w:lineRule="exact"/>
        <w:ind w:firstLine="640" w:firstLineChars="200"/>
        <w:rPr>
          <w:rFonts w:ascii="黑体" w:hAnsi="宋体" w:eastAsia="黑体" w:cs="黑体"/>
          <w:sz w:val="32"/>
          <w:szCs w:val="32"/>
        </w:rPr>
      </w:pPr>
      <w:r>
        <w:rPr>
          <w:rFonts w:hint="eastAsia" w:ascii="黑体" w:hAnsi="宋体" w:eastAsia="黑体" w:cs="黑体"/>
          <w:sz w:val="32"/>
          <w:szCs w:val="32"/>
        </w:rPr>
        <w:t>主动公开政府信息情况</w:t>
      </w:r>
    </w:p>
    <w:p>
      <w:pPr>
        <w:pStyle w:val="2"/>
        <w:widowControl/>
        <w:rPr>
          <w:rFonts w:hint="default"/>
        </w:rPr>
      </w:pPr>
    </w:p>
    <w:p>
      <w:pPr>
        <w:pStyle w:val="2"/>
        <w:widowControl/>
        <w:rPr>
          <w:rFonts w:hint="default"/>
        </w:rPr>
      </w:pPr>
    </w:p>
    <w:tbl>
      <w:tblPr>
        <w:tblStyle w:val="8"/>
        <w:tblW w:w="9740" w:type="dxa"/>
        <w:jc w:val="center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35"/>
        <w:gridCol w:w="2435"/>
        <w:gridCol w:w="2435"/>
        <w:gridCol w:w="2435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第二十条第（一）项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本年制发件数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本年废止件数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现行有效件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数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规章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　　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 　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ascii="Calibri" w:hAnsi="Calibri" w:eastAsia="宋体" w:cs="Calibri"/>
                <w:kern w:val="0"/>
                <w:szCs w:val="21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Cs w:val="21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行政规范性文件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　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 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ascii="Calibri" w:hAnsi="Calibri" w:eastAsia="宋体" w:cs="Calibri"/>
                <w:kern w:val="0"/>
                <w:szCs w:val="21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Cs w:val="21"/>
                <w:lang w:val="en-US" w:eastAsia="zh-CN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第二十条第（五）项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本年处理决定数量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行政许可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ascii="Calibri" w:hAnsi="Calibri" w:eastAsia="宋体" w:cs="Calibri"/>
                <w:kern w:val="0"/>
                <w:szCs w:val="21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Cs w:val="21"/>
                <w:lang w:val="en-US" w:eastAsia="zh-CN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第二十条第（六）项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本年处理决定数量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</w:rPr>
              <w:t>行政处罚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val="en-US" w:eastAsia="zh-CN"/>
              </w:rPr>
              <w:t>518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</w:rPr>
              <w:t>行政强制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</w:rPr>
              <w:t>　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第二十条第（八）项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本年收费金额（单位：万元）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行政事业性收费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 w:hAnsi="Calibri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Calibri" w:eastAsia="宋体" w:cs="宋体"/>
                <w:sz w:val="24"/>
                <w:lang w:val="en-US" w:eastAsia="zh-CN"/>
              </w:rPr>
              <w:t>0</w:t>
            </w:r>
          </w:p>
        </w:tc>
      </w:tr>
    </w:tbl>
    <w:p>
      <w:pPr>
        <w:pStyle w:val="2"/>
        <w:widowControl/>
        <w:rPr>
          <w:rFonts w:hint="default"/>
        </w:rPr>
      </w:pPr>
    </w:p>
    <w:p>
      <w:pPr>
        <w:numPr>
          <w:ilvl w:val="0"/>
          <w:numId w:val="1"/>
        </w:numPr>
        <w:spacing w:line="560" w:lineRule="exact"/>
        <w:ind w:firstLine="640" w:firstLineChars="200"/>
        <w:rPr>
          <w:rFonts w:ascii="黑体" w:hAnsi="宋体" w:eastAsia="黑体" w:cs="黑体"/>
          <w:sz w:val="32"/>
          <w:szCs w:val="32"/>
        </w:rPr>
      </w:pPr>
      <w:r>
        <w:rPr>
          <w:rFonts w:hint="eastAsia" w:ascii="黑体" w:hAnsi="宋体" w:eastAsia="黑体" w:cs="黑体"/>
          <w:sz w:val="32"/>
          <w:szCs w:val="32"/>
        </w:rPr>
        <w:t>收到和处理政府信息公开申请情况</w:t>
      </w:r>
    </w:p>
    <w:p>
      <w:pPr>
        <w:pStyle w:val="5"/>
        <w:widowControl/>
        <w:shd w:val="clear" w:color="auto" w:fill="FFFFFF"/>
        <w:spacing w:beforeAutospacing="0" w:afterAutospacing="0"/>
        <w:ind w:firstLine="420"/>
        <w:jc w:val="both"/>
        <w:rPr>
          <w:rFonts w:ascii="宋体" w:hAnsi="宋体" w:cs="宋体"/>
          <w:color w:val="333333"/>
          <w:shd w:val="clear" w:color="auto" w:fill="FFFFFF"/>
        </w:rPr>
      </w:pPr>
    </w:p>
    <w:tbl>
      <w:tblPr>
        <w:tblStyle w:val="8"/>
        <w:tblW w:w="9748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68"/>
        <w:gridCol w:w="943"/>
        <w:gridCol w:w="3220"/>
        <w:gridCol w:w="688"/>
        <w:gridCol w:w="688"/>
        <w:gridCol w:w="688"/>
        <w:gridCol w:w="688"/>
        <w:gridCol w:w="688"/>
        <w:gridCol w:w="688"/>
        <w:gridCol w:w="68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vMerge w:val="restart"/>
            <w:tcBorders>
              <w:top w:val="single" w:color="auto" w:sz="8" w:space="0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9BC2E6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（本列数据的勾稽关系为：第一项加第二项之和，等于第三项加第四项之和）</w:t>
            </w:r>
          </w:p>
        </w:tc>
        <w:tc>
          <w:tcPr>
            <w:tcW w:w="4817" w:type="dxa"/>
            <w:gridSpan w:val="7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申请人情况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9BC2E6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688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自然人</w:t>
            </w:r>
          </w:p>
        </w:tc>
        <w:tc>
          <w:tcPr>
            <w:tcW w:w="3440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法人或其他组织</w:t>
            </w:r>
          </w:p>
        </w:tc>
        <w:tc>
          <w:tcPr>
            <w:tcW w:w="689" w:type="dxa"/>
            <w:vMerge w:val="restart"/>
            <w:tcBorders>
              <w:top w:val="single" w:color="auto" w:sz="8" w:space="0"/>
              <w:left w:val="nil"/>
              <w:bottom w:val="inset" w:color="auto" w:sz="8" w:space="0"/>
              <w:right w:val="single" w:color="auto" w:sz="8" w:space="0"/>
            </w:tcBorders>
            <w:shd w:val="clear" w:color="auto" w:fill="9BC2E6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总计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9BC2E6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68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商业</w:t>
            </w:r>
          </w:p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企业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科研</w:t>
            </w:r>
          </w:p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机构</w:t>
            </w:r>
          </w:p>
        </w:tc>
        <w:tc>
          <w:tcPr>
            <w:tcW w:w="6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社会公益组织</w:t>
            </w:r>
          </w:p>
        </w:tc>
        <w:tc>
          <w:tcPr>
            <w:tcW w:w="6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法律服务机构</w:t>
            </w:r>
          </w:p>
        </w:tc>
        <w:tc>
          <w:tcPr>
            <w:tcW w:w="6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其他</w:t>
            </w:r>
          </w:p>
        </w:tc>
        <w:tc>
          <w:tcPr>
            <w:tcW w:w="689" w:type="dxa"/>
            <w:vMerge w:val="continue"/>
            <w:tcBorders>
              <w:top w:val="single" w:color="auto" w:sz="8" w:space="0"/>
              <w:left w:val="nil"/>
              <w:bottom w:val="inset" w:color="auto" w:sz="8" w:space="0"/>
              <w:right w:val="single" w:color="auto" w:sz="8" w:space="0"/>
            </w:tcBorders>
            <w:shd w:val="clear" w:color="auto" w:fill="9BC2E6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一、本年新收政府信息公开申请数量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7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7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二、上年结转政府信息公开申请数量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restart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三、本年度办理结果</w:t>
            </w:r>
          </w:p>
        </w:tc>
        <w:tc>
          <w:tcPr>
            <w:tcW w:w="416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（一）予以公开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1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1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16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（二）部分公开</w:t>
            </w: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（区分处理的，只计这一情形，不计其他情形）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2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2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restart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（三）不予公开</w:t>
            </w: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1.属于国家秘密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2.其他法律行政法规禁止公开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3.危及“三安全一稳定”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4.保护第三方合法权益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5.属于三类内部事务信息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1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6.属于四类过程性信息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7.属于行政执法案卷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8.属于行政查询事项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restart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（四）无法提供</w:t>
            </w: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1.本机关不掌握相关政府信息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3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2.没有现成信息需要另行制作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3.补正后申请内容仍不明确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restart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（五）不予处理</w:t>
            </w: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1.信访举报投诉类申请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2.重复申请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3.要求提供公开出版物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4.无正当理由大量反复申请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9" w:hRule="atLeast"/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5.要求行政机关确认或重新出具已获取信息</w:t>
            </w:r>
          </w:p>
        </w:tc>
        <w:tc>
          <w:tcPr>
            <w:tcW w:w="688" w:type="dxa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restart"/>
            <w:tcBorders>
              <w:top w:val="inset" w:color="auto" w:sz="8" w:space="0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（六）其他处理</w:t>
            </w: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1.申请人无正当理由逾期不补正、行政机关不再处理其政府信息公开申请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inset" w:color="auto" w:sz="8" w:space="0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2.申请人逾期未按收费通知要求缴纳费用、行政机关不再处理其政府信息公开申请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inset" w:color="auto" w:sz="8" w:space="0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3.其他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16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（七）总计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7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四、结转下年度继续办理</w:t>
            </w:r>
          </w:p>
        </w:tc>
        <w:tc>
          <w:tcPr>
            <w:tcW w:w="688" w:type="dxa"/>
            <w:tcBorders>
              <w:top w:val="inset" w:color="auto" w:sz="6" w:space="0"/>
              <w:left w:val="nil"/>
              <w:bottom w:val="inset" w:color="auto" w:sz="6" w:space="0"/>
              <w:right w:val="inset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Calibri" w:eastAsia="宋体" w:cs="宋体"/>
                <w:sz w:val="24"/>
              </w:rPr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inset" w:color="auto" w:sz="6" w:space="0"/>
              <w:left w:val="nil"/>
              <w:bottom w:val="inset" w:color="auto" w:sz="6" w:space="0"/>
              <w:right w:val="inset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Calibri" w:eastAsia="宋体" w:cs="宋体"/>
                <w:sz w:val="24"/>
              </w:rPr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inset" w:color="auto" w:sz="6" w:space="0"/>
              <w:left w:val="nil"/>
              <w:bottom w:val="inset" w:color="auto" w:sz="6" w:space="0"/>
              <w:right w:val="inset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Calibri" w:eastAsia="宋体" w:cs="宋体"/>
                <w:sz w:val="24"/>
              </w:rPr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inset" w:color="auto" w:sz="6" w:space="0"/>
              <w:left w:val="nil"/>
              <w:bottom w:val="inset" w:color="auto" w:sz="6" w:space="0"/>
              <w:right w:val="inset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Calibri" w:eastAsia="宋体" w:cs="宋体"/>
                <w:sz w:val="24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inset" w:color="auto" w:sz="6" w:space="0"/>
              <w:left w:val="nil"/>
              <w:bottom w:val="inset" w:color="auto" w:sz="6" w:space="0"/>
              <w:right w:val="inset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Calibri" w:eastAsia="宋体" w:cs="宋体"/>
                <w:sz w:val="24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inset" w:color="auto" w:sz="6" w:space="0"/>
              <w:left w:val="nil"/>
              <w:bottom w:val="inset" w:color="auto" w:sz="6" w:space="0"/>
              <w:right w:val="inset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Calibri" w:eastAsia="宋体" w:cs="宋体"/>
                <w:sz w:val="24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89" w:type="dxa"/>
            <w:tcBorders>
              <w:top w:val="inset" w:color="auto" w:sz="6" w:space="0"/>
              <w:left w:val="nil"/>
              <w:bottom w:val="inset" w:color="auto" w:sz="6" w:space="0"/>
              <w:right w:val="inset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Calibri" w:eastAsia="宋体" w:cs="宋体"/>
                <w:sz w:val="24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</w:rPr>
              <w:t>0</w:t>
            </w:r>
            <w:r>
              <w:rPr>
                <w:rFonts w:ascii="Calibri" w:hAnsi="Calibri" w:eastAsia="宋体" w:cs="Calibri"/>
                <w:kern w:val="0"/>
                <w:sz w:val="20"/>
                <w:szCs w:val="20"/>
              </w:rPr>
              <w:t> </w:t>
            </w:r>
          </w:p>
        </w:tc>
      </w:tr>
    </w:tbl>
    <w:p>
      <w:pPr>
        <w:pStyle w:val="2"/>
        <w:widowControl/>
        <w:ind w:left="420" w:leftChars="200"/>
        <w:rPr>
          <w:rFonts w:hint="default"/>
        </w:rPr>
      </w:pPr>
    </w:p>
    <w:p>
      <w:pPr>
        <w:spacing w:line="560" w:lineRule="exact"/>
        <w:ind w:firstLine="640" w:firstLineChars="200"/>
        <w:rPr>
          <w:rFonts w:ascii="黑体" w:hAnsi="宋体" w:eastAsia="黑体" w:cs="黑体"/>
          <w:sz w:val="32"/>
          <w:szCs w:val="32"/>
        </w:rPr>
      </w:pPr>
      <w:r>
        <w:rPr>
          <w:rFonts w:hint="eastAsia" w:ascii="黑体" w:hAnsi="宋体" w:eastAsia="黑体" w:cs="黑体"/>
          <w:sz w:val="32"/>
          <w:szCs w:val="32"/>
        </w:rPr>
        <w:t>四、政府信息公开行政复议、行政诉讼情况</w:t>
      </w:r>
    </w:p>
    <w:p>
      <w:pPr>
        <w:widowControl/>
        <w:jc w:val="center"/>
      </w:pPr>
    </w:p>
    <w:tbl>
      <w:tblPr>
        <w:tblStyle w:val="8"/>
        <w:tblW w:w="9748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49"/>
        <w:gridCol w:w="649"/>
        <w:gridCol w:w="649"/>
        <w:gridCol w:w="649"/>
        <w:gridCol w:w="649"/>
        <w:gridCol w:w="649"/>
        <w:gridCol w:w="649"/>
        <w:gridCol w:w="650"/>
        <w:gridCol w:w="650"/>
        <w:gridCol w:w="650"/>
        <w:gridCol w:w="651"/>
        <w:gridCol w:w="651"/>
        <w:gridCol w:w="651"/>
        <w:gridCol w:w="651"/>
        <w:gridCol w:w="65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atLeast"/>
          <w:jc w:val="center"/>
        </w:trPr>
        <w:tc>
          <w:tcPr>
            <w:tcW w:w="3245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行政复议</w:t>
            </w:r>
          </w:p>
        </w:tc>
        <w:tc>
          <w:tcPr>
            <w:tcW w:w="6503" w:type="dxa"/>
            <w:gridSpan w:val="10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行政诉讼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  <w:jc w:val="center"/>
        </w:trPr>
        <w:tc>
          <w:tcPr>
            <w:tcW w:w="649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结果维持</w:t>
            </w:r>
          </w:p>
        </w:tc>
        <w:tc>
          <w:tcPr>
            <w:tcW w:w="649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结果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纠正</w:t>
            </w:r>
          </w:p>
        </w:tc>
        <w:tc>
          <w:tcPr>
            <w:tcW w:w="649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其他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结果</w:t>
            </w:r>
          </w:p>
        </w:tc>
        <w:tc>
          <w:tcPr>
            <w:tcW w:w="649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尚未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审结</w:t>
            </w:r>
          </w:p>
        </w:tc>
        <w:tc>
          <w:tcPr>
            <w:tcW w:w="649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总计</w:t>
            </w:r>
          </w:p>
        </w:tc>
        <w:tc>
          <w:tcPr>
            <w:tcW w:w="3248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未经复议直接起诉</w:t>
            </w:r>
          </w:p>
        </w:tc>
        <w:tc>
          <w:tcPr>
            <w:tcW w:w="3255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复议后起诉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  <w:jc w:val="center"/>
        </w:trPr>
        <w:tc>
          <w:tcPr>
            <w:tcW w:w="649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9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9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9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9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结果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维持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结果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纠正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其他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结果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尚未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审结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总计</w:t>
            </w:r>
          </w:p>
        </w:tc>
        <w:tc>
          <w:tcPr>
            <w:tcW w:w="65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结果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维持</w:t>
            </w:r>
          </w:p>
        </w:tc>
        <w:tc>
          <w:tcPr>
            <w:tcW w:w="65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结果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纠正</w:t>
            </w:r>
          </w:p>
        </w:tc>
        <w:tc>
          <w:tcPr>
            <w:tcW w:w="65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其他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结果</w:t>
            </w:r>
          </w:p>
        </w:tc>
        <w:tc>
          <w:tcPr>
            <w:tcW w:w="65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尚未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审结</w:t>
            </w:r>
          </w:p>
        </w:tc>
        <w:tc>
          <w:tcPr>
            <w:tcW w:w="65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总计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2" w:hRule="atLeast"/>
          <w:jc w:val="center"/>
        </w:trPr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hAnsi="Times New Roman" w:cs="Times New Roman" w:asciiTheme="minorAscii"/>
                <w:sz w:val="20"/>
                <w:szCs w:val="20"/>
                <w:highlight w:val="none"/>
              </w:rPr>
            </w:pPr>
            <w:r>
              <w:rPr>
                <w:rFonts w:hint="default" w:hAnsi="Times New Roman" w:eastAsia="黑体" w:cs="Times New Roman" w:asciiTheme="minorAscii"/>
                <w:kern w:val="0"/>
                <w:sz w:val="20"/>
                <w:szCs w:val="20"/>
                <w:highlight w:val="none"/>
              </w:rPr>
              <w:t>1 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hAnsi="Times New Roman" w:cs="Times New Roman" w:asciiTheme="minorAscii"/>
                <w:sz w:val="20"/>
                <w:szCs w:val="20"/>
                <w:highlight w:val="none"/>
              </w:rPr>
            </w:pPr>
            <w:r>
              <w:rPr>
                <w:rFonts w:hint="default" w:hAnsi="Times New Roman" w:eastAsia="黑体" w:cs="Times New Roman" w:asciiTheme="minorAscii"/>
                <w:kern w:val="0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default" w:hAnsi="Times New Roman" w:eastAsia="黑体" w:cs="Times New Roman" w:asciiTheme="minorAscii"/>
                <w:kern w:val="0"/>
                <w:sz w:val="20"/>
                <w:szCs w:val="20"/>
                <w:highlight w:val="none"/>
              </w:rPr>
              <w:t> 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hAnsi="Times New Roman" w:cs="Times New Roman" w:asciiTheme="minorAscii" w:eastAsiaTheme="minorEastAsia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hAnsi="Times New Roman" w:eastAsia="黑体" w:cs="Times New Roman" w:asciiTheme="minorAscii"/>
                <w:kern w:val="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hAnsi="Times New Roman" w:cs="Times New Roman" w:asciiTheme="minorAscii" w:eastAsiaTheme="minorEastAsia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hAnsi="Times New Roman" w:cs="Times New Roman" w:asciiTheme="minorAscii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hAnsi="Times New Roman" w:cs="Times New Roman" w:asciiTheme="minorAscii"/>
                <w:sz w:val="20"/>
                <w:szCs w:val="20"/>
                <w:highlight w:val="none"/>
              </w:rPr>
            </w:pPr>
            <w:r>
              <w:rPr>
                <w:rFonts w:hint="default" w:hAnsi="Times New Roman" w:eastAsia="黑体" w:cs="Times New Roman" w:asciiTheme="minorAscii"/>
                <w:kern w:val="0"/>
                <w:sz w:val="20"/>
                <w:szCs w:val="20"/>
                <w:highlight w:val="none"/>
              </w:rPr>
              <w:t> </w:t>
            </w:r>
            <w:r>
              <w:rPr>
                <w:rFonts w:hint="default" w:hAnsi="Times New Roman" w:eastAsia="黑体" w:cs="Times New Roman" w:asciiTheme="minorAscii"/>
                <w:kern w:val="0"/>
                <w:sz w:val="20"/>
                <w:szCs w:val="20"/>
                <w:highlight w:val="none"/>
                <w:lang w:val="en-US" w:eastAsia="zh-CN"/>
              </w:rPr>
              <w:t>1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hAnsi="Times New Roman" w:cs="Times New Roman" w:asciiTheme="minorAscii"/>
                <w:sz w:val="20"/>
                <w:szCs w:val="20"/>
                <w:highlight w:val="none"/>
              </w:rPr>
            </w:pPr>
            <w:r>
              <w:rPr>
                <w:rFonts w:hint="default" w:hAnsi="Times New Roman" w:eastAsia="黑体" w:cs="Times New Roman" w:asciiTheme="minorAscii"/>
                <w:kern w:val="0"/>
                <w:sz w:val="20"/>
                <w:szCs w:val="20"/>
                <w:highlight w:val="none"/>
              </w:rPr>
              <w:t> </w:t>
            </w:r>
            <w:r>
              <w:rPr>
                <w:rFonts w:hint="default" w:hAnsi="Times New Roman" w:eastAsia="黑体" w:cs="Times New Roman" w:asciiTheme="minorAscii"/>
                <w:kern w:val="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hAnsi="Times New Roman" w:cs="Times New Roman" w:asciiTheme="minorAscii"/>
                <w:sz w:val="20"/>
                <w:szCs w:val="20"/>
                <w:highlight w:val="none"/>
              </w:rPr>
            </w:pPr>
            <w:r>
              <w:rPr>
                <w:rFonts w:hint="default" w:hAnsi="Times New Roman" w:eastAsia="黑体" w:cs="Times New Roman" w:asciiTheme="minorAscii"/>
                <w:kern w:val="0"/>
                <w:sz w:val="20"/>
                <w:szCs w:val="20"/>
                <w:highlight w:val="none"/>
              </w:rPr>
              <w:t> 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hAnsi="Times New Roman" w:cs="Times New Roman" w:asciiTheme="minorAscii"/>
                <w:sz w:val="20"/>
                <w:szCs w:val="20"/>
                <w:highlight w:val="none"/>
              </w:rPr>
            </w:pPr>
            <w:r>
              <w:rPr>
                <w:rFonts w:hint="default" w:hAnsi="Times New Roman" w:eastAsia="黑体" w:cs="Times New Roman" w:asciiTheme="minorAscii"/>
                <w:kern w:val="0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default" w:hAnsi="Times New Roman" w:eastAsia="黑体" w:cs="Times New Roman" w:asciiTheme="minorAscii"/>
                <w:kern w:val="0"/>
                <w:sz w:val="20"/>
                <w:szCs w:val="20"/>
                <w:highlight w:val="none"/>
              </w:rPr>
              <w:t> 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hAnsi="Times New Roman" w:cs="Times New Roman" w:asciiTheme="minorAscii"/>
                <w:sz w:val="20"/>
                <w:szCs w:val="20"/>
                <w:highlight w:val="none"/>
              </w:rPr>
            </w:pPr>
            <w:r>
              <w:rPr>
                <w:rFonts w:hint="default" w:hAnsi="Times New Roman" w:eastAsia="黑体" w:cs="Times New Roman" w:asciiTheme="minorAscii"/>
                <w:kern w:val="0"/>
                <w:sz w:val="20"/>
                <w:szCs w:val="20"/>
                <w:highlight w:val="none"/>
              </w:rPr>
              <w:t>0 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hAnsi="Times New Roman" w:cs="Times New Roman" w:asciiTheme="minorAscii"/>
                <w:sz w:val="20"/>
                <w:szCs w:val="20"/>
                <w:highlight w:val="none"/>
              </w:rPr>
            </w:pPr>
            <w:r>
              <w:rPr>
                <w:rFonts w:hint="default" w:hAnsi="Times New Roman" w:eastAsia="黑体" w:cs="Times New Roman" w:asciiTheme="minorAscii"/>
                <w:kern w:val="0"/>
                <w:sz w:val="20"/>
                <w:szCs w:val="20"/>
                <w:highlight w:val="none"/>
              </w:rPr>
              <w:t> </w:t>
            </w:r>
            <w:r>
              <w:rPr>
                <w:rFonts w:hint="default" w:hAnsi="Times New Roman" w:eastAsia="黑体" w:cs="Times New Roman" w:asciiTheme="minorAscii"/>
                <w:kern w:val="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65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hAnsi="Times New Roman" w:cs="Times New Roman" w:asciiTheme="minorAscii"/>
                <w:sz w:val="20"/>
                <w:szCs w:val="20"/>
                <w:highlight w:val="none"/>
              </w:rPr>
            </w:pPr>
            <w:r>
              <w:rPr>
                <w:rFonts w:hint="default" w:hAnsi="Times New Roman" w:eastAsia="黑体" w:cs="Times New Roman" w:asciiTheme="minorAscii"/>
                <w:kern w:val="0"/>
                <w:sz w:val="20"/>
                <w:szCs w:val="20"/>
                <w:highlight w:val="none"/>
              </w:rPr>
              <w:t>0 </w:t>
            </w:r>
          </w:p>
        </w:tc>
        <w:tc>
          <w:tcPr>
            <w:tcW w:w="65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hAnsi="Times New Roman" w:cs="Times New Roman" w:asciiTheme="minorAscii"/>
                <w:sz w:val="20"/>
                <w:szCs w:val="20"/>
                <w:highlight w:val="none"/>
              </w:rPr>
            </w:pPr>
            <w:r>
              <w:rPr>
                <w:rFonts w:hint="default" w:hAnsi="Times New Roman" w:eastAsia="黑体" w:cs="Times New Roman" w:asciiTheme="minorAscii"/>
                <w:kern w:val="0"/>
                <w:sz w:val="20"/>
                <w:szCs w:val="20"/>
                <w:highlight w:val="none"/>
              </w:rPr>
              <w:t>0 </w:t>
            </w:r>
          </w:p>
        </w:tc>
        <w:tc>
          <w:tcPr>
            <w:tcW w:w="65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hAnsi="Times New Roman" w:cs="Times New Roman" w:asciiTheme="minorAscii"/>
                <w:sz w:val="20"/>
                <w:szCs w:val="20"/>
                <w:highlight w:val="none"/>
              </w:rPr>
            </w:pPr>
            <w:r>
              <w:rPr>
                <w:rFonts w:hint="default" w:hAnsi="Times New Roman" w:eastAsia="黑体" w:cs="Times New Roman" w:asciiTheme="minorAscii"/>
                <w:kern w:val="0"/>
                <w:sz w:val="20"/>
                <w:szCs w:val="20"/>
                <w:highlight w:val="none"/>
              </w:rPr>
              <w:t> 0</w:t>
            </w:r>
          </w:p>
        </w:tc>
        <w:tc>
          <w:tcPr>
            <w:tcW w:w="65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hAnsi="Times New Roman" w:cs="Times New Roman" w:asciiTheme="minorAscii"/>
                <w:sz w:val="20"/>
                <w:szCs w:val="20"/>
                <w:highlight w:val="none"/>
              </w:rPr>
            </w:pPr>
            <w:r>
              <w:rPr>
                <w:rFonts w:hint="default" w:hAnsi="Times New Roman" w:eastAsia="黑体" w:cs="Times New Roman" w:asciiTheme="minorAscii"/>
                <w:kern w:val="0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default" w:hAnsi="Times New Roman" w:eastAsia="黑体" w:cs="Times New Roman" w:asciiTheme="minorAscii"/>
                <w:kern w:val="0"/>
                <w:sz w:val="20"/>
                <w:szCs w:val="20"/>
                <w:highlight w:val="none"/>
              </w:rPr>
              <w:t> </w:t>
            </w:r>
          </w:p>
        </w:tc>
        <w:tc>
          <w:tcPr>
            <w:tcW w:w="65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default" w:hAnsi="Times New Roman" w:eastAsia="宋体" w:cs="Times New Roman" w:asciiTheme="minorAscii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hAnsi="Times New Roman" w:eastAsia="宋体" w:cs="Times New Roman" w:asciiTheme="minorAscii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</w:tbl>
    <w:p>
      <w:pPr>
        <w:widowControl/>
        <w:jc w:val="left"/>
      </w:pPr>
    </w:p>
    <w:p>
      <w:pPr>
        <w:widowControl/>
        <w:spacing w:line="560" w:lineRule="exact"/>
        <w:ind w:firstLine="672" w:firstLineChars="200"/>
        <w:jc w:val="left"/>
        <w:rPr>
          <w:rFonts w:ascii="宋体" w:hAnsi="宋体" w:eastAsia="宋体" w:cs="宋体"/>
          <w:spacing w:val="8"/>
          <w:kern w:val="0"/>
          <w:sz w:val="24"/>
        </w:rPr>
      </w:pPr>
      <w:r>
        <w:rPr>
          <w:rFonts w:hint="eastAsia" w:ascii="黑体" w:hAnsi="宋体" w:eastAsia="黑体" w:cs="宋体"/>
          <w:spacing w:val="8"/>
          <w:kern w:val="0"/>
          <w:sz w:val="32"/>
          <w:szCs w:val="32"/>
        </w:rPr>
        <w:t>五、存在的主要问题及改进情况</w:t>
      </w:r>
    </w:p>
    <w:p>
      <w:pPr>
        <w:widowControl/>
        <w:spacing w:line="560" w:lineRule="exact"/>
        <w:ind w:firstLine="675"/>
        <w:jc w:val="left"/>
        <w:rPr>
          <w:rFonts w:hint="eastAsia" w:eastAsia="仿宋_GB2312"/>
          <w:color w:val="00000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lang w:val="en-US" w:eastAsia="zh-CN"/>
        </w:rPr>
        <w:t>20</w:t>
      </w:r>
      <w:r>
        <w:rPr>
          <w:rFonts w:hint="eastAsia" w:ascii="Times New Roman" w:hAnsi="Times New Roman" w:eastAsia="仿宋_GB2312" w:cs="Times New Roman"/>
          <w:spacing w:val="8"/>
          <w:kern w:val="0"/>
          <w:sz w:val="32"/>
          <w:szCs w:val="32"/>
          <w:lang w:val="en-US" w:eastAsia="zh-CN"/>
        </w:rPr>
        <w:t>21</w:t>
      </w: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lang w:val="en-US" w:eastAsia="zh-CN"/>
        </w:rPr>
        <w:t>年，</w:t>
      </w:r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  <w:t>街道政府信息和政务公开工作取得了一定成效，但仍存在一些不足。一是对</w:t>
      </w:r>
      <w:r>
        <w:rPr>
          <w:rFonts w:eastAsia="仿宋_GB2312"/>
          <w:color w:val="000000"/>
          <w:sz w:val="32"/>
          <w:szCs w:val="32"/>
        </w:rPr>
        <w:t>《中华人民共和国政府信息公开条例》</w:t>
      </w:r>
      <w:r>
        <w:rPr>
          <w:rFonts w:hint="eastAsia" w:eastAsia="仿宋_GB2312"/>
          <w:color w:val="000000"/>
          <w:sz w:val="32"/>
          <w:szCs w:val="32"/>
          <w:lang w:val="en-US" w:eastAsia="zh-CN"/>
        </w:rPr>
        <w:t>学习不够透彻，在工作过程中对政策、条例的实施有待加强。二是政务公开和政府信息公开宣传力度有待进一步加强。居民对政府信息公开，多数通过电话咨询。</w:t>
      </w:r>
    </w:p>
    <w:p>
      <w:pPr>
        <w:pStyle w:val="2"/>
        <w:ind w:firstLine="640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2022年，街道将全力为保障公众知情权、提高政府工作透明度、建设法治政府做好服务。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一是加强相关人员对</w:t>
      </w:r>
      <w:r>
        <w:rPr>
          <w:rFonts w:eastAsia="仿宋_GB2312"/>
          <w:color w:val="000000"/>
          <w:sz w:val="32"/>
          <w:szCs w:val="32"/>
        </w:rPr>
        <w:t>《中华人民共和国政府信息公开条例》</w:t>
      </w:r>
      <w:r>
        <w:rPr>
          <w:rFonts w:hint="eastAsia" w:eastAsia="仿宋_GB2312"/>
          <w:color w:val="000000"/>
          <w:sz w:val="32"/>
          <w:szCs w:val="32"/>
          <w:lang w:val="en-US" w:eastAsia="zh-CN"/>
        </w:rPr>
        <w:t>的学习，认真落实上级关于推进重点领域政府信息公开的系列决策部署。二是推动公众参与。推进政务公开工作向社区延伸，提高政府信息公开的知晓率，在规定的政务公开范围内，扩大政府信息的宣传力和影响力。</w:t>
      </w:r>
    </w:p>
    <w:p>
      <w:pPr>
        <w:pStyle w:val="2"/>
        <w:ind w:firstLine="640"/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</w:rPr>
      </w:pPr>
      <w:r>
        <w:rPr>
          <w:rFonts w:hint="eastAsia" w:ascii="黑体" w:hAnsi="宋体" w:eastAsia="黑体" w:cs="宋体"/>
          <w:spacing w:val="8"/>
          <w:kern w:val="0"/>
          <w:sz w:val="32"/>
          <w:szCs w:val="32"/>
        </w:rPr>
        <w:t>六、其他需要报告的事项</w:t>
      </w:r>
    </w:p>
    <w:p>
      <w:pPr>
        <w:ind w:firstLine="672" w:firstLineChars="200"/>
      </w:pPr>
      <w:r>
        <w:rPr>
          <w:rFonts w:hint="eastAsia" w:ascii="Times New Roman" w:hAnsi="Times New Roman" w:eastAsia="仿宋_GB2312" w:cs="Times New Roman"/>
          <w:spacing w:val="8"/>
          <w:kern w:val="0"/>
          <w:sz w:val="32"/>
          <w:szCs w:val="32"/>
          <w:lang w:val="en-US" w:eastAsia="zh-CN"/>
        </w:rPr>
        <w:t>本年度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发出收费通知的件数和总金额以及实际收取的总金额均为0</w:t>
      </w:r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  <w:lang w:val="en-US" w:eastAsia="zh-CN" w:bidi="ar"/>
        </w:rPr>
        <w:t>。</w:t>
      </w: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</w:rPr>
        <w:t>本报告所列数据的统计期限,自202</w:t>
      </w: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spacing w:val="8"/>
          <w:kern w:val="0"/>
          <w:sz w:val="32"/>
          <w:szCs w:val="32"/>
        </w:rPr>
        <w:t>年1月1日起至12月31日止。本报告的电子版可登录“朝阳区政府门户网站（“北京·朝阳”http://www.bjchy.gov.cn/——政府信息公开栏目——政府信息公开年报”下载查阅）。</w:t>
      </w:r>
    </w:p>
    <w:sectPr>
      <w:pgSz w:w="12240" w:h="15840"/>
      <w:pgMar w:top="1440" w:right="1800" w:bottom="1440" w:left="1800" w:header="720" w:footer="720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FZXiaoBiaoSong-B05">
    <w:altName w:val="Arial Unicode MS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DotumChe">
    <w:altName w:val="Malgun Gothic"/>
    <w:panose1 w:val="020B0609000101010101"/>
    <w:charset w:val="81"/>
    <w:family w:val="modern"/>
    <w:pitch w:val="default"/>
    <w:sig w:usb0="00000000" w:usb1="00000000" w:usb2="00000030" w:usb3="00000000" w:csb0="4008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大标宋简体">
    <w:altName w:val="Arial Unicode MS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default"/>
    <w:sig w:usb0="80000287" w:usb1="28CF3C50" w:usb2="00000016" w:usb3="00000000" w:csb0="0004001F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0" w:usb3="00000000" w:csb0="0000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  <w:font w:name="FZXBSK--GBK1-0">
    <w:altName w:val="方正舒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TimesNewRomanPSMT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FZSSK--GBK1-0">
    <w:altName w:val="方正舒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E0002AFF" w:usb1="C000247B" w:usb2="00000009" w:usb3="00000000" w:csb0="200001FF" w:csb1="00000000"/>
  </w:font>
  <w:font w:name="仿宋e眠副浡渀.">
    <w:altName w:val="仿宋"/>
    <w:panose1 w:val="00000000000000000000"/>
    <w:charset w:val="86"/>
    <w:family w:val="roman"/>
    <w:pitch w:val="default"/>
    <w:sig w:usb0="00000000" w:usb1="00000000" w:usb2="00000000" w:usb3="00000000" w:csb0="00040000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华文中?7&amp;">
    <w:altName w:val="宋体"/>
    <w:panose1 w:val="00000000000000000000"/>
    <w:charset w:val="86"/>
    <w:family w:val="roman"/>
    <w:pitch w:val="default"/>
    <w:sig w:usb0="00000000" w:usb1="00000000" w:usb2="0000001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仿宋">
    <w:altName w:val="仿宋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方正粗宋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A4+CAJ FNT00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ˎ̥">
    <w:altName w:val="Times New Roman"/>
    <w:panose1 w:val="00000000000000000000"/>
    <w:charset w:val="01"/>
    <w:family w:val="roman"/>
    <w:pitch w:val="default"/>
    <w:sig w:usb0="00000000" w:usb1="00000000" w:usb2="00000000" w:usb3="00000000" w:csb0="00040001" w:csb1="00000000"/>
  </w:font>
  <w:font w:name="Batang">
    <w:altName w:val="Malgun Gothic"/>
    <w:panose1 w:val="02030600000101010101"/>
    <w:charset w:val="81"/>
    <w:family w:val="roman"/>
    <w:pitch w:val="default"/>
    <w:sig w:usb0="00000000" w:usb1="00000000" w:usb2="00000030" w:usb3="00000000" w:csb0="4008009F" w:csb1="DFD70000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方正粗黑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隶书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Cambria Math">
    <w:panose1 w:val="02040503050406030204"/>
    <w:charset w:val="00"/>
    <w:family w:val="auto"/>
    <w:pitch w:val="default"/>
    <w:sig w:usb0="E00002FF" w:usb1="420024FF" w:usb2="00000000" w:usb3="00000000" w:csb0="2000019F" w:csb1="00000000"/>
  </w:font>
  <w:font w:name="@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@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@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仿宋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Adobe 仿宋 Std R">
    <w:altName w:val="仿宋_GB2312"/>
    <w:panose1 w:val="02020400000000000000"/>
    <w:charset w:val="86"/>
    <w:family w:val="roman"/>
    <w:pitch w:val="default"/>
    <w:sig w:usb0="00000000" w:usb1="00000000" w:usb2="00000016" w:usb3="00000000" w:csb0="00060007" w:csb1="00000000"/>
  </w:font>
  <w:font w:name="义启嘟嘟体">
    <w:altName w:val="宋体"/>
    <w:panose1 w:val="02010601030101010101"/>
    <w:charset w:val="86"/>
    <w:family w:val="auto"/>
    <w:pitch w:val="default"/>
    <w:sig w:usb0="00000000" w:usb1="00000000" w:usb2="00000012" w:usb3="00000000" w:csb0="00040000" w:csb1="00000000"/>
  </w:font>
  <w:font w:name="华文琥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BatangChe">
    <w:altName w:val="Malgun Gothic"/>
    <w:panose1 w:val="02030609000101010101"/>
    <w:charset w:val="81"/>
    <w:family w:val="auto"/>
    <w:pitch w:val="default"/>
    <w:sig w:usb0="00000000" w:usb1="00000000" w:usb2="00000030" w:usb3="00000000" w:csb0="4008009F" w:csb1="DFD70000"/>
  </w:font>
  <w:font w:name="DFKai-SB">
    <w:altName w:val="Microsoft JhengHei Light"/>
    <w:panose1 w:val="03000509000000000000"/>
    <w:charset w:val="88"/>
    <w:family w:val="auto"/>
    <w:pitch w:val="default"/>
    <w:sig w:usb0="00000000" w:usb1="00000000" w:usb2="00000016" w:usb3="00000000" w:csb0="00100001" w:csb1="00000000"/>
  </w:font>
  <w:font w:name="Dotum">
    <w:altName w:val="Malgun Gothic"/>
    <w:panose1 w:val="020B0600000101010101"/>
    <w:charset w:val="81"/>
    <w:family w:val="auto"/>
    <w:pitch w:val="default"/>
    <w:sig w:usb0="00000000" w:usb1="00000000" w:usb2="00000030" w:usb3="00000000" w:csb0="4008009F" w:csb1="DFD70000"/>
  </w:font>
  <w:font w:name="Gulim">
    <w:altName w:val="Malgun Gothic"/>
    <w:panose1 w:val="020B0600000101010101"/>
    <w:charset w:val="81"/>
    <w:family w:val="auto"/>
    <w:pitch w:val="default"/>
    <w:sig w:usb0="00000000" w:usb1="00000000" w:usb2="00000030" w:usb3="00000000" w:csb0="4008009F" w:csb1="DFD70000"/>
  </w:font>
  <w:font w:name="GulimChe">
    <w:altName w:val="Malgun Gothic"/>
    <w:panose1 w:val="020B0609000101010101"/>
    <w:charset w:val="81"/>
    <w:family w:val="auto"/>
    <w:pitch w:val="default"/>
    <w:sig w:usb0="00000000" w:usb1="00000000" w:usb2="00000030" w:usb3="00000000" w:csb0="4008009F" w:csb1="DFD70000"/>
  </w:font>
  <w:font w:name="GungsuhChe">
    <w:altName w:val="Malgun Gothic"/>
    <w:panose1 w:val="02030609000101010101"/>
    <w:charset w:val="81"/>
    <w:family w:val="auto"/>
    <w:pitch w:val="default"/>
    <w:sig w:usb0="00000000" w:usb1="00000000" w:usb2="00000030" w:usb3="00000000" w:csb0="4008009F" w:csb1="DFD70000"/>
  </w:font>
  <w:font w:name="Gungsuh">
    <w:altName w:val="Malgun Gothic"/>
    <w:panose1 w:val="02030600000101010101"/>
    <w:charset w:val="81"/>
    <w:family w:val="auto"/>
    <w:pitch w:val="default"/>
    <w:sig w:usb0="00000000" w:usb1="00000000" w:usb2="00000030" w:usb3="00000000" w:csb0="4008009F" w:csb1="DFD7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Meiryo UI">
    <w:altName w:val="Yu Gothic UI"/>
    <w:panose1 w:val="020B0604030504040204"/>
    <w:charset w:val="80"/>
    <w:family w:val="auto"/>
    <w:pitch w:val="default"/>
    <w:sig w:usb0="00000000" w:usb1="00000000" w:usb2="00010012" w:usb3="00000000" w:csb0="6002009F" w:csb1="DFD70000"/>
  </w:font>
  <w:font w:name="MingLiU_HKSCS">
    <w:altName w:val="PMingLiU-ExtB"/>
    <w:panose1 w:val="02020500000000000000"/>
    <w:charset w:val="88"/>
    <w:family w:val="auto"/>
    <w:pitch w:val="default"/>
    <w:sig w:usb0="00000000" w:usb1="00000000" w:usb2="00000016" w:usb3="00000000" w:csb0="00100001" w:csb1="00000000"/>
  </w:font>
  <w:font w:name="MS Mincho">
    <w:panose1 w:val="02020609040205080304"/>
    <w:charset w:val="80"/>
    <w:family w:val="auto"/>
    <w:pitch w:val="default"/>
    <w:sig w:usb0="A00002BF" w:usb1="68C7FCFB" w:usb2="00000010" w:usb3="00000000" w:csb0="4002009F" w:csb1="DFD70000"/>
  </w:font>
  <w:font w:name="MS Gothic">
    <w:panose1 w:val="020B0609070205080204"/>
    <w:charset w:val="80"/>
    <w:family w:val="auto"/>
    <w:pitch w:val="default"/>
    <w:sig w:usb0="E00002FF" w:usb1="6AC7FDFB" w:usb2="08000012" w:usb3="00000000" w:csb0="4002009F" w:csb1="DFD70000"/>
  </w:font>
  <w:font w:name="MingLiU">
    <w:altName w:val="PMingLiU-ExtB"/>
    <w:panose1 w:val="02020509000000000000"/>
    <w:charset w:val="88"/>
    <w:family w:val="auto"/>
    <w:pitch w:val="default"/>
    <w:sig w:usb0="00000000" w:usb1="00000000" w:usb2="00000016" w:usb3="00000000" w:csb0="00100001" w:csb1="00000000"/>
  </w:font>
  <w:font w:name="Microsoft YaHei UI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Microsoft JhengHei U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@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@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兰亭超细黑简体">
    <w:altName w:val="黑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卿歌中英文-Medium日本语">
    <w:altName w:val="宋体"/>
    <w:panose1 w:val="02000500000000000000"/>
    <w:charset w:val="86"/>
    <w:family w:val="auto"/>
    <w:pitch w:val="default"/>
    <w:sig w:usb0="00000000" w:usb1="00000000" w:usb2="00000016" w:usb3="00000000" w:csb0="00060007" w:csb1="00000000"/>
  </w:font>
  <w:font w:name="Helvetica Ne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imes New Roman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S PGothic">
    <w:panose1 w:val="020B0600070205080204"/>
    <w:charset w:val="80"/>
    <w:family w:val="swiss"/>
    <w:pitch w:val="default"/>
    <w:sig w:usb0="E00002FF" w:usb1="6AC7FDFB" w:usb2="08000012" w:usb3="00000000" w:csb0="4002009F" w:csb1="DFD70000"/>
  </w:font>
  <w:font w:name="汉仪仿宋简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Impact">
    <w:panose1 w:val="020B0806030902050204"/>
    <w:charset w:val="00"/>
    <w:family w:val="roman"/>
    <w:pitch w:val="default"/>
    <w:sig w:usb0="00000287" w:usb1="00000000" w:usb2="00000000" w:usb3="00000000" w:csb0="2000009F" w:csb1="DFD70000"/>
  </w:font>
  <w:font w:name="方正黑体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Hiragino Sans G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Bauhaus 93">
    <w:altName w:val="Gabriola"/>
    <w:panose1 w:val="04030905020B02020C02"/>
    <w:charset w:val="00"/>
    <w:family w:val="auto"/>
    <w:pitch w:val="default"/>
    <w:sig w:usb0="00000000" w:usb1="00000000" w:usb2="00000000" w:usb3="00000000" w:csb0="20000001" w:csb1="00000000"/>
  </w:font>
  <w:font w:name="Bell MT">
    <w:altName w:val="PMingLiU-ExtB"/>
    <w:panose1 w:val="02020503060305020303"/>
    <w:charset w:val="00"/>
    <w:family w:val="auto"/>
    <w:pitch w:val="default"/>
    <w:sig w:usb0="00000000" w:usb1="00000000" w:usb2="00000000" w:usb3="00000000" w:csb0="20000001" w:csb1="00000000"/>
  </w:font>
  <w:font w:name="Berlin Sans FB">
    <w:altName w:val="Segoe Print"/>
    <w:panose1 w:val="020E0602020502020306"/>
    <w:charset w:val="00"/>
    <w:family w:val="auto"/>
    <w:pitch w:val="default"/>
    <w:sig w:usb0="00000000" w:usb1="00000000" w:usb2="00000000" w:usb3="00000000" w:csb0="20000001" w:csb1="00000000"/>
  </w:font>
  <w:font w:name="Bernard MT Condensed">
    <w:altName w:val="Segoe Print"/>
    <w:panose1 w:val="02050806060905020404"/>
    <w:charset w:val="00"/>
    <w:family w:val="auto"/>
    <w:pitch w:val="default"/>
    <w:sig w:usb0="00000000" w:usb1="00000000" w:usb2="00000000" w:usb3="00000000" w:csb0="20000001" w:csb1="00000000"/>
  </w:font>
  <w:font w:name="Bodoni MT Poster Compressed">
    <w:altName w:val="Segoe Print"/>
    <w:panose1 w:val="02070706080601050204"/>
    <w:charset w:val="00"/>
    <w:family w:val="auto"/>
    <w:pitch w:val="default"/>
    <w:sig w:usb0="00000000" w:usb1="00000000" w:usb2="00000000" w:usb3="00000000" w:csb0="20000011" w:csb1="00000000"/>
  </w:font>
  <w:font w:name="Book Antiqua">
    <w:panose1 w:val="02040602050305030304"/>
    <w:charset w:val="00"/>
    <w:family w:val="auto"/>
    <w:pitch w:val="default"/>
    <w:sig w:usb0="00000287" w:usb1="00000000" w:usb2="00000000" w:usb3="00000000" w:csb0="2000009F" w:csb1="DFD70000"/>
  </w:font>
  <w:font w:name="Britannic Bold">
    <w:altName w:val="Segoe Print"/>
    <w:panose1 w:val="020B0903060703020204"/>
    <w:charset w:val="00"/>
    <w:family w:val="auto"/>
    <w:pitch w:val="default"/>
    <w:sig w:usb0="00000000" w:usb1="00000000" w:usb2="00000000" w:usb3="00000000" w:csb0="20000001" w:csb1="00000000"/>
  </w:font>
  <w:font w:name="Candara">
    <w:panose1 w:val="020E0502030303020204"/>
    <w:charset w:val="00"/>
    <w:family w:val="auto"/>
    <w:pitch w:val="default"/>
    <w:sig w:usb0="A00002EF" w:usb1="4000A44B" w:usb2="00000000" w:usb3="00000000" w:csb0="2000019F" w:csb1="00000000"/>
  </w:font>
  <w:font w:name="Comic Sans MS">
    <w:panose1 w:val="030F0702030302020204"/>
    <w:charset w:val="00"/>
    <w:family w:val="auto"/>
    <w:pitch w:val="default"/>
    <w:sig w:usb0="00000287" w:usb1="00000013" w:usb2="00000000" w:usb3="00000000" w:csb0="2000009F" w:csb1="00000000"/>
  </w:font>
  <w:font w:name="Lucida Bright">
    <w:altName w:val="Segoe Print"/>
    <w:panose1 w:val="02040602050505020304"/>
    <w:charset w:val="00"/>
    <w:family w:val="auto"/>
    <w:pitch w:val="default"/>
    <w:sig w:usb0="00000000" w:usb1="00000000" w:usb2="00000000" w:usb3="00000000" w:csb0="20000001" w:csb1="00000000"/>
  </w:font>
  <w:font w:name="Magneto">
    <w:altName w:val="Gabriola"/>
    <w:panose1 w:val="04030805050802020D02"/>
    <w:charset w:val="00"/>
    <w:family w:val="auto"/>
    <w:pitch w:val="default"/>
    <w:sig w:usb0="00000000" w:usb1="00000000" w:usb2="00000000" w:usb3="00000000" w:csb0="20000001" w:csb1="00000000"/>
  </w:font>
  <w:font w:name="Rod">
    <w:altName w:val="PMingLiU-ExtB"/>
    <w:panose1 w:val="02030509050101010101"/>
    <w:charset w:val="00"/>
    <w:family w:val="auto"/>
    <w:pitch w:val="default"/>
    <w:sig w:usb0="00000000" w:usb1="00000000" w:usb2="00000000" w:usb3="00000000" w:csb0="00000020" w:csb1="00200000"/>
  </w:font>
  <w:font w:name="Stencil">
    <w:altName w:val="Gabriola"/>
    <w:panose1 w:val="040409050D0802020404"/>
    <w:charset w:val="00"/>
    <w:family w:val="auto"/>
    <w:pitch w:val="default"/>
    <w:sig w:usb0="00000000" w:usb1="00000000" w:usb2="00000000" w:usb3="00000000" w:csb0="20000001" w:csb1="00000000"/>
  </w:font>
  <w:font w:name="Sylfaen">
    <w:panose1 w:val="010A0502050306030303"/>
    <w:charset w:val="00"/>
    <w:family w:val="auto"/>
    <w:pitch w:val="default"/>
    <w:sig w:usb0="04000687" w:usb1="00000000" w:usb2="00000000" w:usb3="00000000" w:csb0="2000009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Tempus Sans ITC">
    <w:altName w:val="Gabriola"/>
    <w:panose1 w:val="04020404030D07020202"/>
    <w:charset w:val="00"/>
    <w:family w:val="auto"/>
    <w:pitch w:val="default"/>
    <w:sig w:usb0="00000000" w:usb1="00000000" w:usb2="00000000" w:usb3="00000000" w:csb0="20000001" w:csb1="00000000"/>
  </w:font>
  <w:font w:name="Gabriola">
    <w:panose1 w:val="04040605051002020D02"/>
    <w:charset w:val="00"/>
    <w:family w:val="auto"/>
    <w:pitch w:val="default"/>
    <w:sig w:usb0="E00002EF" w:usb1="5000204B" w:usb2="00000000" w:usb3="00000000" w:csb0="2000009F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MingLiU_HKSCS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PMingLiU">
    <w:altName w:val="PMingLiU-ExtB"/>
    <w:panose1 w:val="02020500000000000000"/>
    <w:charset w:val="88"/>
    <w:family w:val="auto"/>
    <w:pitch w:val="default"/>
    <w:sig w:usb0="00000000" w:usb1="00000000" w:usb2="00000016" w:usb3="00000000" w:csb0="00100001" w:csb1="00000000"/>
  </w:font>
  <w:font w:name="MS UI Gothic">
    <w:panose1 w:val="020B0600070205080204"/>
    <w:charset w:val="80"/>
    <w:family w:val="auto"/>
    <w:pitch w:val="default"/>
    <w:sig w:usb0="E00002FF" w:usb1="6AC7FDFB" w:usb2="08000012" w:usb3="00000000" w:csb0="4002009F" w:csb1="DFD70000"/>
  </w:font>
  <w:font w:name="MS PMincho">
    <w:altName w:val="MS Mincho"/>
    <w:panose1 w:val="02020600040205080304"/>
    <w:charset w:val="80"/>
    <w:family w:val="auto"/>
    <w:pitch w:val="default"/>
    <w:sig w:usb0="00000000" w:usb1="00000000" w:usb2="00000012" w:usb3="00000000" w:csb0="4002009F" w:csb1="DFD70000"/>
  </w:font>
  <w:font w:name="Wingdings 3">
    <w:panose1 w:val="05040102010807070707"/>
    <w:charset w:val="00"/>
    <w:family w:val="auto"/>
    <w:pitch w:val="default"/>
    <w:sig w:usb0="00000000" w:usb1="00000000" w:usb2="00000000" w:usb3="00000000" w:csb0="8000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Webdings">
    <w:panose1 w:val="05030102010509060703"/>
    <w:charset w:val="00"/>
    <w:family w:val="auto"/>
    <w:pitch w:val="default"/>
    <w:sig w:usb0="00000000" w:usb1="00000000" w:usb2="00000000" w:usb3="00000000" w:csb0="80000000" w:csb1="00000000"/>
  </w:font>
  <w:font w:name="Vrinda">
    <w:altName w:val="Segoe UI Symbol"/>
    <w:panose1 w:val="020B0502040204020203"/>
    <w:charset w:val="00"/>
    <w:family w:val="auto"/>
    <w:pitch w:val="default"/>
    <w:sig w:usb0="00000000" w:usb1="00000000" w:usb2="00000000" w:usb3="00000000" w:csb0="00000001" w:csb1="00000000"/>
  </w:font>
  <w:font w:name="Vijaya">
    <w:altName w:val="Segoe Print"/>
    <w:panose1 w:val="020B0604020202020204"/>
    <w:charset w:val="00"/>
    <w:family w:val="auto"/>
    <w:pitch w:val="default"/>
    <w:sig w:usb0="00000000" w:usb1="00000000" w:usb2="00000000" w:usb3="00000000" w:csb0="00000001" w:csb1="00000000"/>
  </w:font>
  <w:font w:name="Vani">
    <w:altName w:val="Segoe UI Symbol"/>
    <w:panose1 w:val="020B0502040204020203"/>
    <w:charset w:val="00"/>
    <w:family w:val="auto"/>
    <w:pitch w:val="default"/>
    <w:sig w:usb0="00000000" w:usb1="00000000" w:usb2="00000000" w:usb3="00000000" w:csb0="00000001" w:csb1="00000000"/>
  </w:font>
  <w:font w:name="Utsaah">
    <w:altName w:val="Segoe Print"/>
    <w:panose1 w:val="020B0604020202020204"/>
    <w:charset w:val="00"/>
    <w:family w:val="auto"/>
    <w:pitch w:val="default"/>
    <w:sig w:usb0="00000000" w:usb1="00000000" w:usb2="00000000" w:usb3="00000000" w:csb0="00000001" w:csb1="00000000"/>
  </w:font>
  <w:font w:name="Tunga">
    <w:altName w:val="Segoe UI Symbol"/>
    <w:panose1 w:val="020B0502040204020203"/>
    <w:charset w:val="00"/>
    <w:family w:val="auto"/>
    <w:pitch w:val="default"/>
    <w:sig w:usb0="00000000" w:usb1="00000000" w:usb2="00000000" w:usb3="00000000" w:csb0="00000001" w:csb1="00000000"/>
  </w:font>
  <w:font w:name="Trebuchet MS">
    <w:panose1 w:val="020B0603020202020204"/>
    <w:charset w:val="00"/>
    <w:family w:val="auto"/>
    <w:pitch w:val="default"/>
    <w:sig w:usb0="00000687" w:usb1="00000000" w:usb2="00000000" w:usb3="00000000" w:csb0="2000009F" w:csb1="00000000"/>
  </w:font>
  <w:font w:name="Traditional Arabic">
    <w:altName w:val="Times New Roman"/>
    <w:panose1 w:val="02020603050405020304"/>
    <w:charset w:val="00"/>
    <w:family w:val="auto"/>
    <w:pitch w:val="default"/>
    <w:sig w:usb0="00000000" w:usb1="00000000" w:usb2="00000008" w:usb3="00000000" w:csb0="00000041" w:csb1="20080000"/>
  </w:font>
  <w:font w:name="PingFang SC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北魏楷书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Andalus">
    <w:altName w:val="Times New Roman"/>
    <w:panose1 w:val="02020603050405020304"/>
    <w:charset w:val="00"/>
    <w:family w:val="roman"/>
    <w:pitch w:val="default"/>
    <w:sig w:usb0="00000000" w:usb1="00000000" w:usb2="00000008" w:usb3="00000000" w:csb0="00000041" w:csb1="20080000"/>
  </w:font>
  <w:font w:name="Times">
    <w:altName w:val="Times New Roman"/>
    <w:panose1 w:val="02020603050405020304"/>
    <w:charset w:val="00"/>
    <w:family w:val="roman"/>
    <w:pitch w:val="default"/>
    <w:sig w:usb0="00000000" w:usb1="00000000" w:usb2="00000009" w:usb3="00000000" w:csb0="000001FF" w:csb1="00000000"/>
  </w:font>
  <w:font w:name="Microsoft JhengHei Light">
    <w:panose1 w:val="020B0304030504040204"/>
    <w:charset w:val="88"/>
    <w:family w:val="auto"/>
    <w:pitch w:val="default"/>
    <w:sig w:usb0="800002A7" w:usb1="28CF4400" w:usb2="00000016" w:usb3="00000000" w:csb0="00100009" w:csb1="00000000"/>
  </w:font>
  <w:font w:name="Yu Gothic UI">
    <w:panose1 w:val="020B0500000000000000"/>
    <w:charset w:val="80"/>
    <w:family w:val="auto"/>
    <w:pitch w:val="default"/>
    <w:sig w:usb0="E00002FF" w:usb1="2AC7FDFF" w:usb2="00000016" w:usb3="00000000" w:csb0="2002009F" w:csb1="00000000"/>
  </w:font>
  <w:font w:name="Segoe UI Symbol">
    <w:panose1 w:val="020B0502040204020203"/>
    <w:charset w:val="00"/>
    <w:family w:val="auto"/>
    <w:pitch w:val="default"/>
    <w:sig w:usb0="800001E3" w:usb1="1200FFEF" w:usb2="00040000" w:usb3="04000000" w:csb0="00000001" w:csb1="40000000"/>
  </w:font>
  <w:font w:name="汉仪大宋简">
    <w:altName w:val="Arial"/>
    <w:panose1 w:val="00000000000000000000"/>
    <w:charset w:val="00"/>
    <w:family w:val="swiss"/>
    <w:pitch w:val="default"/>
    <w:sig w:usb0="00000000" w:usb1="00000000" w:usb2="00000000" w:usb3="00000000" w:csb0="00040001" w:csb1="00000000"/>
  </w:font>
  <w:font w:name="@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@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Liberation Sans">
    <w:altName w:val="微软雅黑"/>
    <w:panose1 w:val="00000000000000000000"/>
    <w:charset w:val="00"/>
    <w:family w:val="swiss"/>
    <w:pitch w:val="default"/>
    <w:sig w:usb0="00000000" w:usb1="00000000" w:usb2="00000000" w:usb3="00000000" w:csb0="00040001" w:csb1="00000000"/>
  </w:font>
  <w:font w:name="Noto Sans CJK SC Regular">
    <w:altName w:val="宋体"/>
    <w:panose1 w:val="020B0500000000000000"/>
    <w:charset w:val="86"/>
    <w:family w:val="auto"/>
    <w:pitch w:val="default"/>
    <w:sig w:usb0="00000000" w:usb1="00000000" w:usb2="00000016" w:usb3="00000000" w:csb0="602E0107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BD5A163"/>
    <w:multiLevelType w:val="multilevel"/>
    <w:tmpl w:val="9BD5A163"/>
    <w:lvl w:ilvl="0" w:tentative="0">
      <w:start w:val="2"/>
      <w:numFmt w:val="chineseCounting"/>
      <w:suff w:val="nothing"/>
      <w:lvlText w:val="%1、"/>
      <w:lvlJc w:val="left"/>
      <w:pPr>
        <w:ind w:left="0" w:firstLine="0"/>
      </w:p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2FA6"/>
    <w:rsid w:val="00A33998"/>
    <w:rsid w:val="00CD2FA6"/>
    <w:rsid w:val="00F50DC4"/>
    <w:rsid w:val="00FA6163"/>
    <w:rsid w:val="038D3DDF"/>
    <w:rsid w:val="042579D5"/>
    <w:rsid w:val="04EF79EE"/>
    <w:rsid w:val="068D3A55"/>
    <w:rsid w:val="0B145887"/>
    <w:rsid w:val="0CB54E8C"/>
    <w:rsid w:val="0ECF5035"/>
    <w:rsid w:val="0FA20EFD"/>
    <w:rsid w:val="10E71957"/>
    <w:rsid w:val="12267868"/>
    <w:rsid w:val="14F94D81"/>
    <w:rsid w:val="19962AAF"/>
    <w:rsid w:val="1A0A1B17"/>
    <w:rsid w:val="1B0E7792"/>
    <w:rsid w:val="1D7E7C82"/>
    <w:rsid w:val="1F8D51FC"/>
    <w:rsid w:val="22EF4BA9"/>
    <w:rsid w:val="236D3D07"/>
    <w:rsid w:val="25827B7B"/>
    <w:rsid w:val="278034C2"/>
    <w:rsid w:val="2C773ADF"/>
    <w:rsid w:val="3028788A"/>
    <w:rsid w:val="306E3863"/>
    <w:rsid w:val="3207699A"/>
    <w:rsid w:val="327343B2"/>
    <w:rsid w:val="3376555C"/>
    <w:rsid w:val="34E87898"/>
    <w:rsid w:val="37BD4572"/>
    <w:rsid w:val="397640C8"/>
    <w:rsid w:val="3C3A43CF"/>
    <w:rsid w:val="3C3B717C"/>
    <w:rsid w:val="3CCA67AA"/>
    <w:rsid w:val="3D42741D"/>
    <w:rsid w:val="40104F91"/>
    <w:rsid w:val="411D56E1"/>
    <w:rsid w:val="41861C9E"/>
    <w:rsid w:val="419D1FE5"/>
    <w:rsid w:val="41B11538"/>
    <w:rsid w:val="4246083E"/>
    <w:rsid w:val="4318224C"/>
    <w:rsid w:val="44D25C35"/>
    <w:rsid w:val="47671C94"/>
    <w:rsid w:val="47E26ACE"/>
    <w:rsid w:val="48406600"/>
    <w:rsid w:val="4AA356D8"/>
    <w:rsid w:val="4B27074D"/>
    <w:rsid w:val="4DE96893"/>
    <w:rsid w:val="4F1F2473"/>
    <w:rsid w:val="51AC399F"/>
    <w:rsid w:val="526642CE"/>
    <w:rsid w:val="535B1626"/>
    <w:rsid w:val="5B112153"/>
    <w:rsid w:val="5CDB4056"/>
    <w:rsid w:val="5D0D5D8A"/>
    <w:rsid w:val="5EE61FA5"/>
    <w:rsid w:val="621524C6"/>
    <w:rsid w:val="644E5D99"/>
    <w:rsid w:val="68791EE0"/>
    <w:rsid w:val="70BC1287"/>
    <w:rsid w:val="713B6705"/>
    <w:rsid w:val="7AB067D2"/>
    <w:rsid w:val="7AC551EB"/>
    <w:rsid w:val="7ACC1EA7"/>
    <w:rsid w:val="7EBA7AFC"/>
    <w:rsid w:val="7F3C783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unhideWhenUsed/>
    <w:uiPriority w:val="1"/>
  </w:style>
  <w:style w:type="table" w:default="1" w:styleId="8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9"/>
    <w:qFormat/>
    <w:uiPriority w:val="0"/>
    <w:rPr>
      <w:rFonts w:hint="eastAsia" w:ascii="宋体" w:hAnsi="Courier New" w:eastAsia="宋体" w:cs="Times New Roman"/>
      <w:szCs w:val="21"/>
    </w:rPr>
  </w:style>
  <w:style w:type="paragraph" w:styleId="3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iPriority w:val="0"/>
    <w:pPr>
      <w:spacing w:beforeAutospacing="1" w:afterAutospacing="1"/>
      <w:jc w:val="left"/>
    </w:pPr>
    <w:rPr>
      <w:rFonts w:ascii="Calibri" w:hAnsi="Calibri" w:eastAsia="宋体" w:cs="Times New Roman"/>
      <w:kern w:val="0"/>
      <w:sz w:val="24"/>
    </w:rPr>
  </w:style>
  <w:style w:type="character" w:styleId="7">
    <w:name w:val="Hyperlink"/>
    <w:basedOn w:val="6"/>
    <w:qFormat/>
    <w:uiPriority w:val="0"/>
    <w:rPr>
      <w:color w:val="0000FF"/>
      <w:u w:val="single"/>
    </w:rPr>
  </w:style>
  <w:style w:type="character" w:customStyle="1" w:styleId="9">
    <w:name w:val="纯文本 Char"/>
    <w:basedOn w:val="6"/>
    <w:link w:val="2"/>
    <w:uiPriority w:val="0"/>
    <w:rPr>
      <w:rFonts w:hint="eastAsia" w:ascii="宋体" w:hAnsi="Courier New" w:eastAsia="宋体" w:cs="Courier New"/>
      <w:kern w:val="2"/>
      <w:sz w:val="21"/>
      <w:szCs w:val="21"/>
    </w:rPr>
  </w:style>
  <w:style w:type="character" w:customStyle="1" w:styleId="10">
    <w:name w:val="页眉 Char"/>
    <w:basedOn w:val="6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1">
    <w:name w:val="页脚 Char"/>
    <w:basedOn w:val="6"/>
    <w:link w:val="3"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247</Words>
  <Characters>1409</Characters>
  <Lines>11</Lines>
  <Paragraphs>3</Paragraphs>
  <ScaleCrop>false</ScaleCrop>
  <LinksUpToDate>false</LinksUpToDate>
  <CharactersWithSpaces>1653</CharactersWithSpaces>
  <Application>WPS Office_10.8.0.6308_F1E327BC-269C-435d-A152-05C5408002CA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2021-03-25T11:30:00Z</dcterms:created>
  <dc:creator>Administrator</dc:creator>
  <cp:lastModifiedBy>bgs132</cp:lastModifiedBy>
  <dcterms:modified xsi:type="dcterms:W3CDTF">2022-01-19T07:15:44Z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2052-10.8.0.6308</vt:lpwstr>
  </property>
  <property fmtid="{D5CDD505-2E9C-101B-9397-08002B2CF9AE}" pid="3" name="ICV">
    <vt:lpwstr>63565455EC034C6A92A3B4EC4E36682F</vt:lpwstr>
  </property>
</Properties>
</file>