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79F929">
      <w:pPr>
        <w:jc w:val="center"/>
        <w:rPr>
          <w:rFonts w:hint="eastAsia" w:ascii="宋体" w:hAnsi="宋体" w:eastAsia="宋体"/>
          <w:b/>
          <w:color w:val="333333"/>
          <w:sz w:val="44"/>
          <w:szCs w:val="44"/>
          <w:shd w:val="clear" w:color="auto" w:fill="FFFFFF"/>
        </w:rPr>
      </w:pPr>
      <w:r>
        <w:rPr>
          <w:rFonts w:hint="eastAsia" w:ascii="宋体" w:hAnsi="宋体" w:eastAsia="宋体"/>
          <w:b/>
          <w:color w:val="333333"/>
          <w:sz w:val="44"/>
          <w:szCs w:val="44"/>
          <w:shd w:val="clear" w:color="auto" w:fill="FFFFFF"/>
        </w:rPr>
        <w:t>关于公布202</w:t>
      </w:r>
      <w:r>
        <w:rPr>
          <w:rFonts w:hint="eastAsia" w:ascii="宋体" w:hAnsi="宋体" w:eastAsia="宋体"/>
          <w:b/>
          <w:color w:val="333333"/>
          <w:sz w:val="44"/>
          <w:szCs w:val="44"/>
          <w:shd w:val="clear" w:color="auto" w:fill="FFFFFF"/>
          <w:lang w:val="en-US" w:eastAsia="zh-CN"/>
        </w:rPr>
        <w:t>6</w:t>
      </w:r>
      <w:r>
        <w:rPr>
          <w:rFonts w:hint="eastAsia" w:ascii="宋体" w:hAnsi="宋体" w:eastAsia="宋体"/>
          <w:b/>
          <w:color w:val="333333"/>
          <w:sz w:val="44"/>
          <w:szCs w:val="44"/>
          <w:shd w:val="clear" w:color="auto" w:fill="FFFFFF"/>
        </w:rPr>
        <w:t>年第</w:t>
      </w:r>
      <w:r>
        <w:rPr>
          <w:rFonts w:hint="eastAsia" w:ascii="宋体" w:hAnsi="宋体" w:eastAsia="宋体"/>
          <w:b/>
          <w:color w:val="333333"/>
          <w:sz w:val="44"/>
          <w:szCs w:val="44"/>
          <w:shd w:val="clear" w:color="auto" w:fill="FFFFFF"/>
          <w:lang w:eastAsia="zh-CN"/>
        </w:rPr>
        <w:t>三</w:t>
      </w:r>
      <w:r>
        <w:rPr>
          <w:rFonts w:hint="eastAsia" w:ascii="宋体" w:hAnsi="宋体" w:eastAsia="宋体"/>
          <w:b/>
          <w:color w:val="333333"/>
          <w:sz w:val="44"/>
          <w:szCs w:val="44"/>
          <w:shd w:val="clear" w:color="auto" w:fill="FFFFFF"/>
        </w:rPr>
        <w:t>季度拖欠农民工工资失信联合惩戒对象名单的公告</w:t>
      </w:r>
    </w:p>
    <w:p w14:paraId="726D24F9">
      <w:pPr>
        <w:spacing w:line="560" w:lineRule="exact"/>
        <w:ind w:firstLine="600" w:firstLineChars="200"/>
        <w:rPr>
          <w:rFonts w:hint="eastAsia" w:ascii="宋体" w:hAnsi="宋体" w:eastAsia="宋体"/>
          <w:sz w:val="30"/>
          <w:szCs w:val="30"/>
        </w:rPr>
      </w:pPr>
      <w:r>
        <w:rPr>
          <w:rFonts w:hint="eastAsia" w:ascii="宋体" w:hAnsi="宋体" w:eastAsia="宋体"/>
          <w:sz w:val="30"/>
          <w:szCs w:val="30"/>
        </w:rPr>
        <w:t>为加大对重大劳动保障违法行为的惩戒力度，强化社会舆论监督，维护劳动者合法权益，根据人力资源和社会保障部《拖欠农民工工资失信联合惩戒对象名单管理暂行办法》（人社部令第45号）规定，以下用人单位存在无故拖欠农民工工资报酬、数额达到拒不支付劳动报酬罪数额标准，且经人力资源社会保障行政部门责令改正拒不改正等情形，严重侵害了农民工合法权益，被列入拖欠农民工工资失信联合惩戒对象名单。</w:t>
      </w:r>
    </w:p>
    <w:p w14:paraId="1E0CC82D">
      <w:pPr>
        <w:widowControl/>
        <w:shd w:val="clear" w:color="auto" w:fill="FFFFFF"/>
        <w:spacing w:after="300" w:line="560" w:lineRule="exact"/>
        <w:jc w:val="center"/>
        <w:rPr>
          <w:rFonts w:ascii="宋体" w:hAnsi="宋体" w:eastAsia="宋体" w:cs="宋体"/>
          <w:b/>
          <w:color w:val="404040"/>
          <w:kern w:val="0"/>
          <w:sz w:val="30"/>
          <w:szCs w:val="30"/>
        </w:rPr>
      </w:pPr>
      <w:r>
        <w:rPr>
          <w:rFonts w:hint="eastAsia" w:ascii="宋体" w:hAnsi="宋体" w:eastAsia="宋体" w:cs="宋体"/>
          <w:b/>
          <w:color w:val="404040"/>
          <w:kern w:val="0"/>
          <w:sz w:val="30"/>
          <w:szCs w:val="30"/>
        </w:rPr>
        <w:t>202</w:t>
      </w:r>
      <w:r>
        <w:rPr>
          <w:rFonts w:hint="eastAsia" w:ascii="宋体" w:hAnsi="宋体" w:eastAsia="宋体" w:cs="宋体"/>
          <w:b/>
          <w:color w:val="404040"/>
          <w:kern w:val="0"/>
          <w:sz w:val="30"/>
          <w:szCs w:val="30"/>
          <w:lang w:val="en-US" w:eastAsia="zh-CN"/>
        </w:rPr>
        <w:t>6</w:t>
      </w:r>
      <w:r>
        <w:rPr>
          <w:rFonts w:hint="eastAsia" w:ascii="宋体" w:hAnsi="宋体" w:eastAsia="宋体" w:cs="宋体"/>
          <w:b/>
          <w:color w:val="404040"/>
          <w:kern w:val="0"/>
          <w:sz w:val="30"/>
          <w:szCs w:val="30"/>
        </w:rPr>
        <w:t>年第</w:t>
      </w:r>
      <w:r>
        <w:rPr>
          <w:rFonts w:hint="eastAsia" w:ascii="宋体" w:hAnsi="宋体" w:eastAsia="宋体" w:cs="宋体"/>
          <w:b/>
          <w:color w:val="404040"/>
          <w:kern w:val="0"/>
          <w:sz w:val="30"/>
          <w:szCs w:val="30"/>
          <w:lang w:eastAsia="zh-CN"/>
        </w:rPr>
        <w:t>三</w:t>
      </w:r>
      <w:r>
        <w:rPr>
          <w:rFonts w:hint="eastAsia" w:ascii="宋体" w:hAnsi="宋体" w:eastAsia="宋体" w:cs="宋体"/>
          <w:b/>
          <w:color w:val="404040"/>
          <w:kern w:val="0"/>
          <w:sz w:val="30"/>
          <w:szCs w:val="30"/>
        </w:rPr>
        <w:t>季度列入拖欠农民工工资失信联合惩戒对象名单信息</w:t>
      </w:r>
    </w:p>
    <w:tbl>
      <w:tblPr>
        <w:tblStyle w:val="5"/>
        <w:tblW w:w="0" w:type="auto"/>
        <w:tblInd w:w="0" w:type="dxa"/>
        <w:tblBorders>
          <w:top w:val="single" w:color="404040" w:sz="6" w:space="0"/>
          <w:left w:val="single" w:color="404040" w:sz="6" w:space="0"/>
          <w:bottom w:val="single" w:color="404040" w:sz="6" w:space="0"/>
          <w:right w:val="single" w:color="40404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1"/>
        <w:gridCol w:w="1984"/>
        <w:gridCol w:w="2694"/>
        <w:gridCol w:w="1559"/>
        <w:gridCol w:w="4394"/>
        <w:gridCol w:w="2716"/>
      </w:tblGrid>
      <w:tr w14:paraId="54D9057C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1091" w:type="dxa"/>
            <w:tcBorders>
              <w:top w:val="single" w:color="404040" w:sz="6" w:space="0"/>
              <w:left w:val="single" w:color="404040" w:sz="6" w:space="0"/>
              <w:bottom w:val="single" w:color="auto" w:sz="4" w:space="0"/>
              <w:right w:val="single" w:color="404040" w:sz="6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CF533B1">
            <w:pPr>
              <w:widowControl/>
              <w:spacing w:line="90" w:lineRule="atLeas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1984" w:type="dxa"/>
            <w:tcBorders>
              <w:top w:val="single" w:color="404040" w:sz="6" w:space="0"/>
              <w:left w:val="nil"/>
              <w:bottom w:val="single" w:color="auto" w:sz="4" w:space="0"/>
              <w:right w:val="single" w:color="404040" w:sz="6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52DDE6BF">
            <w:pPr>
              <w:widowControl/>
              <w:spacing w:line="570" w:lineRule="atLeas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对象名称</w:t>
            </w:r>
          </w:p>
        </w:tc>
        <w:tc>
          <w:tcPr>
            <w:tcW w:w="2694" w:type="dxa"/>
            <w:tcBorders>
              <w:top w:val="single" w:color="404040" w:sz="6" w:space="0"/>
              <w:left w:val="nil"/>
              <w:bottom w:val="single" w:color="auto" w:sz="4" w:space="0"/>
              <w:right w:val="single" w:color="404040" w:sz="6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F913BC1">
            <w:pPr>
              <w:widowControl/>
              <w:spacing w:line="570" w:lineRule="atLeas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统一社会信用代码</w:t>
            </w:r>
          </w:p>
        </w:tc>
        <w:tc>
          <w:tcPr>
            <w:tcW w:w="1559" w:type="dxa"/>
            <w:tcBorders>
              <w:top w:val="single" w:color="404040" w:sz="6" w:space="0"/>
              <w:left w:val="nil"/>
              <w:bottom w:val="single" w:color="auto" w:sz="4" w:space="0"/>
              <w:right w:val="single" w:color="404040" w:sz="6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A65DE1F">
            <w:pPr>
              <w:widowControl/>
              <w:spacing w:line="90" w:lineRule="atLeas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法定代表人姓名</w:t>
            </w:r>
          </w:p>
        </w:tc>
        <w:tc>
          <w:tcPr>
            <w:tcW w:w="4394" w:type="dxa"/>
            <w:tcBorders>
              <w:top w:val="single" w:color="404040" w:sz="6" w:space="0"/>
              <w:left w:val="nil"/>
              <w:bottom w:val="single" w:color="auto" w:sz="4" w:space="0"/>
              <w:right w:val="single" w:color="404040" w:sz="6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5DF9BC27">
            <w:pPr>
              <w:widowControl/>
              <w:spacing w:line="90" w:lineRule="atLeas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列入失信联合惩戒对象名单</w:t>
            </w:r>
          </w:p>
          <w:p w14:paraId="7C7EC15D">
            <w:pPr>
              <w:widowControl/>
              <w:spacing w:line="90" w:lineRule="atLeas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（黑名单）事由</w:t>
            </w:r>
          </w:p>
        </w:tc>
        <w:tc>
          <w:tcPr>
            <w:tcW w:w="2716" w:type="dxa"/>
            <w:tcBorders>
              <w:top w:val="single" w:color="404040" w:sz="6" w:space="0"/>
              <w:left w:val="nil"/>
              <w:bottom w:val="single" w:color="auto" w:sz="4" w:space="0"/>
              <w:right w:val="single" w:color="404040" w:sz="6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7C20E67">
            <w:pPr>
              <w:widowControl/>
              <w:spacing w:line="570" w:lineRule="atLeas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列入日期</w:t>
            </w:r>
          </w:p>
        </w:tc>
      </w:tr>
      <w:tr w14:paraId="663D8FA6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3" w:hRule="atLeast"/>
        </w:trPr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C9919C7">
            <w:pPr>
              <w:widowControl/>
              <w:spacing w:line="57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D7BA0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北京鼎盛宏峰建筑有限公司顺义建筑分公司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9B604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91110113MACNQHNP9R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084DD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刁建中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548C23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该单位未支付赵绍营等48人2024年3月至2025年1月期间工资共1440770元，情节严重。</w:t>
            </w:r>
          </w:p>
        </w:tc>
        <w:tc>
          <w:tcPr>
            <w:tcW w:w="2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56F4A9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2026年6月8日</w:t>
            </w:r>
          </w:p>
        </w:tc>
      </w:tr>
      <w:tr w14:paraId="45FFEEBC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3" w:hRule="atLeast"/>
        </w:trPr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2124E622">
            <w:pPr>
              <w:widowControl/>
              <w:spacing w:line="57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DE77E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北京德高建筑劳务有限公司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EA47C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91110106582517906W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5433A6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宋泽楼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E3ED4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该单位拖欠张文峰、远东华、吕文龙等41名农民工工资合计667087元，情节严重。</w:t>
            </w:r>
          </w:p>
        </w:tc>
        <w:tc>
          <w:tcPr>
            <w:tcW w:w="2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69955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2026年7月24日</w:t>
            </w:r>
          </w:p>
        </w:tc>
      </w:tr>
      <w:tr w14:paraId="0C642A4F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3" w:hRule="atLeast"/>
        </w:trPr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599F9C5">
            <w:pPr>
              <w:widowControl/>
              <w:spacing w:line="57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bottom"/>
          </w:tcPr>
          <w:p w14:paraId="690CBF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北京正远通建筑劳务有限公司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EABC4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91110117MA7EFE0X28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4B0723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何权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408612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该单位未支付王月等14人2026年1月至2026年3月期间工资共计98645元，情节严重。</w:t>
            </w:r>
            <w:bookmarkStart w:id="0" w:name="_GoBack"/>
            <w:bookmarkEnd w:id="0"/>
          </w:p>
        </w:tc>
        <w:tc>
          <w:tcPr>
            <w:tcW w:w="2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2A6AA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2026年7月31日</w:t>
            </w:r>
          </w:p>
        </w:tc>
      </w:tr>
      <w:tr w14:paraId="737DE596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3" w:hRule="atLeast"/>
        </w:trPr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82F837A">
            <w:pPr>
              <w:widowControl/>
              <w:spacing w:line="57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F90DC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北京亿森林装饰工程有限责任公司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9C649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91110105061257010X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71E50A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石运吉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15CBE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该单位未支付李忠明等33人2025年12月至2026年2月工资合计278500元，情节严重。</w:t>
            </w:r>
          </w:p>
        </w:tc>
        <w:tc>
          <w:tcPr>
            <w:tcW w:w="2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5A772C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2026年8月14日</w:t>
            </w:r>
          </w:p>
        </w:tc>
      </w:tr>
      <w:tr w14:paraId="0BC8D4AC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3" w:hRule="atLeast"/>
        </w:trPr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26330F3">
            <w:pPr>
              <w:widowControl/>
              <w:spacing w:line="57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68E9D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北京和能建筑装饰工程有限公司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04FA77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911101166932308528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57F476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张璨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2D48B6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该单位未支付王亮、卫云浩等61人2025年1月至2026年4月期间的工资共计1195445元，情节严重。</w:t>
            </w:r>
          </w:p>
        </w:tc>
        <w:tc>
          <w:tcPr>
            <w:tcW w:w="2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5DCAED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2026年9月2日</w:t>
            </w:r>
          </w:p>
        </w:tc>
      </w:tr>
      <w:tr w14:paraId="3AEB3CD9">
        <w:tblPrEx>
          <w:tblBorders>
            <w:top w:val="single" w:color="404040" w:sz="6" w:space="0"/>
            <w:left w:val="single" w:color="404040" w:sz="6" w:space="0"/>
            <w:bottom w:val="single" w:color="404040" w:sz="6" w:space="0"/>
            <w:right w:val="single" w:color="40404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3" w:hRule="atLeast"/>
        </w:trPr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135AFE82">
            <w:pPr>
              <w:widowControl/>
              <w:spacing w:line="57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515703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北京龙海天辰建设工程有限公司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722C3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91110106MA002UEU4P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EA887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沈志宏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3502F7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该单位未支付农民工袁军、殷绍坤等64人2025年9月至2026年5月期间工资共计1117746元，情节严重。</w:t>
            </w:r>
          </w:p>
        </w:tc>
        <w:tc>
          <w:tcPr>
            <w:tcW w:w="2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</w:tcPr>
          <w:p w14:paraId="6C6C0A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2026年9月15日</w:t>
            </w:r>
          </w:p>
        </w:tc>
      </w:tr>
    </w:tbl>
    <w:p w14:paraId="7C50E5AA">
      <w:pPr>
        <w:ind w:firstLine="420" w:firstLineChars="200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RiOWNlMGM3OTRmMmRlOWI4M2U4YWVjNGUwODRiOTQifQ=="/>
  </w:docVars>
  <w:rsids>
    <w:rsidRoot w:val="00D51574"/>
    <w:rsid w:val="002968D1"/>
    <w:rsid w:val="007E7860"/>
    <w:rsid w:val="008B4E6E"/>
    <w:rsid w:val="008B54BA"/>
    <w:rsid w:val="008D12EF"/>
    <w:rsid w:val="00B662C3"/>
    <w:rsid w:val="00D47DF3"/>
    <w:rsid w:val="00D51574"/>
    <w:rsid w:val="00EA7B64"/>
    <w:rsid w:val="04D73621"/>
    <w:rsid w:val="16F20517"/>
    <w:rsid w:val="1D6968B3"/>
    <w:rsid w:val="1D81772B"/>
    <w:rsid w:val="23671FC5"/>
    <w:rsid w:val="53472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2</Pages>
  <Words>656</Words>
  <Characters>856</Characters>
  <Lines>3</Lines>
  <Paragraphs>1</Paragraphs>
  <TotalTime>221</TotalTime>
  <ScaleCrop>false</ScaleCrop>
  <LinksUpToDate>false</LinksUpToDate>
  <CharactersWithSpaces>856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2024-01-02T02:20:00Z</dcterms:created>
  <dc:creator>Windows 用户</dc:creator>
  <cp:lastModifiedBy>阿晨儿</cp:lastModifiedBy>
  <cp:lastPrinted>2026-09-18T06:18:55Z</cp:lastPrinted>
  <dcterms:modified xsi:type="dcterms:W3CDTF">2026-09-18T06:19:35Z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2A64CBBD22024D84ACB6C7E323640F4C_12</vt:lpwstr>
  </property>
  <property fmtid="{D5CDD505-2E9C-101B-9397-08002B2CF9AE}" pid="4" name="KSOTemplateDocerSaveRecord">
    <vt:lpwstr>eyJoZGlkIjoiM2Y4ZjgyZjkyOTFiYmFlZDdlOTI3ZGM4MTQ0NjM4NjEiLCJ1c2VySWQiOiIzNzA0NzA4MTMifQ==</vt:lpwstr>
  </property>
</Properties>
</file>