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82E49">
      <w:pPr>
        <w:spacing w:after="0" w:line="240" w:lineRule="auto"/>
      </w:pPr>
    </w:p>
    <w:p w14:paraId="10B5CB99">
      <w:pPr>
        <w:spacing w:after="0" w:line="240" w:lineRule="auto"/>
      </w:pPr>
    </w:p>
    <w:p w14:paraId="58FCD126">
      <w:pPr>
        <w:spacing w:after="0" w:line="240" w:lineRule="auto"/>
      </w:pPr>
    </w:p>
    <w:p w14:paraId="5A85A75A">
      <w:pPr>
        <w:spacing w:after="0" w:line="240" w:lineRule="auto"/>
      </w:pPr>
    </w:p>
    <w:p w14:paraId="2A26E7B4">
      <w:pPr>
        <w:spacing w:after="0" w:line="240" w:lineRule="auto"/>
      </w:pPr>
    </w:p>
    <w:p w14:paraId="39C3B430">
      <w:pPr>
        <w:spacing w:after="0" w:line="240" w:lineRule="auto"/>
      </w:pPr>
    </w:p>
    <w:p w14:paraId="09D0D7DB">
      <w:pPr>
        <w:spacing w:before="0" w:after="0" w:line="288" w:lineRule="auto"/>
        <w:jc w:val="center"/>
      </w:pPr>
      <w:r>
        <w:rPr>
          <w:rFonts w:ascii="Times New Roman" w:hAnsi="Times New Roman" w:eastAsia="黑体"/>
          <w:b/>
          <w:sz w:val="48"/>
        </w:rPr>
        <w:t>北京市朝阳区卫生健康委员会</w:t>
      </w:r>
    </w:p>
    <w:p w14:paraId="443ABDAB">
      <w:pPr>
        <w:spacing w:after="0" w:line="240" w:lineRule="auto"/>
      </w:pPr>
    </w:p>
    <w:p w14:paraId="7A19418F">
      <w:pPr>
        <w:spacing w:after="0" w:line="240" w:lineRule="auto"/>
      </w:pPr>
    </w:p>
    <w:p w14:paraId="03FFE478">
      <w:pPr>
        <w:spacing w:after="0" w:line="240" w:lineRule="auto"/>
      </w:pPr>
    </w:p>
    <w:p w14:paraId="51D4F772">
      <w:pPr>
        <w:spacing w:before="0" w:after="120" w:line="288" w:lineRule="auto"/>
        <w:jc w:val="center"/>
      </w:pPr>
      <w:r>
        <w:rPr>
          <w:rFonts w:ascii="Times New Roman" w:hAnsi="Times New Roman" w:eastAsia="黑体"/>
          <w:b/>
          <w:sz w:val="40"/>
        </w:rPr>
        <w:t>医疗机构抗菌药物备案上报</w:t>
      </w:r>
    </w:p>
    <w:p w14:paraId="541D1E49">
      <w:pPr>
        <w:spacing w:before="0" w:after="0" w:line="288" w:lineRule="auto"/>
        <w:jc w:val="center"/>
      </w:pPr>
      <w:r>
        <w:rPr>
          <w:rFonts w:ascii="Times New Roman" w:hAnsi="Times New Roman" w:eastAsia="黑体"/>
          <w:b/>
          <w:sz w:val="40"/>
        </w:rPr>
        <w:t>系统操作指南</w:t>
      </w:r>
    </w:p>
    <w:p w14:paraId="573E5BCE">
      <w:pPr>
        <w:spacing w:after="0" w:line="240" w:lineRule="auto"/>
      </w:pPr>
    </w:p>
    <w:p w14:paraId="31BC17F6">
      <w:pPr>
        <w:spacing w:after="0" w:line="240" w:lineRule="auto"/>
      </w:pPr>
    </w:p>
    <w:p w14:paraId="1A7A4EF1">
      <w:pPr>
        <w:spacing w:after="0" w:line="240" w:lineRule="auto"/>
      </w:pPr>
    </w:p>
    <w:p w14:paraId="7DD18169">
      <w:pPr>
        <w:spacing w:after="0" w:line="240" w:lineRule="auto"/>
      </w:pPr>
    </w:p>
    <w:p w14:paraId="5D75F64F">
      <w:pPr>
        <w:spacing w:after="0" w:line="240" w:lineRule="auto"/>
      </w:pPr>
    </w:p>
    <w:p w14:paraId="5B0A1CBB">
      <w:pPr>
        <w:spacing w:after="0" w:line="240" w:lineRule="auto"/>
      </w:pPr>
    </w:p>
    <w:p w14:paraId="461B3822">
      <w:pPr>
        <w:spacing w:after="0" w:line="240" w:lineRule="auto"/>
      </w:pPr>
    </w:p>
    <w:p w14:paraId="1DA0D57C">
      <w:pPr>
        <w:spacing w:after="0" w:line="240" w:lineRule="auto"/>
      </w:pPr>
    </w:p>
    <w:p w14:paraId="68F26FE6">
      <w:pPr>
        <w:spacing w:after="0" w:line="240" w:lineRule="auto"/>
      </w:pPr>
    </w:p>
    <w:p w14:paraId="781EEE49">
      <w:pPr>
        <w:spacing w:before="0" w:after="80" w:line="240" w:lineRule="auto"/>
        <w:jc w:val="center"/>
      </w:pPr>
      <w:r>
        <w:rPr>
          <w:rFonts w:ascii="Times New Roman" w:hAnsi="Times New Roman" w:eastAsia="宋体"/>
          <w:b w:val="0"/>
          <w:sz w:val="28"/>
        </w:rPr>
        <w:t>编制单位：沈阳市葡萄聚联科技有限公司</w:t>
      </w:r>
    </w:p>
    <w:p w14:paraId="7C949830">
      <w:pPr>
        <w:spacing w:before="0" w:after="0" w:line="240" w:lineRule="auto"/>
        <w:jc w:val="center"/>
      </w:pPr>
      <w:r>
        <w:rPr>
          <w:rFonts w:ascii="Times New Roman" w:hAnsi="Times New Roman" w:eastAsia="宋体"/>
          <w:b w:val="0"/>
          <w:sz w:val="28"/>
        </w:rPr>
        <w:t>日期：2026-10-9</w:t>
      </w:r>
    </w:p>
    <w:p w14:paraId="6A2DB400">
      <w:r>
        <w:br w:type="page"/>
      </w:r>
    </w:p>
    <w:p w14:paraId="54AC119B">
      <w:pPr>
        <w:spacing w:before="120" w:after="280" w:line="288" w:lineRule="auto"/>
        <w:jc w:val="center"/>
      </w:pPr>
      <w:r>
        <w:rPr>
          <w:rFonts w:ascii="Times New Roman" w:hAnsi="Times New Roman" w:eastAsia="黑体"/>
          <w:b/>
          <w:sz w:val="36"/>
        </w:rPr>
        <w:t>目　录</w:t>
      </w:r>
    </w:p>
    <w:p w14:paraId="0A0EA1F7">
      <w:pPr>
        <w:tabs>
          <w:tab w:val="right" w:leader="dot" w:pos="8957"/>
        </w:tabs>
        <w:spacing w:after="80" w:line="312" w:lineRule="auto"/>
        <w:ind w:left="0"/>
      </w:pPr>
      <w:r>
        <w:rPr>
          <w:rFonts w:ascii="Times New Roman" w:hAnsi="Times New Roman" w:eastAsia="宋体"/>
          <w:b/>
          <w:sz w:val="24"/>
        </w:rPr>
        <w:t>一、进入上报环境</w:t>
      </w:r>
      <w:r>
        <w:rPr>
          <w:rFonts w:ascii="Times New Roman" w:hAnsi="Times New Roman" w:eastAsia="宋体"/>
          <w:b/>
          <w:sz w:val="24"/>
        </w:rPr>
        <w:tab/>
      </w:r>
      <w:r>
        <w:rPr>
          <w:rFonts w:ascii="Times New Roman" w:hAnsi="Times New Roman" w:eastAsia="宋体"/>
          <w:b/>
          <w:sz w:val="24"/>
        </w:rPr>
        <w:t>3</w:t>
      </w:r>
    </w:p>
    <w:p w14:paraId="14FF5371">
      <w:pPr>
        <w:tabs>
          <w:tab w:val="right" w:leader="dot" w:pos="8957"/>
        </w:tabs>
        <w:spacing w:after="80" w:line="312" w:lineRule="auto"/>
        <w:ind w:left="425"/>
      </w:pPr>
      <w:r>
        <w:rPr>
          <w:rFonts w:ascii="Times New Roman" w:hAnsi="Times New Roman" w:eastAsia="宋体"/>
          <w:b w:val="0"/>
          <w:sz w:val="24"/>
        </w:rPr>
        <w:t>1. 如何拥有上报系统访问权限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>3</w:t>
      </w:r>
    </w:p>
    <w:p w14:paraId="2883AA76">
      <w:pPr>
        <w:tabs>
          <w:tab w:val="right" w:leader="dot" w:pos="8957"/>
        </w:tabs>
        <w:spacing w:after="80" w:line="312" w:lineRule="auto"/>
        <w:ind w:left="425"/>
      </w:pPr>
      <w:r>
        <w:rPr>
          <w:rFonts w:ascii="Times New Roman" w:hAnsi="Times New Roman" w:eastAsia="宋体"/>
          <w:b w:val="0"/>
          <w:sz w:val="24"/>
        </w:rPr>
        <w:t>2. 如何找到上报入口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>3</w:t>
      </w:r>
    </w:p>
    <w:p w14:paraId="53A4E920">
      <w:pPr>
        <w:tabs>
          <w:tab w:val="right" w:leader="dot" w:pos="8957"/>
        </w:tabs>
        <w:spacing w:after="80" w:line="312" w:lineRule="auto"/>
        <w:ind w:left="0"/>
      </w:pPr>
      <w:r>
        <w:rPr>
          <w:rFonts w:ascii="Times New Roman" w:hAnsi="Times New Roman" w:eastAsia="宋体"/>
          <w:b/>
          <w:sz w:val="24"/>
        </w:rPr>
        <w:t>二、系统功能介绍</w:t>
      </w:r>
      <w:r>
        <w:rPr>
          <w:rFonts w:ascii="Times New Roman" w:hAnsi="Times New Roman" w:eastAsia="宋体"/>
          <w:b/>
          <w:sz w:val="24"/>
        </w:rPr>
        <w:tab/>
      </w:r>
      <w:r>
        <w:rPr>
          <w:rFonts w:ascii="Times New Roman" w:hAnsi="Times New Roman" w:eastAsia="宋体"/>
          <w:b/>
          <w:sz w:val="24"/>
        </w:rPr>
        <w:t>4</w:t>
      </w:r>
    </w:p>
    <w:p w14:paraId="1825CC4F">
      <w:pPr>
        <w:tabs>
          <w:tab w:val="right" w:leader="dot" w:pos="8957"/>
        </w:tabs>
        <w:spacing w:after="80" w:line="312" w:lineRule="auto"/>
        <w:ind w:left="425"/>
      </w:pPr>
      <w:r>
        <w:rPr>
          <w:rFonts w:ascii="Times New Roman" w:hAnsi="Times New Roman" w:eastAsia="宋体"/>
          <w:b w:val="0"/>
          <w:sz w:val="24"/>
        </w:rPr>
        <w:t>1. 上报流程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>4</w:t>
      </w:r>
    </w:p>
    <w:p w14:paraId="5B6132DF">
      <w:pPr>
        <w:tabs>
          <w:tab w:val="right" w:leader="dot" w:pos="8957"/>
        </w:tabs>
        <w:spacing w:after="80" w:line="312" w:lineRule="auto"/>
        <w:ind w:left="425"/>
      </w:pPr>
      <w:r>
        <w:rPr>
          <w:rFonts w:ascii="Times New Roman" w:hAnsi="Times New Roman" w:eastAsia="宋体"/>
          <w:b w:val="0"/>
          <w:sz w:val="24"/>
        </w:rPr>
        <w:t>2. 记录查询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>6</w:t>
      </w:r>
    </w:p>
    <w:p w14:paraId="73BBF59F">
      <w:pPr>
        <w:tabs>
          <w:tab w:val="right" w:leader="dot" w:pos="8957"/>
        </w:tabs>
        <w:spacing w:after="80" w:line="312" w:lineRule="auto"/>
        <w:ind w:left="0"/>
      </w:pPr>
      <w:r>
        <w:rPr>
          <w:rFonts w:ascii="Times New Roman" w:hAnsi="Times New Roman" w:eastAsia="宋体"/>
          <w:b/>
          <w:sz w:val="24"/>
        </w:rPr>
        <w:t>三、管理员</w:t>
      </w:r>
      <w:r>
        <w:rPr>
          <w:rFonts w:ascii="Times New Roman" w:hAnsi="Times New Roman" w:eastAsia="宋体"/>
          <w:b/>
          <w:sz w:val="24"/>
        </w:rPr>
        <w:tab/>
      </w:r>
      <w:r>
        <w:rPr>
          <w:rFonts w:ascii="Times New Roman" w:hAnsi="Times New Roman" w:eastAsia="宋体"/>
          <w:b/>
          <w:sz w:val="24"/>
        </w:rPr>
        <w:t>6</w:t>
      </w:r>
    </w:p>
    <w:p w14:paraId="29FDD4A3">
      <w:pPr>
        <w:tabs>
          <w:tab w:val="right" w:leader="dot" w:pos="8957"/>
        </w:tabs>
        <w:spacing w:after="80" w:line="312" w:lineRule="auto"/>
        <w:ind w:left="425"/>
      </w:pPr>
      <w:r>
        <w:rPr>
          <w:rFonts w:ascii="Times New Roman" w:hAnsi="Times New Roman" w:eastAsia="宋体"/>
          <w:b w:val="0"/>
          <w:sz w:val="24"/>
        </w:rPr>
        <w:t>1. 数据导出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>6</w:t>
      </w:r>
    </w:p>
    <w:p w14:paraId="0B6C9CB6">
      <w:pPr>
        <w:tabs>
          <w:tab w:val="right" w:leader="dot" w:pos="8957"/>
        </w:tabs>
        <w:spacing w:after="80" w:line="312" w:lineRule="auto"/>
        <w:ind w:left="425"/>
      </w:pPr>
      <w:r>
        <w:rPr>
          <w:rFonts w:ascii="Times New Roman" w:hAnsi="Times New Roman" w:eastAsia="宋体"/>
          <w:b w:val="0"/>
          <w:sz w:val="24"/>
        </w:rPr>
        <w:t>2. 数据管理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>7</w:t>
      </w:r>
    </w:p>
    <w:p w14:paraId="0177EC5A">
      <w:pPr>
        <w:tabs>
          <w:tab w:val="right" w:leader="dot" w:pos="8957"/>
        </w:tabs>
        <w:spacing w:after="80" w:line="312" w:lineRule="auto"/>
        <w:ind w:left="425"/>
      </w:pPr>
      <w:r>
        <w:rPr>
          <w:rFonts w:ascii="Times New Roman" w:hAnsi="Times New Roman" w:eastAsia="宋体"/>
          <w:b w:val="0"/>
          <w:sz w:val="24"/>
        </w:rPr>
        <w:t>3. 目录管理</w:t>
      </w:r>
      <w:r>
        <w:rPr>
          <w:rFonts w:ascii="Times New Roman" w:hAnsi="Times New Roman" w:eastAsia="宋体"/>
          <w:b w:val="0"/>
          <w:sz w:val="24"/>
        </w:rPr>
        <w:tab/>
      </w:r>
      <w:r>
        <w:rPr>
          <w:rFonts w:ascii="Times New Roman" w:hAnsi="Times New Roman" w:eastAsia="宋体"/>
          <w:b w:val="0"/>
          <w:sz w:val="24"/>
        </w:rPr>
        <w:t>8</w:t>
      </w:r>
    </w:p>
    <w:p w14:paraId="59D2795C">
      <w:r>
        <w:br w:type="page"/>
      </w:r>
    </w:p>
    <w:p w14:paraId="6D3EBFC7">
      <w:pPr>
        <w:pStyle w:val="3"/>
      </w:pPr>
      <w:r>
        <w:rPr>
          <w:rFonts w:ascii="Arial" w:hAnsi="Arial" w:eastAsia="黑体"/>
          <w:b/>
          <w:color w:val="000000"/>
          <w:sz w:val="32"/>
        </w:rPr>
        <w:t>一、进入上报环境</w:t>
      </w:r>
    </w:p>
    <w:p w14:paraId="48F44433">
      <w:pPr>
        <w:pStyle w:val="4"/>
      </w:pPr>
      <w:r>
        <w:rPr>
          <w:rFonts w:ascii="Arial" w:hAnsi="Arial" w:eastAsia="黑体"/>
          <w:b/>
          <w:color w:val="1F364D"/>
          <w:sz w:val="27"/>
        </w:rPr>
        <w:t>1. 如何拥有上报系统访问权限</w:t>
      </w:r>
    </w:p>
    <w:p w14:paraId="54A797C4">
      <w:pPr>
        <w:keepNext/>
        <w:spacing w:after="80"/>
        <w:ind w:left="482" w:hanging="482"/>
      </w:pPr>
      <w:r>
        <w:rPr>
          <w:rFonts w:ascii="Times New Roman" w:hAnsi="Times New Roman" w:eastAsia="宋体"/>
          <w:sz w:val="24"/>
        </w:rPr>
        <w:t>1. 普通上报单位用户通过</w:t>
      </w:r>
      <w:r>
        <w:rPr>
          <w:rFonts w:ascii="Times New Roman" w:hAnsi="Times New Roman" w:eastAsia="宋体"/>
          <w:b/>
          <w:bCs/>
          <w:color w:val="FF0000"/>
          <w:sz w:val="24"/>
        </w:rPr>
        <w:t>钉钉</w:t>
      </w:r>
      <w:r>
        <w:rPr>
          <w:rFonts w:ascii="Times New Roman" w:hAnsi="Times New Roman" w:eastAsia="宋体"/>
          <w:sz w:val="24"/>
        </w:rPr>
        <w:t>扫描二维码，加入“医疗机构抗菌药物备案上报”群。</w:t>
      </w:r>
    </w:p>
    <w:p w14:paraId="6E117591">
      <w:pPr>
        <w:keepNext/>
        <w:spacing w:after="80"/>
        <w:ind w:left="482"/>
      </w:pPr>
      <w:r>
        <w:rPr>
          <w:rFonts w:ascii="Times New Roman" w:hAnsi="Times New Roman" w:eastAsia="宋体"/>
          <w:sz w:val="24"/>
        </w:rPr>
        <w:t>钉钉二维码：</w:t>
      </w:r>
    </w:p>
    <w:p w14:paraId="71F97D11">
      <w:pPr>
        <w:spacing w:before="40" w:after="120" w:line="240" w:lineRule="auto"/>
        <w:jc w:val="center"/>
      </w:pPr>
      <w:bookmarkStart w:id="0" w:name="_GoBack"/>
      <w:bookmarkEnd w:id="0"/>
      <w:r>
        <w:drawing>
          <wp:inline distT="0" distB="0" distL="114300" distR="114300">
            <wp:extent cx="2087880" cy="1898015"/>
            <wp:effectExtent l="0" t="0" r="0" b="6985"/>
            <wp:docPr id="1" name="Picture 1" descr="医疗机构抗菌药物备案上报钉钉群二维码" title="医疗机构抗菌药物备案上报钉钉群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医疗机构抗菌药物备案上报钉钉群二维码" title="医疗机构抗菌药物备案上报钉钉群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88000" cy="189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F64FE">
      <w:pPr>
        <w:spacing w:after="80"/>
        <w:ind w:left="482" w:hanging="482"/>
      </w:pPr>
      <w:r>
        <w:rPr>
          <w:rFonts w:ascii="Times New Roman" w:hAnsi="Times New Roman" w:eastAsia="宋体"/>
          <w:sz w:val="24"/>
        </w:rPr>
        <w:t>2. 进入群聊后，如果用户已在北京市朝阳区卫生健康委员会组织架构中，则视为已拥有上报权限，可通过下述方式直接上报。</w:t>
      </w:r>
    </w:p>
    <w:p w14:paraId="145ADC53">
      <w:pPr>
        <w:spacing w:after="80"/>
        <w:ind w:left="482" w:hanging="482"/>
      </w:pPr>
      <w:r>
        <w:rPr>
          <w:rFonts w:ascii="Times New Roman" w:hAnsi="Times New Roman" w:eastAsia="宋体"/>
          <w:sz w:val="24"/>
        </w:rPr>
        <w:t>3. 进入群聊后，如果用户不在北京市朝阳区卫生健康委员会组织架构中，则需在群内向管理员申请并提供相应信息，经管理员审核后定期邀请进入组织架构，之后方可进行上报。</w:t>
      </w:r>
    </w:p>
    <w:p w14:paraId="39ECB3FF">
      <w:pPr>
        <w:pStyle w:val="4"/>
      </w:pPr>
      <w:r>
        <w:rPr>
          <w:rFonts w:ascii="Arial" w:hAnsi="Arial" w:eastAsia="黑体"/>
          <w:b/>
          <w:color w:val="1F364D"/>
          <w:sz w:val="27"/>
        </w:rPr>
        <w:t>2. 如何找到上报入口</w:t>
      </w:r>
    </w:p>
    <w:p w14:paraId="3296A621">
      <w:pPr>
        <w:keepNext/>
        <w:spacing w:after="80"/>
        <w:ind w:left="482" w:hanging="482"/>
      </w:pPr>
      <w:r>
        <w:rPr>
          <w:rFonts w:ascii="Times New Roman" w:hAnsi="Times New Roman" w:eastAsia="宋体"/>
          <w:sz w:val="24"/>
        </w:rPr>
        <w:t>1. 用户可在群内置顶公告中点击链接跳转到上报页面，或点击群内聊天框上方快捷栏中的“抗菌药物上报”图标访问系统首页。</w:t>
      </w:r>
    </w:p>
    <w:p w14:paraId="09AB1588">
      <w:pPr>
        <w:keepNext/>
        <w:spacing w:after="80"/>
        <w:ind w:left="482"/>
      </w:pPr>
      <w:r>
        <w:rPr>
          <w:rFonts w:ascii="Times New Roman" w:hAnsi="Times New Roman" w:eastAsia="宋体"/>
          <w:sz w:val="24"/>
        </w:rPr>
        <w:t>群内快速跳转上报链接（如图）：</w:t>
      </w:r>
    </w:p>
    <w:p w14:paraId="6719D5A8">
      <w:pPr>
        <w:spacing w:before="40" w:after="120" w:line="240" w:lineRule="auto"/>
        <w:jc w:val="center"/>
      </w:pPr>
      <w:r>
        <w:drawing>
          <wp:inline distT="0" distB="0" distL="114300" distR="114300">
            <wp:extent cx="4139565" cy="2974340"/>
            <wp:effectExtent l="0" t="0" r="5715" b="12700"/>
            <wp:docPr id="2" name="Picture 2" descr="钉钉群内置顶公告与快捷栏中的上报入口" title="钉钉群内置顶公告与快捷栏中的上报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钉钉群内置顶公告与快捷栏中的上报入口" title="钉钉群内置顶公告与快捷栏中的上报入口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97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7BE40">
      <w:pPr>
        <w:keepNext/>
        <w:spacing w:after="80"/>
        <w:ind w:left="482" w:hanging="482"/>
      </w:pPr>
      <w:r>
        <w:rPr>
          <w:rFonts w:ascii="Times New Roman" w:hAnsi="Times New Roman" w:eastAsia="宋体"/>
          <w:sz w:val="24"/>
        </w:rPr>
        <w:t>2. 工作台访问系统首页（如图）：</w:t>
      </w:r>
    </w:p>
    <w:p w14:paraId="275D0B91">
      <w:pPr>
        <w:keepNext/>
        <w:spacing w:after="80"/>
        <w:ind w:left="482" w:hanging="482"/>
      </w:pPr>
      <w:r>
        <w:rPr>
          <w:rFonts w:ascii="Times New Roman" w:hAnsi="Times New Roman" w:eastAsia="宋体"/>
          <w:sz w:val="24"/>
        </w:rPr>
        <w:t>首先切换到“北京市朝阳区卫生健康委员会”组织架构：</w:t>
      </w:r>
    </w:p>
    <w:p w14:paraId="16EB468B">
      <w:pPr>
        <w:spacing w:before="40" w:after="120" w:line="240" w:lineRule="auto"/>
        <w:jc w:val="center"/>
      </w:pPr>
      <w:r>
        <w:drawing>
          <wp:inline distT="0" distB="0" distL="114300" distR="114300">
            <wp:extent cx="4139565" cy="2222500"/>
            <wp:effectExtent l="0" t="0" r="5715" b="2540"/>
            <wp:docPr id="3" name="Picture 3" descr="钉钉工作台切换组织架构界面" title="钉钉工作台切换组织架构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钉钉工作台切换组织架构界面" title="钉钉工作台切换组织架构界面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22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774DE">
      <w:pPr>
        <w:keepNext/>
        <w:spacing w:after="80"/>
        <w:ind w:left="482" w:hanging="482"/>
      </w:pPr>
      <w:r>
        <w:rPr>
          <w:rFonts w:ascii="Times New Roman" w:hAnsi="Times New Roman" w:eastAsia="宋体"/>
          <w:sz w:val="24"/>
        </w:rPr>
        <w:t>再依次点击“工作台—区域卫生应用—抗菌药物上报”：</w:t>
      </w:r>
    </w:p>
    <w:p w14:paraId="0FEA4E3C">
      <w:pPr>
        <w:spacing w:before="40" w:after="120" w:line="240" w:lineRule="auto"/>
        <w:jc w:val="center"/>
      </w:pPr>
      <w:r>
        <w:drawing>
          <wp:inline distT="0" distB="0" distL="114300" distR="114300">
            <wp:extent cx="4139565" cy="2220595"/>
            <wp:effectExtent l="0" t="0" r="5715" b="4445"/>
            <wp:docPr id="4" name="Picture 4" descr="钉钉工作台区域卫生应用入口" title="钉钉工作台区域卫生应用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钉钉工作台区域卫生应用入口" title="钉钉工作台区域卫生应用入口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22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48438">
      <w:pPr>
        <w:pStyle w:val="3"/>
      </w:pPr>
      <w:r>
        <w:rPr>
          <w:rFonts w:ascii="Arial" w:hAnsi="Arial" w:eastAsia="黑体"/>
          <w:b/>
          <w:color w:val="000000"/>
          <w:sz w:val="32"/>
        </w:rPr>
        <w:t>二、系统功能介绍</w:t>
      </w:r>
    </w:p>
    <w:p w14:paraId="306CD610">
      <w:pPr>
        <w:pStyle w:val="4"/>
      </w:pPr>
      <w:r>
        <w:rPr>
          <w:rFonts w:ascii="Arial" w:hAnsi="Arial" w:eastAsia="黑体"/>
          <w:b/>
          <w:color w:val="1F364D"/>
          <w:sz w:val="27"/>
        </w:rPr>
        <w:t>1. 上报流程</w:t>
      </w:r>
    </w:p>
    <w:p w14:paraId="56DB7708">
      <w:pPr>
        <w:keepNext/>
        <w:spacing w:after="80"/>
        <w:ind w:left="482" w:hanging="482"/>
      </w:pPr>
      <w:r>
        <w:rPr>
          <w:rFonts w:ascii="Times New Roman" w:hAnsi="Times New Roman" w:eastAsia="宋体"/>
          <w:sz w:val="24"/>
        </w:rPr>
        <w:t>1. 抗菌药物上报在此页面完成，发起提交后由卫健委医政医管科进行审核。</w:t>
      </w:r>
    </w:p>
    <w:p w14:paraId="4C4CCB10">
      <w:pPr>
        <w:spacing w:before="40" w:after="120" w:line="240" w:lineRule="auto"/>
        <w:jc w:val="center"/>
      </w:pPr>
      <w:r>
        <w:drawing>
          <wp:inline distT="0" distB="0" distL="114300" distR="114300">
            <wp:extent cx="4139565" cy="2223135"/>
            <wp:effectExtent l="0" t="0" r="5715" b="1905"/>
            <wp:docPr id="5" name="Picture 5" descr="抗菌药物上报系统首页" title="抗菌药物上报系统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抗菌药物上报系统首页" title="抗菌药物上报系统首页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2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71D2F">
      <w:pPr>
        <w:keepNext/>
        <w:spacing w:after="80"/>
        <w:ind w:left="482" w:hanging="482"/>
      </w:pPr>
      <w:r>
        <w:rPr>
          <w:rFonts w:ascii="Times New Roman" w:hAnsi="Times New Roman" w:eastAsia="宋体"/>
          <w:sz w:val="24"/>
        </w:rPr>
        <w:t>2. 如有不妥之处会被退回，系统会发出通知，并附退回原因。</w:t>
      </w:r>
    </w:p>
    <w:p w14:paraId="0872AD2B">
      <w:pPr>
        <w:spacing w:before="40" w:after="120" w:line="240" w:lineRule="auto"/>
        <w:jc w:val="center"/>
      </w:pPr>
      <w:r>
        <w:drawing>
          <wp:inline distT="0" distB="0" distL="114300" distR="114300">
            <wp:extent cx="4139565" cy="2776855"/>
            <wp:effectExtent l="0" t="0" r="5715" b="12065"/>
            <wp:docPr id="6" name="Picture 6" descr="退回通知与退回原因提示" title="退回通知与退回原因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退回通知与退回原因提示" title="退回通知与退回原因提示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77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C5705">
      <w:pPr>
        <w:keepNext/>
        <w:spacing w:after="80"/>
        <w:ind w:left="482" w:hanging="482"/>
      </w:pPr>
      <w:r>
        <w:rPr>
          <w:rFonts w:ascii="Times New Roman" w:hAnsi="Times New Roman" w:eastAsia="宋体"/>
          <w:sz w:val="24"/>
        </w:rPr>
        <w:t>3. 修改信息后可重新提交。</w:t>
      </w:r>
    </w:p>
    <w:p w14:paraId="117E2AAD">
      <w:pPr>
        <w:spacing w:before="40" w:after="120" w:line="240" w:lineRule="auto"/>
        <w:jc w:val="center"/>
      </w:pPr>
      <w:r>
        <w:drawing>
          <wp:inline distT="0" distB="0" distL="114300" distR="114300">
            <wp:extent cx="4139565" cy="2712085"/>
            <wp:effectExtent l="0" t="0" r="5715" b="635"/>
            <wp:docPr id="7" name="Picture 7" descr="重新提交操作界面" title="重新提交操作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重新提交操作界面" title="重新提交操作界面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712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06EDD">
      <w:pPr>
        <w:pStyle w:val="4"/>
      </w:pPr>
      <w:r>
        <w:rPr>
          <w:rFonts w:ascii="Arial" w:hAnsi="Arial" w:eastAsia="黑体"/>
          <w:b/>
          <w:color w:val="1F364D"/>
          <w:sz w:val="27"/>
        </w:rPr>
        <w:t>2. 记录查询</w:t>
      </w:r>
    </w:p>
    <w:p w14:paraId="01650AAA">
      <w:pPr>
        <w:keepNext/>
        <w:spacing w:after="80"/>
        <w:ind w:left="482" w:hanging="482"/>
      </w:pPr>
      <w:r>
        <w:rPr>
          <w:rFonts w:ascii="Times New Roman" w:hAnsi="Times New Roman" w:eastAsia="宋体"/>
          <w:sz w:val="24"/>
        </w:rPr>
        <w:t>1. 用户前往首页访问上报统计页面，可以看到本人上报的记录。</w:t>
      </w:r>
    </w:p>
    <w:p w14:paraId="2AFC9841">
      <w:pPr>
        <w:keepNext/>
        <w:spacing w:after="80"/>
        <w:ind w:left="482"/>
      </w:pPr>
      <w:r>
        <w:rPr>
          <w:rFonts w:ascii="Times New Roman" w:hAnsi="Times New Roman" w:eastAsia="宋体"/>
          <w:b/>
          <w:sz w:val="24"/>
          <w:highlight w:val="yellow"/>
        </w:rPr>
        <w:t>注意：非管理员仅可见自己的记录。</w:t>
      </w:r>
    </w:p>
    <w:p w14:paraId="7C3B7FDF">
      <w:pPr>
        <w:spacing w:before="40" w:after="120" w:line="240" w:lineRule="auto"/>
        <w:jc w:val="center"/>
      </w:pPr>
      <w:r>
        <w:drawing>
          <wp:inline distT="0" distB="0" distL="114300" distR="114300">
            <wp:extent cx="4139565" cy="2220595"/>
            <wp:effectExtent l="0" t="0" r="5715" b="4445"/>
            <wp:docPr id="8" name="Picture 8" descr="上报统计页面" title="上报统计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上报统计页面" title="上报统计页面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22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6AB42">
      <w:pPr>
        <w:pStyle w:val="3"/>
      </w:pPr>
      <w:r>
        <w:rPr>
          <w:rFonts w:ascii="Arial" w:hAnsi="Arial" w:eastAsia="黑体"/>
          <w:b/>
          <w:color w:val="000000"/>
          <w:sz w:val="32"/>
        </w:rPr>
        <w:t>三、管理员</w:t>
      </w:r>
    </w:p>
    <w:p w14:paraId="38F31A0D">
      <w:pPr>
        <w:pStyle w:val="4"/>
      </w:pPr>
      <w:r>
        <w:rPr>
          <w:rFonts w:ascii="Arial" w:hAnsi="Arial" w:eastAsia="黑体"/>
          <w:b/>
          <w:color w:val="1F364D"/>
          <w:sz w:val="27"/>
        </w:rPr>
        <w:t>1. 数据导出</w:t>
      </w:r>
    </w:p>
    <w:p w14:paraId="28E5E900">
      <w:pPr>
        <w:keepNext/>
        <w:spacing w:after="80"/>
        <w:ind w:left="0"/>
      </w:pPr>
      <w:r>
        <w:rPr>
          <w:rFonts w:ascii="Times New Roman" w:hAnsi="Times New Roman" w:eastAsia="宋体"/>
          <w:sz w:val="24"/>
        </w:rPr>
        <w:t>管理员查看全部单位提交的上报数据，支持批量导出、导入历史数据、批量删除等操作。</w:t>
      </w:r>
    </w:p>
    <w:p w14:paraId="5CB71C7C">
      <w:pPr>
        <w:spacing w:before="40" w:after="120" w:line="240" w:lineRule="auto"/>
        <w:jc w:val="center"/>
      </w:pPr>
      <w:r>
        <w:drawing>
          <wp:inline distT="0" distB="0" distL="114300" distR="114300">
            <wp:extent cx="4139565" cy="2105660"/>
            <wp:effectExtent l="0" t="0" r="5715" b="12700"/>
            <wp:docPr id="9" name="Picture 9" descr="管理员上报数据列表" title="管理员上报数据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管理员上报数据列表" title="管理员上报数据列表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105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50493">
      <w:pPr>
        <w:pStyle w:val="4"/>
      </w:pPr>
      <w:r>
        <w:rPr>
          <w:rFonts w:ascii="Arial" w:hAnsi="Arial" w:eastAsia="黑体"/>
          <w:b/>
          <w:color w:val="1F364D"/>
          <w:sz w:val="27"/>
        </w:rPr>
        <w:t>2. 数据管理</w:t>
      </w:r>
    </w:p>
    <w:p w14:paraId="5D51196F">
      <w:pPr>
        <w:keepNext/>
        <w:spacing w:after="80"/>
        <w:ind w:left="0"/>
      </w:pPr>
      <w:r>
        <w:rPr>
          <w:rFonts w:ascii="Times New Roman" w:hAnsi="Times New Roman" w:eastAsia="宋体"/>
          <w:sz w:val="24"/>
        </w:rPr>
        <w:t>管理员可以对目录进行增删改查，点击“详情”可以编辑。</w:t>
      </w:r>
    </w:p>
    <w:p w14:paraId="619BCD2A">
      <w:pPr>
        <w:spacing w:before="40" w:after="120" w:line="240" w:lineRule="auto"/>
        <w:jc w:val="center"/>
      </w:pPr>
      <w:r>
        <w:drawing>
          <wp:inline distT="0" distB="0" distL="114300" distR="114300">
            <wp:extent cx="4139565" cy="2218055"/>
            <wp:effectExtent l="0" t="0" r="5715" b="6985"/>
            <wp:docPr id="10" name="Picture 10" descr="管理员数据管理入口" title="管理员数据管理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管理员数据管理入口" title="管理员数据管理入口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21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F2E39">
      <w:pPr>
        <w:spacing w:before="40" w:after="120" w:line="240" w:lineRule="auto"/>
        <w:jc w:val="center"/>
      </w:pPr>
      <w:r>
        <w:drawing>
          <wp:inline distT="0" distB="0" distL="114300" distR="114300">
            <wp:extent cx="4139565" cy="2104390"/>
            <wp:effectExtent l="0" t="0" r="5715" b="13970"/>
            <wp:docPr id="11" name="Picture 11" descr="抗菌药物目录数据管理列表" title="抗菌药物目录数据管理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抗菌药物目录数据管理列表" title="抗菌药物目录数据管理列表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10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8A0BA">
      <w:pPr>
        <w:pStyle w:val="4"/>
      </w:pPr>
      <w:r>
        <w:rPr>
          <w:rFonts w:ascii="Arial" w:hAnsi="Arial" w:eastAsia="黑体"/>
          <w:b/>
          <w:color w:val="1F364D"/>
          <w:sz w:val="27"/>
        </w:rPr>
        <w:t>3. 目录管理</w:t>
      </w:r>
    </w:p>
    <w:p w14:paraId="1964C3CD">
      <w:pPr>
        <w:keepNext/>
        <w:spacing w:after="80"/>
        <w:ind w:left="0"/>
      </w:pPr>
      <w:r>
        <w:rPr>
          <w:rFonts w:ascii="Times New Roman" w:hAnsi="Times New Roman" w:eastAsia="宋体"/>
          <w:sz w:val="24"/>
        </w:rPr>
        <w:t>目录维护不对普通用户开放，仅限管理员维护抗菌药物目录和药品名称。</w:t>
      </w:r>
    </w:p>
    <w:p w14:paraId="226B9FD7">
      <w:pPr>
        <w:spacing w:before="40" w:after="120" w:line="240" w:lineRule="auto"/>
        <w:jc w:val="center"/>
      </w:pPr>
      <w:r>
        <w:drawing>
          <wp:inline distT="0" distB="0" distL="114300" distR="114300">
            <wp:extent cx="2591435" cy="3319145"/>
            <wp:effectExtent l="0" t="0" r="14605" b="3175"/>
            <wp:docPr id="12" name="Picture 12" descr="抗菌药物维护表单" title="抗菌药物维护表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抗菌药物维护表单" title="抗菌药物维护表单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331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6" w:type="first"/>
      <w:footerReference r:id="rId5" w:type="default"/>
      <w:pgSz w:w="11906" w:h="16838"/>
      <w:pgMar w:top="1361" w:right="1474" w:bottom="1247" w:left="1474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50669">
    <w:pPr>
      <w:pStyle w:val="24"/>
      <w:jc w:val="center"/>
    </w:pPr>
    <w:r>
      <w:rPr>
        <w:rFonts w:ascii="Times New Roman" w:hAnsi="Times New Roman" w:eastAsia="宋体"/>
        <w:color w:val="595959"/>
        <w:sz w:val="18"/>
      </w:rPr>
      <w:t xml:space="preserve">第 </w:t>
    </w:r>
    <w:r>
      <w:rPr>
        <w:rFonts w:ascii="Times New Roman" w:hAnsi="Times New Roman" w:eastAsia="宋体"/>
        <w:color w:val="595959"/>
        <w:sz w:val="18"/>
      </w:rPr>
      <w:fldChar w:fldCharType="begin"/>
    </w:r>
    <w:r>
      <w:rPr>
        <w:rFonts w:ascii="Times New Roman" w:hAnsi="Times New Roman" w:eastAsia="宋体"/>
        <w:color w:val="595959"/>
        <w:sz w:val="18"/>
      </w:rPr>
      <w:instrText xml:space="preserve"> PAGE </w:instrText>
    </w:r>
    <w:r>
      <w:rPr>
        <w:rFonts w:ascii="Times New Roman" w:hAnsi="Times New Roman" w:eastAsia="宋体"/>
        <w:color w:val="595959"/>
        <w:sz w:val="18"/>
      </w:rPr>
      <w:fldChar w:fldCharType="end"/>
    </w:r>
    <w:r>
      <w:rPr>
        <w:rFonts w:ascii="Times New Roman" w:hAnsi="Times New Roman" w:eastAsia="宋体"/>
        <w:color w:val="595959"/>
        <w:sz w:val="18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99517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6EE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80" w:line="312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40" w:after="120" w:line="276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60" w:after="100" w:line="276" w:lineRule="auto"/>
      <w:outlineLvl w:val="1"/>
    </w:pPr>
    <w:rPr>
      <w:rFonts w:asciiTheme="majorHAnsi" w:hAnsiTheme="majorHAnsi" w:eastAsiaTheme="majorEastAsia" w:cstheme="majorBidi"/>
      <w:b/>
      <w:bCs/>
      <w:color w:val="1F364D"/>
      <w:sz w:val="27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726</Words>
  <Characters>757</Characters>
  <Lines>0</Lines>
  <Paragraphs>0</Paragraphs>
  <TotalTime>1</TotalTime>
  <ScaleCrop>false</ScaleCrop>
  <LinksUpToDate>false</LinksUpToDate>
  <CharactersWithSpaces>791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沈阳市葡萄聚联科技有限公司</dc:creator>
  <cp:lastModifiedBy> 九点差三分.</cp:lastModifiedBy>
  <dcterms:modified xsi:type="dcterms:W3CDTF">2026-10-09T04:04:04Z</dcterms:modified>
  <dc:title>医疗机构抗菌药物备案上报系统操作指南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eyJoZGlkIjoiYzY0ODcwYWYzNTdiN2I1MTA4YWQzYjZlYzcyNWUyODkiLCJ1c2VySWQiOiI5MTQ0OTM4MTQifQ==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99459410537E423591A89DE12A8EDE01_12</vt:lpwstr>
  </property>
</Properties>
</file>