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黑体"/>
          <w:b/>
          <w:bCs/>
          <w:sz w:val="40"/>
          <w:szCs w:val="40"/>
        </w:rPr>
      </w:pPr>
      <w:r>
        <w:rPr>
          <w:rFonts w:ascii="Times New Roman" w:hAnsi="Times New Roman" w:eastAsia="黑体"/>
          <w:sz w:val="32"/>
          <w:szCs w:val="32"/>
        </w:rPr>
        <w:t>附件</w:t>
      </w:r>
      <w:r>
        <w:rPr>
          <w:rFonts w:hint="eastAsia" w:ascii="Times New Roman" w:hAnsi="Times New Roman" w:eastAsia="黑体"/>
          <w:sz w:val="32"/>
          <w:szCs w:val="32"/>
        </w:rPr>
        <w:t>1</w:t>
      </w:r>
    </w:p>
    <w:p>
      <w:pPr>
        <w:adjustRightInd w:val="0"/>
        <w:snapToGrid w:val="0"/>
        <w:spacing w:line="600" w:lineRule="exact"/>
        <w:jc w:val="center"/>
        <w:rPr>
          <w:rFonts w:ascii="Times New Roman" w:hAnsi="Times New Roman"/>
          <w:b/>
          <w:bCs/>
          <w:sz w:val="40"/>
          <w:szCs w:val="40"/>
        </w:rPr>
      </w:pPr>
      <w:r>
        <w:rPr>
          <w:rFonts w:ascii="Times New Roman" w:hAnsi="Times New Roman"/>
          <w:b/>
          <w:bCs/>
          <w:sz w:val="40"/>
          <w:szCs w:val="40"/>
        </w:rPr>
        <w:t>2021年朝阳区促进商务经济高质量发展</w:t>
      </w:r>
    </w:p>
    <w:p>
      <w:pPr>
        <w:jc w:val="center"/>
        <w:rPr>
          <w:rFonts w:ascii="Times New Roman" w:hAnsi="Times New Roman"/>
          <w:b/>
          <w:bCs/>
          <w:sz w:val="40"/>
          <w:szCs w:val="40"/>
        </w:rPr>
      </w:pPr>
      <w:r>
        <w:rPr>
          <w:rFonts w:ascii="Times New Roman" w:hAnsi="Times New Roman"/>
          <w:b/>
          <w:bCs/>
          <w:sz w:val="40"/>
          <w:szCs w:val="40"/>
        </w:rPr>
        <w:t>引导资金项目申报指南</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支持方向</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2021年朝阳区促进商务经济高质量发展引导资金项目申报共有四类支持方向，一是</w:t>
      </w:r>
      <w:r>
        <w:rPr>
          <w:rFonts w:ascii="Times New Roman" w:hAnsi="Times New Roman" w:eastAsia="仿宋_GB2312"/>
          <w:sz w:val="32"/>
          <w:szCs w:val="32"/>
        </w:rPr>
        <w:t>促进总部企业高质量发展方向</w:t>
      </w:r>
      <w:r>
        <w:rPr>
          <w:rFonts w:hint="eastAsia" w:ascii="Times New Roman" w:hAnsi="Times New Roman" w:eastAsia="仿宋_GB2312"/>
          <w:sz w:val="32"/>
          <w:szCs w:val="32"/>
        </w:rPr>
        <w:t>，</w:t>
      </w:r>
      <w:r>
        <w:rPr>
          <w:rFonts w:ascii="Times New Roman" w:hAnsi="Times New Roman" w:eastAsia="仿宋_GB2312"/>
          <w:sz w:val="32"/>
          <w:szCs w:val="32"/>
        </w:rPr>
        <w:t>二是促进商务服务业发展方向</w:t>
      </w:r>
      <w:r>
        <w:rPr>
          <w:rFonts w:hint="eastAsia" w:ascii="Times New Roman" w:hAnsi="Times New Roman" w:eastAsia="仿宋_GB2312"/>
          <w:sz w:val="32"/>
          <w:szCs w:val="32"/>
        </w:rPr>
        <w:t>，三是</w:t>
      </w:r>
      <w:r>
        <w:rPr>
          <w:rFonts w:ascii="Times New Roman" w:hAnsi="Times New Roman" w:eastAsia="仿宋_GB2312"/>
          <w:sz w:val="32"/>
          <w:szCs w:val="32"/>
        </w:rPr>
        <w:t>促进外向型经济发展方向</w:t>
      </w:r>
      <w:r>
        <w:rPr>
          <w:rFonts w:hint="eastAsia" w:ascii="Times New Roman" w:hAnsi="Times New Roman" w:eastAsia="仿宋_GB2312"/>
          <w:sz w:val="32"/>
          <w:szCs w:val="32"/>
        </w:rPr>
        <w:t>，</w:t>
      </w:r>
      <w:r>
        <w:rPr>
          <w:rFonts w:ascii="Times New Roman" w:hAnsi="Times New Roman" w:eastAsia="仿宋_GB2312"/>
          <w:sz w:val="32"/>
          <w:szCs w:val="32"/>
        </w:rPr>
        <w:t>四是促进消费升级发展方向</w:t>
      </w:r>
      <w:r>
        <w:rPr>
          <w:rFonts w:hint="eastAsia"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、申报资料</w:t>
      </w:r>
    </w:p>
    <w:p>
      <w:pPr>
        <w:adjustRightInd w:val="0"/>
        <w:snapToGrid w:val="0"/>
        <w:spacing w:line="600" w:lineRule="exact"/>
        <w:ind w:firstLine="640" w:firstLineChars="200"/>
        <w:rPr>
          <w:rFonts w:ascii="Times New Roman" w:hAnsi="Times New Roman" w:eastAsia="黑体"/>
          <w:b/>
          <w:sz w:val="32"/>
          <w:szCs w:val="32"/>
        </w:rPr>
      </w:pPr>
      <w:r>
        <w:rPr>
          <w:rFonts w:hint="eastAsia" w:ascii="Times New Roman" w:hAnsi="Times New Roman" w:eastAsia="仿宋_GB2312"/>
          <w:sz w:val="32"/>
          <w:szCs w:val="32"/>
        </w:rPr>
        <w:t>申报材料包括</w:t>
      </w:r>
      <w:r>
        <w:rPr>
          <w:rFonts w:hint="eastAsia" w:ascii="Times New Roman" w:hAnsi="Times New Roman" w:eastAsia="仿宋_GB2312"/>
          <w:b/>
          <w:sz w:val="32"/>
          <w:szCs w:val="32"/>
        </w:rPr>
        <w:t>基本申报材料</w:t>
      </w:r>
      <w:r>
        <w:rPr>
          <w:rFonts w:hint="eastAsia" w:ascii="Times New Roman" w:hAnsi="Times New Roman" w:eastAsia="仿宋_GB2312"/>
          <w:sz w:val="32"/>
          <w:szCs w:val="32"/>
        </w:rPr>
        <w:t>及</w:t>
      </w:r>
      <w:r>
        <w:rPr>
          <w:rFonts w:hint="eastAsia" w:ascii="Times New Roman" w:hAnsi="Times New Roman" w:eastAsia="仿宋_GB2312"/>
          <w:b/>
          <w:sz w:val="32"/>
          <w:szCs w:val="32"/>
        </w:rPr>
        <w:t>附加申报材料</w:t>
      </w:r>
      <w:r>
        <w:rPr>
          <w:rFonts w:hint="eastAsia" w:ascii="Times New Roman" w:hAnsi="Times New Roman" w:eastAsia="仿宋_GB2312"/>
          <w:sz w:val="32"/>
          <w:szCs w:val="32"/>
        </w:rPr>
        <w:t>。</w:t>
      </w:r>
    </w:p>
    <w:p>
      <w:pPr>
        <w:numPr>
          <w:ilvl w:val="0"/>
          <w:numId w:val="1"/>
        </w:numPr>
        <w:adjustRightInd w:val="0"/>
        <w:snapToGrid w:val="0"/>
        <w:spacing w:line="600" w:lineRule="exact"/>
        <w:ind w:left="1060"/>
        <w:rPr>
          <w:rFonts w:ascii="Times New Roman" w:hAnsi="Times New Roman" w:eastAsia="黑体"/>
          <w:b/>
          <w:sz w:val="32"/>
          <w:szCs w:val="32"/>
        </w:rPr>
      </w:pPr>
      <w:r>
        <w:rPr>
          <w:rFonts w:hint="eastAsia" w:ascii="Times New Roman" w:hAnsi="Times New Roman" w:eastAsia="仿宋_GB2312"/>
          <w:b/>
          <w:sz w:val="32"/>
          <w:szCs w:val="32"/>
        </w:rPr>
        <w:t>基本申报材料（格式要求详见附件，分别加盖公章）：</w:t>
      </w:r>
      <w:r>
        <w:rPr>
          <w:rFonts w:ascii="Times New Roman" w:hAnsi="Times New Roman" w:eastAsia="黑体"/>
          <w:b/>
          <w:sz w:val="32"/>
          <w:szCs w:val="32"/>
        </w:rPr>
        <w:t xml:space="preserve"> </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1、封面填写申报产业资金名称、申报单位全称、申报联系人及日期。</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2、《2021年朝阳区商务经济高质量发展引导资金申请表》。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3、《2021年朝阳区商务经济高质量发展引导资金企业信息表》。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4、《2021年朝阳区商务经济高质量发展引导资金企业银行账户信息备案表》。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5、含统一社会信用代码的营业执照副本复印件。</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6、银行方的《开户许可证》或开户证明文件复印件（如账户为基本存款账户，需提供开户许可证。如账户为一般存款账户，需提供对应账户的银行开户凭证）。</w:t>
      </w:r>
    </w:p>
    <w:p>
      <w:pPr>
        <w:numPr>
          <w:ilvl w:val="0"/>
          <w:numId w:val="1"/>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附加申报材料（格式要求详见附件，分别加盖公章）：</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请参照申报明细中对应条款具体要求。</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三、申报明细</w:t>
      </w:r>
    </w:p>
    <w:p>
      <w:pPr>
        <w:spacing w:line="600" w:lineRule="exact"/>
        <w:ind w:firstLine="643" w:firstLineChars="200"/>
        <w:rPr>
          <w:rFonts w:ascii="Times New Roman" w:hAnsi="Times New Roman" w:eastAsia="黑体"/>
          <w:sz w:val="32"/>
          <w:szCs w:val="32"/>
        </w:rPr>
      </w:pPr>
      <w:r>
        <w:rPr>
          <w:rFonts w:hint="eastAsia" w:ascii="Times New Roman" w:hAnsi="Times New Roman" w:eastAsia="楷体"/>
          <w:b/>
          <w:sz w:val="32"/>
          <w:szCs w:val="32"/>
        </w:rPr>
        <w:t>（一）促进总部企业高质量发展方向</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1、</w:t>
      </w:r>
      <w:r>
        <w:rPr>
          <w:rFonts w:ascii="Times New Roman" w:hAnsi="Times New Roman" w:eastAsia="楷体"/>
          <w:b/>
          <w:sz w:val="32"/>
          <w:szCs w:val="32"/>
        </w:rPr>
        <w:t>落户认定奖励</w:t>
      </w:r>
    </w:p>
    <w:p>
      <w:pPr>
        <w:numPr>
          <w:ilvl w:val="0"/>
          <w:numId w:val="1"/>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对经本市新认定的跨国公司地区总部（含亚太区总部），给予1000 万元人民币一次性奖励。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对经本市新认定的跨国公司全球总部，给予2000 万元人民币一次性奖励。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对新迁入的跨国公司地区总部企业，给予最高不超过1000 万元人民币的一次性奖励。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本条款与市级政策配套使用</w:t>
      </w:r>
      <w:r>
        <w:rPr>
          <w:rFonts w:hint="eastAsia" w:ascii="Times New Roman" w:hAnsi="Times New Roman" w:eastAsia="仿宋_GB2312"/>
          <w:sz w:val="32"/>
          <w:szCs w:val="32"/>
        </w:rPr>
        <w:t>，新认定及新迁入时间为2019至2020年。</w:t>
      </w:r>
    </w:p>
    <w:p>
      <w:pPr>
        <w:numPr>
          <w:ilvl w:val="0"/>
          <w:numId w:val="1"/>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numPr>
          <w:ilvl w:val="0"/>
          <w:numId w:val="2"/>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010-65099575</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2、</w:t>
      </w:r>
      <w:r>
        <w:rPr>
          <w:rFonts w:ascii="Times New Roman" w:hAnsi="Times New Roman" w:eastAsia="楷体"/>
          <w:b/>
          <w:sz w:val="32"/>
          <w:szCs w:val="32"/>
        </w:rPr>
        <w:t>突出贡献奖励</w:t>
      </w:r>
    </w:p>
    <w:p>
      <w:pPr>
        <w:numPr>
          <w:ilvl w:val="0"/>
          <w:numId w:val="1"/>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spacing w:line="600" w:lineRule="exact"/>
        <w:ind w:firstLine="480" w:firstLineChars="150"/>
        <w:rPr>
          <w:rFonts w:ascii="Times New Roman" w:hAnsi="Times New Roman" w:eastAsia="楷体"/>
          <w:b/>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总部企业中区级贡献排名前20的企业给予资金奖励，奖励金额不超过其区级可控财力增量的30%，奖励金额不超过1500万元人民币。</w:t>
      </w:r>
    </w:p>
    <w:p>
      <w:pPr>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（2）对2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区级贡献增速排名前20的总部企业给予资金奖励，奖励金额不超过其区级可控财力增量的30%，奖励金额不超过500万元人民币。</w:t>
      </w:r>
    </w:p>
    <w:p>
      <w:pPr>
        <w:numPr>
          <w:ilvl w:val="0"/>
          <w:numId w:val="1"/>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010-65099575</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（二）</w:t>
      </w:r>
      <w:r>
        <w:rPr>
          <w:rFonts w:ascii="Times New Roman" w:hAnsi="Times New Roman" w:eastAsia="楷体"/>
          <w:b/>
          <w:sz w:val="32"/>
          <w:szCs w:val="32"/>
        </w:rPr>
        <w:t>促进商务服务业发展方向</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3、</w:t>
      </w:r>
      <w:r>
        <w:rPr>
          <w:rFonts w:ascii="Times New Roman" w:hAnsi="Times New Roman" w:eastAsia="楷体"/>
          <w:b/>
          <w:sz w:val="32"/>
          <w:szCs w:val="32"/>
        </w:rPr>
        <w:t>落户奖励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新设立或新迁入的国际知名商务服务业企业，按照区级可控财力50%给予企业一次性资金奖励，最高不超过500万元。该奖励政策自企业新设立或新迁入次年起可申请，执行有效期三年。</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numPr>
          <w:ilvl w:val="0"/>
          <w:numId w:val="4"/>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010-65099183</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4、</w:t>
      </w:r>
      <w:r>
        <w:rPr>
          <w:rFonts w:ascii="Times New Roman" w:hAnsi="Times New Roman" w:eastAsia="楷体"/>
          <w:b/>
          <w:sz w:val="32"/>
          <w:szCs w:val="32"/>
        </w:rPr>
        <w:t>办公用房补贴</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新设立或新迁入的国际知名商务服务业企业租用办公用房，按照当年租金的50%连续三年给予补贴，总补贴金额不超过1500万元。</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新设立或新迁入，且能够带动区域经济发展、提升区域品牌形象的国际性组织、地区性国际组织、高端智库，按照当年租金的50%连续三年给予补贴，总补贴金额不超过600万元。享受补贴期间，不得将租用的办公用房转租或改变其用途，租用期应不少于3 年。</w:t>
      </w:r>
      <w:r>
        <w:rPr>
          <w:rFonts w:hint="eastAsia" w:ascii="Times New Roman" w:hAnsi="Times New Roman" w:eastAsia="仿宋_GB2312"/>
          <w:sz w:val="32"/>
          <w:szCs w:val="32"/>
        </w:rPr>
        <w:t xml:space="preserve"> </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1、费用明细表（租金补贴类），其中明细表中的承诺书需由企业负责人签字。</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2、租房合同、租金支付发票、支付凭证复印件等。</w:t>
      </w:r>
    </w:p>
    <w:p>
      <w:pPr>
        <w:numPr>
          <w:ilvl w:val="0"/>
          <w:numId w:val="4"/>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010-65099183</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5、</w:t>
      </w:r>
      <w:r>
        <w:rPr>
          <w:rFonts w:ascii="Times New Roman" w:hAnsi="Times New Roman" w:eastAsia="楷体"/>
          <w:b/>
          <w:sz w:val="32"/>
          <w:szCs w:val="32"/>
        </w:rPr>
        <w:t>贡献奖励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行业贡献奖励。对组织管理服务、综合管理服务、法律服务、咨询与调查、人力资源服务、广告业以及会议展览七大商务服务业重点领域中，</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年度</w:t>
      </w:r>
      <w:r>
        <w:rPr>
          <w:rFonts w:ascii="Times New Roman" w:hAnsi="Times New Roman" w:eastAsia="仿宋_GB2312"/>
          <w:sz w:val="32"/>
          <w:szCs w:val="32"/>
        </w:rPr>
        <w:t>区级贡献各排名前10且增速高于全区平均增速的企业，给予50万元资金奖励</w:t>
      </w:r>
      <w:r>
        <w:rPr>
          <w:rFonts w:hint="eastAsia" w:ascii="Times New Roman" w:hAnsi="Times New Roman" w:eastAsia="仿宋_GB2312"/>
          <w:sz w:val="32"/>
          <w:szCs w:val="32"/>
        </w:rPr>
        <w:t>。</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营业收入贡献奖励。对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年度</w:t>
      </w:r>
      <w:r>
        <w:rPr>
          <w:rFonts w:ascii="Times New Roman" w:hAnsi="Times New Roman" w:eastAsia="仿宋_GB2312"/>
          <w:sz w:val="32"/>
          <w:szCs w:val="32"/>
        </w:rPr>
        <w:t>营业收入达到1亿元且增速排名前50的商务服务业企业给予50万元资金奖励。</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人才奖励。对区域商务服务业发展做出突出贡献的企业人才，按照本区相关规定，给予资金奖励，并优先推荐“凤凰计划”和“国际高端商务人才”的评定。</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numPr>
          <w:ilvl w:val="0"/>
          <w:numId w:val="4"/>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010-65099183</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6、</w:t>
      </w:r>
      <w:r>
        <w:rPr>
          <w:rFonts w:ascii="Times New Roman" w:hAnsi="Times New Roman" w:eastAsia="楷体"/>
          <w:b/>
          <w:sz w:val="32"/>
          <w:szCs w:val="32"/>
        </w:rPr>
        <w:t>会展支持</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在我区主办的国际性展（博）览会和国际性会议给予资金支持；对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在境外组织举办、参与国际性展览会或组织开展经贸交流活动给予资金支持。支持金额不超过承办方活动费用的50%，最高不超过200万元。</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符合朝阳区发展方向的展（博）览会、交易会、洽谈会、经贸论坛、品牌发布展示、交流活动给予资金支持。支持金额不超过承办方活动费用的50%，最高不超过200万元。</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020年度引进国际知名品牌展会来朝阳办展，且营业收入增幅高于全区商务服务业营业收入平均增幅的展馆，给予100万元奖励。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1、项目费用明细表（会展支持项目）。</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2、申报项目情况表，境外参展的展会需提供朝阳区注册纳税企业数量及名单。</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3、展商合同、场租合同及发票和支付凭证、设计搭建合同及发票和支付凭证（境外展会或交流活动的合同需附具有专业资质翻译公司提供的翻译件）。</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4、展会现场照片、展会平面布置图。</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符合朝阳区发展方向的展（博）览会项目申报</w:t>
      </w:r>
      <w:r>
        <w:rPr>
          <w:rFonts w:hint="eastAsia" w:ascii="Times New Roman" w:hAnsi="Times New Roman" w:eastAsia="仿宋_GB2312"/>
          <w:sz w:val="32"/>
          <w:szCs w:val="32"/>
        </w:rPr>
        <w:t>，还需提供区领导批示文件或朝阳区商务局委托函、委托协议。</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6、申请展馆补贴的需提供引进国际知名品牌展会来朝阳办展清单及简要说明、相关展会级别认定证明或证书。</w:t>
      </w:r>
    </w:p>
    <w:p>
      <w:pPr>
        <w:numPr>
          <w:ilvl w:val="0"/>
          <w:numId w:val="5"/>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境外展会</w:t>
      </w:r>
      <w:r>
        <w:rPr>
          <w:rFonts w:hint="eastAsia" w:ascii="Times New Roman" w:hAnsi="Times New Roman" w:eastAsia="仿宋_GB2312"/>
          <w:sz w:val="32"/>
          <w:szCs w:val="32"/>
        </w:rPr>
        <w:t>咨询：010-65094561</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境内展会咨询：</w:t>
      </w:r>
      <w:r>
        <w:rPr>
          <w:rFonts w:ascii="Times New Roman" w:hAnsi="Times New Roman" w:eastAsia="仿宋_GB2312"/>
          <w:sz w:val="32"/>
          <w:szCs w:val="32"/>
        </w:rPr>
        <w:t>010-65099183</w:t>
      </w:r>
    </w:p>
    <w:p>
      <w:pPr>
        <w:spacing w:line="600" w:lineRule="exact"/>
        <w:ind w:firstLine="482" w:firstLineChars="150"/>
        <w:rPr>
          <w:rFonts w:ascii="Times New Roman" w:hAnsi="Times New Roman" w:eastAsia="仿宋_GB2312"/>
          <w:sz w:val="32"/>
          <w:szCs w:val="32"/>
        </w:rPr>
      </w:pPr>
      <w:r>
        <w:rPr>
          <w:rFonts w:hint="eastAsia" w:ascii="Times New Roman" w:hAnsi="Times New Roman" w:eastAsia="楷体"/>
          <w:b/>
          <w:sz w:val="32"/>
          <w:szCs w:val="32"/>
        </w:rPr>
        <w:t>7、</w:t>
      </w:r>
      <w:r>
        <w:rPr>
          <w:rFonts w:ascii="Times New Roman" w:hAnsi="Times New Roman" w:eastAsia="楷体"/>
          <w:b/>
          <w:sz w:val="32"/>
          <w:szCs w:val="32"/>
        </w:rPr>
        <w:t>商务服务平台支持</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高端智库、研发机构在产业政策研究、</w:t>
      </w:r>
      <w:bookmarkStart w:id="0" w:name="_GoBack"/>
      <w:bookmarkEnd w:id="0"/>
      <w:r>
        <w:rPr>
          <w:rFonts w:ascii="Times New Roman" w:hAnsi="Times New Roman" w:eastAsia="仿宋_GB2312"/>
          <w:sz w:val="32"/>
          <w:szCs w:val="32"/>
        </w:rPr>
        <w:t>理论研究、技术研发等方面取得重要成果，且对朝阳商务经济发展起到重要推动作用和服务作用的给予资金奖励。奖励金额不超过项目总体费用的50%，最高不超过100万元。</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具有重大影响力、贡献力的国际性、全国性或跨区域性的创新平台、产业融合发展促进平台等，根据具体成果，给予不超过项目总体费用50%的资金支持，最高不超过100万元。</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1、申报项目情况表（商务服务平台类）。</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2、具有相关资质第三方机构出具的项目成果研发费用专项审计报告。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3、推荐单位意见函（加盖推荐单位公章）。</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4、研究成果应用证明文件或报告，比如项目后评价报告、项目评估报告。</w:t>
      </w:r>
    </w:p>
    <w:p>
      <w:pPr>
        <w:numPr>
          <w:ilvl w:val="0"/>
          <w:numId w:val="6"/>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010-65099183</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（三）</w:t>
      </w:r>
      <w:r>
        <w:rPr>
          <w:rFonts w:ascii="Times New Roman" w:hAnsi="Times New Roman" w:eastAsia="楷体"/>
          <w:b/>
          <w:sz w:val="32"/>
          <w:szCs w:val="32"/>
        </w:rPr>
        <w:t>促进外向型经济发展方向</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8、</w:t>
      </w:r>
      <w:r>
        <w:rPr>
          <w:rFonts w:ascii="Times New Roman" w:hAnsi="Times New Roman" w:eastAsia="楷体"/>
          <w:b/>
          <w:sz w:val="32"/>
          <w:szCs w:val="32"/>
        </w:rPr>
        <w:t>实际利用外资贡献奖励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度实际利用外资5000万美元（含）以上，且商务部纳统的企业，根据企业实际利用外资规模，给予资金奖励。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实际利用外资在10亿美元（含）以上的，给予500万元人民币资金奖励；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实际利用外资在5亿美元（含）至10亿美元，给予300万元人民币资金奖励；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实际利用外资在1亿美元（含）至5亿美元，给予200万元人民币资金奖励；</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实际利用外资5000万美元（含）至1亿美元，给予100万元人民币资金奖励。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numPr>
          <w:ilvl w:val="0"/>
          <w:numId w:val="7"/>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010-65094561</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9、</w:t>
      </w:r>
      <w:r>
        <w:rPr>
          <w:rFonts w:ascii="Times New Roman" w:hAnsi="Times New Roman" w:eastAsia="楷体"/>
          <w:b/>
          <w:sz w:val="32"/>
          <w:szCs w:val="32"/>
        </w:rPr>
        <w:t>鼓励跨境电商发展奖励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在朝阳区开设直购体验店且房屋租赁时间1年以上，店内现场展示商品的SKU（库存量单位）总数量不少于500种的企业，店面租赁面积500平米（含）以上的企业，给予50万元一次性资金奖励。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1、租房合同及发票复印件、支付凭证。</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2、店内现场展示商品明细。</w:t>
      </w:r>
    </w:p>
    <w:p>
      <w:pPr>
        <w:numPr>
          <w:ilvl w:val="0"/>
          <w:numId w:val="8"/>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010-65094561</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10、</w:t>
      </w:r>
      <w:r>
        <w:rPr>
          <w:rFonts w:ascii="Times New Roman" w:hAnsi="Times New Roman" w:eastAsia="楷体"/>
          <w:b/>
          <w:sz w:val="32"/>
          <w:szCs w:val="32"/>
        </w:rPr>
        <w:t>境外服务机构奖励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区内商协会、社会团体、企业及其他组织机构设立境外服务机构，</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为朝阳区内企业“走出去”提供服务，给予20万元一次性奖励。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1、申报项目情况表。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2、境外服务机构服务运行情况考核报告。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3、服务平台企业委托的境外服务机构租用（或购买）办公用房的合同（境外合同需附具有专业资质翻译公司提供的翻译件）、支付明细及发票复印件。</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4、上一年度市商务局认定的境外服务机构证明材料。</w:t>
      </w:r>
    </w:p>
    <w:p>
      <w:pPr>
        <w:numPr>
          <w:ilvl w:val="0"/>
          <w:numId w:val="9"/>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010-65099575</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11、</w:t>
      </w:r>
      <w:r>
        <w:rPr>
          <w:rFonts w:ascii="Times New Roman" w:hAnsi="Times New Roman" w:eastAsia="楷体"/>
          <w:b/>
          <w:sz w:val="32"/>
          <w:szCs w:val="32"/>
        </w:rPr>
        <w:t>促进外向型经济发展奖励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促进朝阳区外向型经济发展做出突出贡献的企业或机构、人才给予资金奖励，每家企业或机构奖励金额不超过50万元、单人奖励金额不超过10万元。</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numPr>
          <w:ilvl w:val="0"/>
          <w:numId w:val="10"/>
        </w:numPr>
        <w:adjustRightInd w:val="0"/>
        <w:snapToGrid w:val="0"/>
        <w:spacing w:line="600" w:lineRule="exact"/>
        <w:ind w:left="1060"/>
        <w:rPr>
          <w:rFonts w:ascii="Times New Roman" w:hAnsi="Times New Roman" w:eastAsia="仿宋_GB2312"/>
          <w:sz w:val="32"/>
          <w:szCs w:val="32"/>
        </w:rPr>
      </w:pPr>
      <w:r>
        <w:rPr>
          <w:rFonts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010-65094561</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（四）</w:t>
      </w:r>
      <w:r>
        <w:rPr>
          <w:rFonts w:ascii="Times New Roman" w:hAnsi="Times New Roman" w:eastAsia="楷体"/>
          <w:b/>
          <w:sz w:val="32"/>
          <w:szCs w:val="32"/>
        </w:rPr>
        <w:t>促进消费升级发展方向</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12、</w:t>
      </w:r>
      <w:r>
        <w:rPr>
          <w:rFonts w:ascii="Times New Roman" w:hAnsi="Times New Roman" w:eastAsia="楷体"/>
          <w:b/>
          <w:sz w:val="32"/>
          <w:szCs w:val="32"/>
        </w:rPr>
        <w:t>总消费奖励</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消费总量奖励。对电商、综合零售、汽车、餐饮、石油、家电六个重点行业，</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年度</w:t>
      </w:r>
      <w:r>
        <w:rPr>
          <w:rFonts w:ascii="Times New Roman" w:hAnsi="Times New Roman" w:eastAsia="仿宋_GB2312"/>
          <w:sz w:val="32"/>
          <w:szCs w:val="32"/>
        </w:rPr>
        <w:t>社会消费品零售额总量各自排名前5的企业，给予最高100万元的资金奖励。</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消费增速奖励。对电商、综合零售、汽车、餐饮、石油、家电六个重点行业，</w:t>
      </w:r>
      <w:r>
        <w:rPr>
          <w:rFonts w:hint="eastAsia" w:ascii="Times New Roman" w:hAnsi="Times New Roman" w:eastAsia="仿宋_GB2312"/>
          <w:sz w:val="32"/>
          <w:szCs w:val="32"/>
        </w:rPr>
        <w:t>2</w:t>
      </w:r>
      <w:r>
        <w:rPr>
          <w:rFonts w:ascii="Times New Roman" w:hAnsi="Times New Roman" w:eastAsia="仿宋_GB2312"/>
          <w:sz w:val="32"/>
          <w:szCs w:val="32"/>
        </w:rPr>
        <w:t>020年度零售额达到1亿元且增速排名前10的企业给予30万元的资金奖励。</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对交通通信、教育文化娱乐和医疗保健三个重点行业，</w:t>
      </w:r>
      <w:r>
        <w:rPr>
          <w:rFonts w:hint="eastAsia" w:ascii="Times New Roman" w:hAnsi="Times New Roman" w:eastAsia="仿宋_GB2312"/>
          <w:sz w:val="32"/>
          <w:szCs w:val="32"/>
        </w:rPr>
        <w:t>2</w:t>
      </w:r>
      <w:r>
        <w:rPr>
          <w:rFonts w:ascii="Times New Roman" w:hAnsi="Times New Roman" w:eastAsia="仿宋_GB2312"/>
          <w:sz w:val="32"/>
          <w:szCs w:val="32"/>
        </w:rPr>
        <w:t>020年度服务性消费达到1亿元且增速排名前10的企业给予30万元的资金奖励。</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人才奖励。对</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w:t>
      </w:r>
      <w:r>
        <w:rPr>
          <w:rFonts w:ascii="Times New Roman" w:hAnsi="Times New Roman" w:eastAsia="仿宋_GB2312"/>
          <w:sz w:val="32"/>
          <w:szCs w:val="32"/>
        </w:rPr>
        <w:t>区域促消费做出突出贡献的企业人才给予资金奖励，并优先推荐“凤凰计划”和“国际高端商务人才”的评定。单人奖励金额不超过10万元。</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u w:val="single"/>
        </w:rPr>
        <w:t>仅需提交基本</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numPr>
          <w:ilvl w:val="0"/>
          <w:numId w:val="11"/>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服务性消费咨询：</w:t>
      </w:r>
      <w:r>
        <w:rPr>
          <w:rFonts w:ascii="Times New Roman" w:hAnsi="Times New Roman" w:eastAsia="仿宋_GB2312"/>
          <w:sz w:val="32"/>
          <w:szCs w:val="32"/>
        </w:rPr>
        <w:t>010-65099183</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消费总量、增速奖励及人才奖励咨询：</w:t>
      </w:r>
      <w:r>
        <w:rPr>
          <w:rFonts w:ascii="Times New Roman" w:hAnsi="Times New Roman" w:eastAsia="仿宋_GB2312"/>
          <w:sz w:val="32"/>
          <w:szCs w:val="32"/>
        </w:rPr>
        <w:t>010-65099845</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13、</w:t>
      </w:r>
      <w:r>
        <w:rPr>
          <w:rFonts w:ascii="Times New Roman" w:hAnsi="Times New Roman" w:eastAsia="楷体"/>
          <w:b/>
          <w:sz w:val="32"/>
          <w:szCs w:val="32"/>
        </w:rPr>
        <w:t>商圈改造扶持</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支持企业围绕消费升级、环境提升进行商圈和特色商业街区改造，经评审符合朝阳区产业发展方向的，按照不超过实际投资额的30%给予资金扶持，奖励分三年给付，单个项目支持总额不超过3000万元。</w:t>
      </w:r>
      <w:r>
        <w:rPr>
          <w:rFonts w:hint="eastAsia" w:ascii="Times New Roman" w:hAnsi="Times New Roman" w:eastAsia="仿宋_GB2312"/>
          <w:sz w:val="32"/>
          <w:szCs w:val="32"/>
        </w:rPr>
        <w:t>项目完成时间为2</w:t>
      </w:r>
      <w:r>
        <w:rPr>
          <w:rFonts w:ascii="Times New Roman" w:hAnsi="Times New Roman" w:eastAsia="仿宋_GB2312"/>
          <w:sz w:val="32"/>
          <w:szCs w:val="32"/>
        </w:rPr>
        <w:t>019</w:t>
      </w:r>
      <w:r>
        <w:rPr>
          <w:rFonts w:hint="eastAsia" w:ascii="Times New Roman" w:hAnsi="Times New Roman" w:eastAsia="仿宋_GB2312"/>
          <w:sz w:val="32"/>
          <w:szCs w:val="32"/>
        </w:rPr>
        <w:t>年至</w:t>
      </w:r>
      <w:r>
        <w:rPr>
          <w:rFonts w:ascii="Times New Roman" w:hAnsi="Times New Roman" w:eastAsia="仿宋_GB2312"/>
          <w:sz w:val="32"/>
          <w:szCs w:val="32"/>
        </w:rPr>
        <w:t>2020</w:t>
      </w:r>
      <w:r>
        <w:rPr>
          <w:rFonts w:hint="eastAsia" w:ascii="Times New Roman" w:hAnsi="Times New Roman" w:eastAsia="仿宋_GB2312"/>
          <w:sz w:val="32"/>
          <w:szCs w:val="32"/>
        </w:rPr>
        <w:t>年。</w:t>
      </w:r>
    </w:p>
    <w:p>
      <w:pPr>
        <w:adjustRightInd w:val="0"/>
        <w:snapToGrid w:val="0"/>
        <w:spacing w:line="60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支持低效商场改造升级，经评审符合朝阳区产业发展方向的，按照不超过实际投资额的30%给予资金扶持，奖励分三年按照40%、30%、30%比例给付，单个项目支持总额不超过1500万元。</w:t>
      </w:r>
      <w:r>
        <w:rPr>
          <w:rFonts w:hint="eastAsia" w:ascii="Times New Roman" w:hAnsi="Times New Roman" w:eastAsia="仿宋_GB2312"/>
          <w:sz w:val="32"/>
          <w:szCs w:val="32"/>
        </w:rPr>
        <w:t>项目完成时间为2</w:t>
      </w:r>
      <w:r>
        <w:rPr>
          <w:rFonts w:ascii="Times New Roman" w:hAnsi="Times New Roman" w:eastAsia="仿宋_GB2312"/>
          <w:sz w:val="32"/>
          <w:szCs w:val="32"/>
        </w:rPr>
        <w:t>020</w:t>
      </w:r>
      <w:r>
        <w:rPr>
          <w:rFonts w:hint="eastAsia" w:ascii="Times New Roman" w:hAnsi="Times New Roman" w:eastAsia="仿宋_GB2312"/>
          <w:sz w:val="32"/>
          <w:szCs w:val="32"/>
        </w:rPr>
        <w:t>年。</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1、改造费用明细表。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2、与申报内容相符且有相应资质的第三方机构出具的申报费用专项审计报告。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3、申报项目完工验收证明文件（需有施工方与申报主体双方盖章）。</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4、有资质的第三方机构出具的消防验收证明文件（如有请提供）。</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5、该申报项目的立项报告。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6、改造提升后商圈、商业街区或商场的运营情况介绍，包括数据。</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7、改造前后对比照片及说明资料。</w:t>
      </w:r>
    </w:p>
    <w:p>
      <w:pPr>
        <w:numPr>
          <w:ilvl w:val="0"/>
          <w:numId w:val="12"/>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商圈和特色商业街区改造</w:t>
      </w:r>
      <w:r>
        <w:rPr>
          <w:rFonts w:hint="eastAsia" w:ascii="Times New Roman" w:hAnsi="Times New Roman" w:eastAsia="仿宋_GB2312"/>
          <w:sz w:val="32"/>
          <w:szCs w:val="32"/>
        </w:rPr>
        <w:t>咨询：</w:t>
      </w:r>
      <w:r>
        <w:rPr>
          <w:rFonts w:ascii="Times New Roman" w:hAnsi="Times New Roman" w:eastAsia="仿宋_GB2312"/>
          <w:sz w:val="32"/>
          <w:szCs w:val="32"/>
        </w:rPr>
        <w:t>010-65099845</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低效商场改造升级</w:t>
      </w:r>
      <w:r>
        <w:rPr>
          <w:rFonts w:hint="eastAsia" w:ascii="Times New Roman" w:hAnsi="Times New Roman" w:eastAsia="仿宋_GB2312"/>
          <w:sz w:val="32"/>
          <w:szCs w:val="32"/>
        </w:rPr>
        <w:t>咨询：</w:t>
      </w:r>
      <w:r>
        <w:rPr>
          <w:rFonts w:ascii="Times New Roman" w:hAnsi="Times New Roman" w:eastAsia="仿宋_GB2312"/>
          <w:sz w:val="32"/>
          <w:szCs w:val="32"/>
        </w:rPr>
        <w:t>010-65094330</w:t>
      </w:r>
    </w:p>
    <w:p>
      <w:pPr>
        <w:spacing w:line="600" w:lineRule="exact"/>
        <w:ind w:firstLine="482" w:firstLineChars="150"/>
        <w:rPr>
          <w:rFonts w:ascii="Times New Roman" w:hAnsi="Times New Roman" w:eastAsia="楷体"/>
          <w:b/>
          <w:sz w:val="32"/>
          <w:szCs w:val="32"/>
        </w:rPr>
      </w:pPr>
      <w:r>
        <w:rPr>
          <w:rFonts w:hint="eastAsia" w:ascii="Times New Roman" w:hAnsi="Times New Roman" w:eastAsia="楷体"/>
          <w:b/>
          <w:sz w:val="32"/>
          <w:szCs w:val="32"/>
        </w:rPr>
        <w:t>14、</w:t>
      </w:r>
      <w:r>
        <w:rPr>
          <w:rFonts w:ascii="Times New Roman" w:hAnsi="Times New Roman" w:eastAsia="楷体"/>
          <w:b/>
          <w:sz w:val="32"/>
          <w:szCs w:val="32"/>
        </w:rPr>
        <w:t>消费创新扶持</w:t>
      </w:r>
    </w:p>
    <w:p>
      <w:pPr>
        <w:adjustRightInd w:val="0"/>
        <w:snapToGrid w:val="0"/>
        <w:spacing w:line="600" w:lineRule="exact"/>
        <w:ind w:firstLine="321" w:firstLineChars="1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支持消费环境提升。</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鼓励举办促消费活动，提升朝阳消费品牌影响力，按照不超过其实际发生费用的50%进行支持，年支持金额不超过50万元。</w:t>
      </w:r>
      <w:r>
        <w:rPr>
          <w:rFonts w:hint="eastAsia" w:ascii="Times New Roman" w:hAnsi="Times New Roman" w:eastAsia="仿宋_GB2312"/>
          <w:sz w:val="32"/>
          <w:szCs w:val="32"/>
        </w:rPr>
        <w:t>活动举办时间为2</w:t>
      </w:r>
      <w:r>
        <w:rPr>
          <w:rFonts w:ascii="Times New Roman" w:hAnsi="Times New Roman" w:eastAsia="仿宋_GB2312"/>
          <w:sz w:val="32"/>
          <w:szCs w:val="32"/>
        </w:rPr>
        <w:t>020</w:t>
      </w:r>
      <w:r>
        <w:rPr>
          <w:rFonts w:hint="eastAsia" w:ascii="Times New Roman" w:hAnsi="Times New Roman" w:eastAsia="仿宋_GB2312"/>
          <w:sz w:val="32"/>
          <w:szCs w:val="32"/>
        </w:rPr>
        <w:t>年。</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1、费用明细表（促消费活动类）。</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2、申报项目情况介绍：活动情况介绍、现场照片及效果评价等材料。</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3、服务合同、发票及支付凭证复印件。</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4、经有资质的第三方机构出具的申报费用专项审计报告。</w:t>
      </w:r>
    </w:p>
    <w:p>
      <w:pPr>
        <w:numPr>
          <w:ilvl w:val="0"/>
          <w:numId w:val="13"/>
        </w:numPr>
        <w:adjustRightInd w:val="0"/>
        <w:snapToGrid w:val="0"/>
        <w:spacing w:line="600" w:lineRule="exact"/>
        <w:ind w:left="1060"/>
        <w:rPr>
          <w:rFonts w:ascii="Times New Roman" w:hAnsi="Times New Roman" w:eastAsia="仿宋_GB2312"/>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010-65099845</w:t>
      </w:r>
    </w:p>
    <w:p>
      <w:pPr>
        <w:adjustRightInd w:val="0"/>
        <w:snapToGrid w:val="0"/>
        <w:spacing w:line="600" w:lineRule="exact"/>
        <w:ind w:firstLine="321" w:firstLineChars="1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支持夜间经济发展。</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支持开展深夜特色街区建设，经评审符合朝阳区产业发展方向的，按照不超过实际投资额的50%给予支持，最高不超过500万元。对于开展消费领域规划布局研究、数据监测、宣传推广活动等事项发生的费用，可在产业资金中列支。</w:t>
      </w:r>
      <w:r>
        <w:rPr>
          <w:rFonts w:hint="eastAsia" w:ascii="Times New Roman" w:hAnsi="Times New Roman" w:eastAsia="仿宋_GB2312"/>
          <w:sz w:val="32"/>
          <w:szCs w:val="32"/>
        </w:rPr>
        <w:t>项目完成时间为2</w:t>
      </w:r>
      <w:r>
        <w:rPr>
          <w:rFonts w:ascii="Times New Roman" w:hAnsi="Times New Roman" w:eastAsia="仿宋_GB2312"/>
          <w:sz w:val="32"/>
          <w:szCs w:val="32"/>
        </w:rPr>
        <w:t>020</w:t>
      </w:r>
      <w:r>
        <w:rPr>
          <w:rFonts w:hint="eastAsia" w:ascii="Times New Roman" w:hAnsi="Times New Roman" w:eastAsia="仿宋_GB2312"/>
          <w:sz w:val="32"/>
          <w:szCs w:val="32"/>
        </w:rPr>
        <w:t>年。</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除提供基本申报材料之外，还需提供以下附加申报材料：</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1、费用明细表（夜间经济特色街区建设）。</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2、与申报内容相符且有相应资质的第三方机构出具的申报费用专项审计报告。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3、申报项目完工验收证明文件（需有施工方与申报主体双方盖章）。</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4、有资质的第三方机构出具的消防验收证明文件（如有请提供）。</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5、该申报项目的立项报告。</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6、改造提升后商圈或者商业街区的运营情况介绍，包括经营对比情况数据。</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7、街区改造前后对比照片及说明资料。</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8、市级认定的深夜食堂特色餐饮街区证明材料。</w:t>
      </w:r>
    </w:p>
    <w:p>
      <w:pPr>
        <w:numPr>
          <w:ilvl w:val="0"/>
          <w:numId w:val="14"/>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ascii="Times New Roman" w:hAnsi="Times New Roman" w:eastAsia="仿宋_GB2312"/>
          <w:sz w:val="32"/>
          <w:szCs w:val="32"/>
        </w:rPr>
        <w:t>010-65099845</w:t>
      </w:r>
    </w:p>
    <w:p>
      <w:pPr>
        <w:adjustRightInd w:val="0"/>
        <w:snapToGrid w:val="0"/>
        <w:spacing w:line="600" w:lineRule="exact"/>
        <w:ind w:firstLine="321" w:firstLineChars="1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建立消费创新服务机制。</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支持商业新业态、新模式在朝阳区聚集发展。对线上线下融合、人工智能信息消费等创新试点项目予以20万元一次性资金支持。</w:t>
      </w:r>
      <w:r>
        <w:rPr>
          <w:rFonts w:hint="eastAsia" w:ascii="Times New Roman" w:hAnsi="Times New Roman" w:eastAsia="仿宋_GB2312"/>
          <w:sz w:val="32"/>
          <w:szCs w:val="32"/>
        </w:rPr>
        <w:t>项目完成时间为2</w:t>
      </w:r>
      <w:r>
        <w:rPr>
          <w:rFonts w:ascii="Times New Roman" w:hAnsi="Times New Roman" w:eastAsia="仿宋_GB2312"/>
          <w:sz w:val="32"/>
          <w:szCs w:val="32"/>
        </w:rPr>
        <w:t>020</w:t>
      </w:r>
      <w:r>
        <w:rPr>
          <w:rFonts w:hint="eastAsia" w:ascii="Times New Roman" w:hAnsi="Times New Roman" w:eastAsia="仿宋_GB2312"/>
          <w:sz w:val="32"/>
          <w:szCs w:val="32"/>
        </w:rPr>
        <w:t>年。</w:t>
      </w:r>
    </w:p>
    <w:p>
      <w:pPr>
        <w:pStyle w:val="9"/>
        <w:numPr>
          <w:ilvl w:val="0"/>
          <w:numId w:val="3"/>
        </w:numPr>
        <w:adjustRightInd w:val="0"/>
        <w:snapToGrid w:val="0"/>
        <w:spacing w:line="600" w:lineRule="exact"/>
        <w:ind w:firstLineChars="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1、项目申报表。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2、申报项目在全国、全市有较高知名度和品牌美誉度相关证明材料。</w:t>
      </w:r>
    </w:p>
    <w:p>
      <w:pPr>
        <w:numPr>
          <w:ilvl w:val="0"/>
          <w:numId w:val="15"/>
        </w:numPr>
        <w:adjustRightInd w:val="0"/>
        <w:snapToGrid w:val="0"/>
        <w:spacing w:line="600" w:lineRule="exact"/>
        <w:ind w:left="1060"/>
        <w:rPr>
          <w:rFonts w:ascii="Times New Roman" w:hAnsi="Times New Roman" w:eastAsia="仿宋_GB2312"/>
          <w:sz w:val="32"/>
          <w:szCs w:val="32"/>
        </w:rPr>
      </w:pPr>
      <w:r>
        <w:rPr>
          <w:rFonts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010-</w:t>
      </w:r>
      <w:r>
        <w:rPr>
          <w:rFonts w:ascii="Times New Roman" w:hAnsi="Times New Roman" w:eastAsia="仿宋_GB2312"/>
          <w:sz w:val="32"/>
          <w:szCs w:val="32"/>
        </w:rPr>
        <w:t>65094330</w:t>
      </w:r>
    </w:p>
    <w:p>
      <w:pPr>
        <w:adjustRightInd w:val="0"/>
        <w:snapToGrid w:val="0"/>
        <w:spacing w:line="600" w:lineRule="exact"/>
        <w:ind w:firstLine="321" w:firstLineChars="1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建设国际消费地标。</w:t>
      </w:r>
    </w:p>
    <w:p>
      <w:pPr>
        <w:numPr>
          <w:ilvl w:val="0"/>
          <w:numId w:val="15"/>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扶持标准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对入选</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年度</w:t>
      </w:r>
      <w:r>
        <w:rPr>
          <w:rFonts w:ascii="Times New Roman" w:hAnsi="Times New Roman" w:eastAsia="仿宋_GB2312"/>
          <w:sz w:val="32"/>
          <w:szCs w:val="32"/>
        </w:rPr>
        <w:t>国际知名榜单的餐饮企业，给予10万元一次性资金奖励</w:t>
      </w:r>
      <w:r>
        <w:rPr>
          <w:rFonts w:hint="eastAsia" w:ascii="Times New Roman" w:hAnsi="Times New Roman" w:eastAsia="仿宋_GB2312"/>
          <w:sz w:val="32"/>
          <w:szCs w:val="32"/>
        </w:rPr>
        <w:t>；</w:t>
      </w:r>
      <w:r>
        <w:rPr>
          <w:rFonts w:ascii="Times New Roman" w:hAnsi="Times New Roman" w:eastAsia="仿宋_GB2312"/>
          <w:sz w:val="32"/>
          <w:szCs w:val="32"/>
        </w:rPr>
        <w:t>对</w:t>
      </w:r>
      <w:r>
        <w:rPr>
          <w:rFonts w:hint="eastAsia" w:ascii="Times New Roman" w:hAnsi="Times New Roman" w:eastAsia="仿宋_GB2312"/>
          <w:sz w:val="32"/>
          <w:szCs w:val="32"/>
        </w:rPr>
        <w:t>2</w:t>
      </w:r>
      <w:r>
        <w:rPr>
          <w:rFonts w:ascii="Times New Roman" w:hAnsi="Times New Roman" w:eastAsia="仿宋_GB2312"/>
          <w:sz w:val="32"/>
          <w:szCs w:val="32"/>
        </w:rPr>
        <w:t>020年度引进新纳统首店品牌，且各首店销售额累计达到3000万的商业主体，给予50万元奖励。</w:t>
      </w:r>
    </w:p>
    <w:p>
      <w:pPr>
        <w:numPr>
          <w:ilvl w:val="0"/>
          <w:numId w:val="15"/>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申报材料</w:t>
      </w:r>
    </w:p>
    <w:p>
      <w:pPr>
        <w:adjustRightInd w:val="0"/>
        <w:snapToGrid w:val="0"/>
        <w:spacing w:line="60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u w:val="single"/>
        </w:rPr>
        <w:t>除提供基本</w:t>
      </w:r>
      <w:r>
        <w:rPr>
          <w:rFonts w:ascii="Times New Roman" w:hAnsi="Times New Roman" w:eastAsia="仿宋_GB2312"/>
          <w:b/>
          <w:sz w:val="32"/>
          <w:szCs w:val="32"/>
          <w:u w:val="single"/>
        </w:rPr>
        <w:t>申报材料之外</w:t>
      </w:r>
      <w:r>
        <w:rPr>
          <w:rFonts w:hint="eastAsia" w:ascii="Times New Roman" w:hAnsi="Times New Roman" w:eastAsia="仿宋_GB2312"/>
          <w:b/>
          <w:sz w:val="32"/>
          <w:szCs w:val="32"/>
          <w:u w:val="single"/>
        </w:rPr>
        <w:t>，</w:t>
      </w:r>
      <w:r>
        <w:rPr>
          <w:rFonts w:ascii="Times New Roman" w:hAnsi="Times New Roman" w:eastAsia="仿宋_GB2312"/>
          <w:b/>
          <w:sz w:val="32"/>
          <w:szCs w:val="32"/>
          <w:u w:val="single"/>
        </w:rPr>
        <w:t>还需提供</w:t>
      </w:r>
      <w:r>
        <w:rPr>
          <w:rFonts w:hint="eastAsia" w:ascii="Times New Roman" w:hAnsi="Times New Roman" w:eastAsia="仿宋_GB2312"/>
          <w:b/>
          <w:sz w:val="32"/>
          <w:szCs w:val="32"/>
          <w:u w:val="single"/>
        </w:rPr>
        <w:t>以下附加</w:t>
      </w:r>
      <w:r>
        <w:rPr>
          <w:rFonts w:ascii="Times New Roman" w:hAnsi="Times New Roman" w:eastAsia="仿宋_GB2312"/>
          <w:b/>
          <w:sz w:val="32"/>
          <w:szCs w:val="32"/>
          <w:u w:val="single"/>
        </w:rPr>
        <w:t>申报材料</w:t>
      </w:r>
      <w:r>
        <w:rPr>
          <w:rFonts w:hint="eastAsia" w:ascii="Times New Roman" w:hAnsi="Times New Roman" w:eastAsia="仿宋_GB2312"/>
          <w:b/>
          <w:sz w:val="32"/>
          <w:szCs w:val="32"/>
          <w:u w:val="single"/>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1、2</w:t>
      </w:r>
      <w:r>
        <w:rPr>
          <w:rFonts w:ascii="Times New Roman" w:hAnsi="Times New Roman" w:eastAsia="仿宋_GB2312"/>
          <w:sz w:val="32"/>
          <w:szCs w:val="32"/>
        </w:rPr>
        <w:t>020</w:t>
      </w:r>
      <w:r>
        <w:rPr>
          <w:rFonts w:hint="eastAsia" w:ascii="Times New Roman" w:hAnsi="Times New Roman" w:eastAsia="仿宋_GB2312"/>
          <w:sz w:val="32"/>
          <w:szCs w:val="32"/>
        </w:rPr>
        <w:t>年度朝阳区首次纳统的首店企业名单（公司全称、组织机构代码）、首店销售额及证明材料、首店销售额累计总额。</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2020</w:t>
      </w:r>
      <w:r>
        <w:rPr>
          <w:rFonts w:hint="eastAsia" w:ascii="Times New Roman" w:hAnsi="Times New Roman" w:eastAsia="仿宋_GB2312"/>
          <w:sz w:val="32"/>
          <w:szCs w:val="32"/>
        </w:rPr>
        <w:t>年度北京市商务局首店在谈项目库注册证明材料。</w:t>
      </w:r>
    </w:p>
    <w:p>
      <w:pPr>
        <w:numPr>
          <w:ilvl w:val="0"/>
          <w:numId w:val="16"/>
        </w:num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入选“米其林”、“黑珍珠”榜单的证明材料或证书。</w:t>
      </w:r>
    </w:p>
    <w:p>
      <w:pPr>
        <w:numPr>
          <w:ilvl w:val="0"/>
          <w:numId w:val="17"/>
        </w:numPr>
        <w:adjustRightInd w:val="0"/>
        <w:snapToGrid w:val="0"/>
        <w:spacing w:line="600" w:lineRule="exact"/>
        <w:ind w:left="1060"/>
        <w:rPr>
          <w:rFonts w:ascii="Times New Roman" w:hAnsi="Times New Roman" w:eastAsia="仿宋_GB2312"/>
          <w:b/>
          <w:sz w:val="32"/>
          <w:szCs w:val="32"/>
        </w:rPr>
      </w:pPr>
      <w:r>
        <w:rPr>
          <w:rFonts w:hint="eastAsia" w:ascii="Times New Roman" w:hAnsi="Times New Roman" w:eastAsia="仿宋_GB2312"/>
          <w:b/>
          <w:sz w:val="32"/>
          <w:szCs w:val="32"/>
        </w:rPr>
        <w:t>咨询电话</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餐饮企业</w:t>
      </w:r>
      <w:r>
        <w:rPr>
          <w:rFonts w:ascii="Times New Roman" w:hAnsi="Times New Roman" w:eastAsia="仿宋_GB2312"/>
          <w:sz w:val="32"/>
          <w:szCs w:val="32"/>
        </w:rPr>
        <w:t>咨询：010-65094330</w:t>
      </w:r>
    </w:p>
    <w:p>
      <w:pPr>
        <w:adjustRightInd w:val="0"/>
        <w:snapToGrid w:val="0"/>
        <w:spacing w:line="600" w:lineRule="exact"/>
        <w:ind w:left="640"/>
        <w:rPr>
          <w:rFonts w:ascii="Times New Roman" w:hAnsi="Times New Roman" w:eastAsia="仿宋_GB2312"/>
          <w:sz w:val="32"/>
          <w:szCs w:val="32"/>
        </w:rPr>
      </w:pPr>
      <w:r>
        <w:rPr>
          <w:rFonts w:hint="eastAsia" w:ascii="Times New Roman" w:hAnsi="Times New Roman" w:eastAsia="仿宋_GB2312"/>
          <w:sz w:val="32"/>
          <w:szCs w:val="32"/>
        </w:rPr>
        <w:t>首店品牌咨询：010-65099845</w:t>
      </w:r>
    </w:p>
    <w:p>
      <w:pPr>
        <w:adjustRightInd w:val="0"/>
        <w:snapToGrid w:val="0"/>
        <w:spacing w:line="600" w:lineRule="exact"/>
        <w:ind w:left="319" w:leftChars="152"/>
        <w:jc w:val="right"/>
        <w:rPr>
          <w:rFonts w:ascii="Times New Roman" w:hAnsi="Times New Roman" w:eastAsia="仿宋_GB2312"/>
          <w:sz w:val="32"/>
          <w:szCs w:val="32"/>
        </w:rPr>
      </w:pPr>
    </w:p>
    <w:p>
      <w:pPr>
        <w:adjustRightInd w:val="0"/>
        <w:snapToGrid w:val="0"/>
        <w:spacing w:line="600" w:lineRule="exact"/>
        <w:ind w:left="319" w:leftChars="152" w:right="480"/>
        <w:jc w:val="right"/>
        <w:rPr>
          <w:rFonts w:ascii="Times New Roman" w:hAnsi="Times New Roman" w:eastAsia="仿宋_GB2312"/>
          <w:sz w:val="32"/>
          <w:szCs w:val="32"/>
        </w:rPr>
      </w:pPr>
      <w:r>
        <w:rPr>
          <w:rFonts w:hint="eastAsia" w:ascii="Times New Roman" w:hAnsi="Times New Roman" w:eastAsia="仿宋_GB2312"/>
          <w:sz w:val="32"/>
          <w:szCs w:val="32"/>
        </w:rPr>
        <w:t>北京市朝阳区商务局</w:t>
      </w:r>
    </w:p>
    <w:p>
      <w:pPr>
        <w:adjustRightInd w:val="0"/>
        <w:snapToGrid w:val="0"/>
        <w:spacing w:line="600" w:lineRule="exact"/>
        <w:ind w:right="640" w:firstLine="1280" w:firstLineChars="400"/>
      </w:pPr>
      <w:r>
        <w:rPr>
          <w:rFonts w:ascii="Times New Roman" w:hAnsi="Times New Roman" w:eastAsia="仿宋_GB2312"/>
          <w:sz w:val="32"/>
          <w:szCs w:val="32"/>
        </w:rPr>
        <w:t xml:space="preserve">                         202</w:t>
      </w:r>
      <w:r>
        <w:rPr>
          <w:rFonts w:hint="eastAsia" w:ascii="Times New Roman" w:hAnsi="Times New Roman" w:eastAsia="仿宋_GB2312"/>
          <w:sz w:val="32"/>
          <w:szCs w:val="32"/>
        </w:rPr>
        <w:t>1</w:t>
      </w:r>
      <w:r>
        <w:rPr>
          <w:rFonts w:ascii="Times New Roman" w:hAnsi="Times New Roman" w:eastAsia="仿宋_GB2312"/>
          <w:sz w:val="32"/>
          <w:szCs w:val="32"/>
        </w:rPr>
        <w:t>年1月</w:t>
      </w:r>
      <w:r>
        <w:rPr>
          <w:rFonts w:hint="eastAsia" w:ascii="Times New Roman" w:hAnsi="Times New Roman" w:eastAsia="仿宋_GB2312"/>
          <w:sz w:val="32"/>
          <w:szCs w:val="32"/>
        </w:rPr>
        <w:t>25日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18E30"/>
    <w:multiLevelType w:val="singleLevel"/>
    <w:tmpl w:val="83F18E30"/>
    <w:lvl w:ilvl="0" w:tentative="0">
      <w:start w:val="1"/>
      <w:numFmt w:val="bullet"/>
      <w:lvlText w:val=""/>
      <w:lvlJc w:val="left"/>
      <w:pPr>
        <w:ind w:left="420" w:hanging="420"/>
      </w:pPr>
      <w:rPr>
        <w:rFonts w:hint="default" w:ascii="Wingdings" w:hAnsi="Wingdings"/>
      </w:rPr>
    </w:lvl>
  </w:abstractNum>
  <w:abstractNum w:abstractNumId="1">
    <w:nsid w:val="919C49B9"/>
    <w:multiLevelType w:val="singleLevel"/>
    <w:tmpl w:val="919C49B9"/>
    <w:lvl w:ilvl="0" w:tentative="0">
      <w:start w:val="1"/>
      <w:numFmt w:val="bullet"/>
      <w:lvlText w:val=""/>
      <w:lvlJc w:val="left"/>
      <w:pPr>
        <w:ind w:left="420" w:hanging="420"/>
      </w:pPr>
      <w:rPr>
        <w:rFonts w:hint="default" w:ascii="Wingdings" w:hAnsi="Wingdings"/>
      </w:rPr>
    </w:lvl>
  </w:abstractNum>
  <w:abstractNum w:abstractNumId="2">
    <w:nsid w:val="A0DF6C3F"/>
    <w:multiLevelType w:val="singleLevel"/>
    <w:tmpl w:val="A0DF6C3F"/>
    <w:lvl w:ilvl="0" w:tentative="0">
      <w:start w:val="1"/>
      <w:numFmt w:val="bullet"/>
      <w:lvlText w:val=""/>
      <w:lvlJc w:val="left"/>
      <w:pPr>
        <w:ind w:left="420" w:hanging="420"/>
      </w:pPr>
      <w:rPr>
        <w:rFonts w:hint="default" w:ascii="Wingdings" w:hAnsi="Wingdings"/>
      </w:rPr>
    </w:lvl>
  </w:abstractNum>
  <w:abstractNum w:abstractNumId="3">
    <w:nsid w:val="B42E27E1"/>
    <w:multiLevelType w:val="singleLevel"/>
    <w:tmpl w:val="B42E27E1"/>
    <w:lvl w:ilvl="0" w:tentative="0">
      <w:start w:val="1"/>
      <w:numFmt w:val="bullet"/>
      <w:lvlText w:val=""/>
      <w:lvlJc w:val="left"/>
      <w:pPr>
        <w:ind w:left="420" w:hanging="420"/>
      </w:pPr>
      <w:rPr>
        <w:rFonts w:hint="default" w:ascii="Wingdings" w:hAnsi="Wingdings"/>
      </w:rPr>
    </w:lvl>
  </w:abstractNum>
  <w:abstractNum w:abstractNumId="4">
    <w:nsid w:val="03A612B6"/>
    <w:multiLevelType w:val="singleLevel"/>
    <w:tmpl w:val="03A612B6"/>
    <w:lvl w:ilvl="0" w:tentative="0">
      <w:start w:val="1"/>
      <w:numFmt w:val="bullet"/>
      <w:lvlText w:val=""/>
      <w:lvlJc w:val="left"/>
      <w:pPr>
        <w:ind w:left="420" w:hanging="420"/>
      </w:pPr>
      <w:rPr>
        <w:rFonts w:hint="default" w:ascii="Wingdings" w:hAnsi="Wingdings"/>
      </w:rPr>
    </w:lvl>
  </w:abstractNum>
  <w:abstractNum w:abstractNumId="5">
    <w:nsid w:val="129C63EF"/>
    <w:multiLevelType w:val="singleLevel"/>
    <w:tmpl w:val="129C63EF"/>
    <w:lvl w:ilvl="0" w:tentative="0">
      <w:start w:val="1"/>
      <w:numFmt w:val="bullet"/>
      <w:lvlText w:val=""/>
      <w:lvlJc w:val="left"/>
      <w:pPr>
        <w:ind w:left="420" w:hanging="420"/>
      </w:pPr>
      <w:rPr>
        <w:rFonts w:hint="default" w:ascii="Wingdings" w:hAnsi="Wingdings"/>
      </w:rPr>
    </w:lvl>
  </w:abstractNum>
  <w:abstractNum w:abstractNumId="6">
    <w:nsid w:val="1719B1B1"/>
    <w:multiLevelType w:val="singleLevel"/>
    <w:tmpl w:val="1719B1B1"/>
    <w:lvl w:ilvl="0" w:tentative="0">
      <w:start w:val="1"/>
      <w:numFmt w:val="bullet"/>
      <w:lvlText w:val=""/>
      <w:lvlJc w:val="left"/>
      <w:pPr>
        <w:ind w:left="420" w:hanging="420"/>
      </w:pPr>
      <w:rPr>
        <w:rFonts w:hint="default" w:ascii="Wingdings" w:hAnsi="Wingdings"/>
      </w:rPr>
    </w:lvl>
  </w:abstractNum>
  <w:abstractNum w:abstractNumId="7">
    <w:nsid w:val="1F36354B"/>
    <w:multiLevelType w:val="singleLevel"/>
    <w:tmpl w:val="1F36354B"/>
    <w:lvl w:ilvl="0" w:tentative="0">
      <w:start w:val="1"/>
      <w:numFmt w:val="bullet"/>
      <w:lvlText w:val=""/>
      <w:lvlJc w:val="left"/>
      <w:pPr>
        <w:ind w:left="420" w:hanging="420"/>
      </w:pPr>
      <w:rPr>
        <w:rFonts w:hint="default" w:ascii="Wingdings" w:hAnsi="Wingdings"/>
      </w:rPr>
    </w:lvl>
  </w:abstractNum>
  <w:abstractNum w:abstractNumId="8">
    <w:nsid w:val="253FDF4A"/>
    <w:multiLevelType w:val="singleLevel"/>
    <w:tmpl w:val="253FDF4A"/>
    <w:lvl w:ilvl="0" w:tentative="0">
      <w:start w:val="1"/>
      <w:numFmt w:val="bullet"/>
      <w:lvlText w:val=""/>
      <w:lvlJc w:val="left"/>
      <w:pPr>
        <w:ind w:left="420" w:hanging="420"/>
      </w:pPr>
      <w:rPr>
        <w:rFonts w:hint="default" w:ascii="Wingdings" w:hAnsi="Wingdings"/>
      </w:rPr>
    </w:lvl>
  </w:abstractNum>
  <w:abstractNum w:abstractNumId="9">
    <w:nsid w:val="2719315B"/>
    <w:multiLevelType w:val="singleLevel"/>
    <w:tmpl w:val="2719315B"/>
    <w:lvl w:ilvl="0" w:tentative="0">
      <w:start w:val="1"/>
      <w:numFmt w:val="bullet"/>
      <w:lvlText w:val=""/>
      <w:lvlJc w:val="left"/>
      <w:pPr>
        <w:ind w:left="420" w:hanging="420"/>
      </w:pPr>
      <w:rPr>
        <w:rFonts w:hint="default" w:ascii="Wingdings" w:hAnsi="Wingdings"/>
      </w:rPr>
    </w:lvl>
  </w:abstractNum>
  <w:abstractNum w:abstractNumId="10">
    <w:nsid w:val="2C97B66F"/>
    <w:multiLevelType w:val="singleLevel"/>
    <w:tmpl w:val="2C97B66F"/>
    <w:lvl w:ilvl="0" w:tentative="0">
      <w:start w:val="3"/>
      <w:numFmt w:val="decimal"/>
      <w:suff w:val="nothing"/>
      <w:lvlText w:val="%1、"/>
      <w:lvlJc w:val="left"/>
    </w:lvl>
  </w:abstractNum>
  <w:abstractNum w:abstractNumId="11">
    <w:nsid w:val="3E0055C5"/>
    <w:multiLevelType w:val="multilevel"/>
    <w:tmpl w:val="3E0055C5"/>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2">
    <w:nsid w:val="49139B66"/>
    <w:multiLevelType w:val="singleLevel"/>
    <w:tmpl w:val="49139B66"/>
    <w:lvl w:ilvl="0" w:tentative="0">
      <w:start w:val="1"/>
      <w:numFmt w:val="bullet"/>
      <w:lvlText w:val=""/>
      <w:lvlJc w:val="left"/>
      <w:pPr>
        <w:ind w:left="420" w:hanging="420"/>
      </w:pPr>
      <w:rPr>
        <w:rFonts w:hint="default" w:ascii="Wingdings" w:hAnsi="Wingdings"/>
      </w:rPr>
    </w:lvl>
  </w:abstractNum>
  <w:abstractNum w:abstractNumId="13">
    <w:nsid w:val="5CFC73D7"/>
    <w:multiLevelType w:val="singleLevel"/>
    <w:tmpl w:val="5CFC73D7"/>
    <w:lvl w:ilvl="0" w:tentative="0">
      <w:start w:val="1"/>
      <w:numFmt w:val="bullet"/>
      <w:lvlText w:val=""/>
      <w:lvlJc w:val="left"/>
      <w:pPr>
        <w:ind w:left="420" w:hanging="420"/>
      </w:pPr>
      <w:rPr>
        <w:rFonts w:hint="default" w:ascii="Wingdings" w:hAnsi="Wingdings"/>
      </w:rPr>
    </w:lvl>
  </w:abstractNum>
  <w:abstractNum w:abstractNumId="14">
    <w:nsid w:val="6633798D"/>
    <w:multiLevelType w:val="singleLevel"/>
    <w:tmpl w:val="6633798D"/>
    <w:lvl w:ilvl="0" w:tentative="0">
      <w:start w:val="1"/>
      <w:numFmt w:val="bullet"/>
      <w:lvlText w:val=""/>
      <w:lvlJc w:val="left"/>
      <w:pPr>
        <w:ind w:left="420" w:hanging="420"/>
      </w:pPr>
      <w:rPr>
        <w:rFonts w:hint="default" w:ascii="Wingdings" w:hAnsi="Wingdings"/>
      </w:rPr>
    </w:lvl>
  </w:abstractNum>
  <w:abstractNum w:abstractNumId="15">
    <w:nsid w:val="67D20974"/>
    <w:multiLevelType w:val="singleLevel"/>
    <w:tmpl w:val="67D20974"/>
    <w:lvl w:ilvl="0" w:tentative="0">
      <w:start w:val="1"/>
      <w:numFmt w:val="bullet"/>
      <w:lvlText w:val=""/>
      <w:lvlJc w:val="left"/>
      <w:pPr>
        <w:ind w:left="420" w:hanging="420"/>
      </w:pPr>
      <w:rPr>
        <w:rFonts w:hint="default" w:ascii="Wingdings" w:hAnsi="Wingdings"/>
      </w:rPr>
    </w:lvl>
  </w:abstractNum>
  <w:abstractNum w:abstractNumId="16">
    <w:nsid w:val="73DD6020"/>
    <w:multiLevelType w:val="singleLevel"/>
    <w:tmpl w:val="73DD6020"/>
    <w:lvl w:ilvl="0" w:tentative="0">
      <w:start w:val="1"/>
      <w:numFmt w:val="bullet"/>
      <w:lvlText w:val=""/>
      <w:lvlJc w:val="left"/>
      <w:pPr>
        <w:ind w:left="420" w:hanging="420"/>
      </w:pPr>
      <w:rPr>
        <w:rFonts w:hint="default" w:ascii="Wingdings" w:hAnsi="Wingdings"/>
      </w:rPr>
    </w:lvl>
  </w:abstractNum>
  <w:num w:numId="1">
    <w:abstractNumId w:val="16"/>
  </w:num>
  <w:num w:numId="2">
    <w:abstractNumId w:val="8"/>
  </w:num>
  <w:num w:numId="3">
    <w:abstractNumId w:val="11"/>
  </w:num>
  <w:num w:numId="4">
    <w:abstractNumId w:val="0"/>
  </w:num>
  <w:num w:numId="5">
    <w:abstractNumId w:val="7"/>
  </w:num>
  <w:num w:numId="6">
    <w:abstractNumId w:val="15"/>
  </w:num>
  <w:num w:numId="7">
    <w:abstractNumId w:val="12"/>
  </w:num>
  <w:num w:numId="8">
    <w:abstractNumId w:val="2"/>
  </w:num>
  <w:num w:numId="9">
    <w:abstractNumId w:val="1"/>
  </w:num>
  <w:num w:numId="10">
    <w:abstractNumId w:val="14"/>
  </w:num>
  <w:num w:numId="11">
    <w:abstractNumId w:val="13"/>
  </w:num>
  <w:num w:numId="12">
    <w:abstractNumId w:val="9"/>
  </w:num>
  <w:num w:numId="13">
    <w:abstractNumId w:val="3"/>
  </w:num>
  <w:num w:numId="14">
    <w:abstractNumId w:val="4"/>
  </w:num>
  <w:num w:numId="15">
    <w:abstractNumId w:val="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4A"/>
    <w:rsid w:val="00001D09"/>
    <w:rsid w:val="00052968"/>
    <w:rsid w:val="000803AA"/>
    <w:rsid w:val="0010124B"/>
    <w:rsid w:val="001046AD"/>
    <w:rsid w:val="00150B2A"/>
    <w:rsid w:val="00176902"/>
    <w:rsid w:val="00181129"/>
    <w:rsid w:val="00222849"/>
    <w:rsid w:val="00240C70"/>
    <w:rsid w:val="00241C1C"/>
    <w:rsid w:val="0027127C"/>
    <w:rsid w:val="00275575"/>
    <w:rsid w:val="002D7B8C"/>
    <w:rsid w:val="002E3BE8"/>
    <w:rsid w:val="003036E4"/>
    <w:rsid w:val="00324C4C"/>
    <w:rsid w:val="0033056F"/>
    <w:rsid w:val="00356714"/>
    <w:rsid w:val="003631E0"/>
    <w:rsid w:val="003B12F8"/>
    <w:rsid w:val="003D5941"/>
    <w:rsid w:val="003D764E"/>
    <w:rsid w:val="003E0BD3"/>
    <w:rsid w:val="003E229F"/>
    <w:rsid w:val="00417E91"/>
    <w:rsid w:val="00430DD3"/>
    <w:rsid w:val="004958A3"/>
    <w:rsid w:val="004A1070"/>
    <w:rsid w:val="004E534A"/>
    <w:rsid w:val="00546836"/>
    <w:rsid w:val="005B214A"/>
    <w:rsid w:val="005E27C9"/>
    <w:rsid w:val="00613364"/>
    <w:rsid w:val="006222A7"/>
    <w:rsid w:val="00646CC5"/>
    <w:rsid w:val="00656149"/>
    <w:rsid w:val="0068472B"/>
    <w:rsid w:val="0069395B"/>
    <w:rsid w:val="006A36FE"/>
    <w:rsid w:val="006A79AE"/>
    <w:rsid w:val="006D774B"/>
    <w:rsid w:val="00711A92"/>
    <w:rsid w:val="00746B02"/>
    <w:rsid w:val="00764CCD"/>
    <w:rsid w:val="00784127"/>
    <w:rsid w:val="007A2A06"/>
    <w:rsid w:val="007B65DF"/>
    <w:rsid w:val="0080777E"/>
    <w:rsid w:val="00826FA6"/>
    <w:rsid w:val="008420C2"/>
    <w:rsid w:val="00873976"/>
    <w:rsid w:val="00890A12"/>
    <w:rsid w:val="008A0F25"/>
    <w:rsid w:val="008A3F01"/>
    <w:rsid w:val="009123A0"/>
    <w:rsid w:val="00960C10"/>
    <w:rsid w:val="00A14A22"/>
    <w:rsid w:val="00AA685E"/>
    <w:rsid w:val="00AD0E99"/>
    <w:rsid w:val="00B15E0A"/>
    <w:rsid w:val="00B73EF2"/>
    <w:rsid w:val="00BA4C82"/>
    <w:rsid w:val="00BA68F9"/>
    <w:rsid w:val="00BB4135"/>
    <w:rsid w:val="00BF25ED"/>
    <w:rsid w:val="00C04D08"/>
    <w:rsid w:val="00C54DB5"/>
    <w:rsid w:val="00C60BFC"/>
    <w:rsid w:val="00C9090E"/>
    <w:rsid w:val="00CF51FC"/>
    <w:rsid w:val="00CF58CE"/>
    <w:rsid w:val="00D0680F"/>
    <w:rsid w:val="00D335F6"/>
    <w:rsid w:val="00D46D66"/>
    <w:rsid w:val="00D53440"/>
    <w:rsid w:val="00D757DC"/>
    <w:rsid w:val="00DA0EF1"/>
    <w:rsid w:val="00DC19B7"/>
    <w:rsid w:val="00DC4F70"/>
    <w:rsid w:val="00E02135"/>
    <w:rsid w:val="00E03D82"/>
    <w:rsid w:val="00E4679E"/>
    <w:rsid w:val="00E570D1"/>
    <w:rsid w:val="00E635EA"/>
    <w:rsid w:val="00E84F89"/>
    <w:rsid w:val="00EF441D"/>
    <w:rsid w:val="00F32636"/>
    <w:rsid w:val="00F53D83"/>
    <w:rsid w:val="00F65FF4"/>
    <w:rsid w:val="00FB5955"/>
    <w:rsid w:val="00FD3E67"/>
    <w:rsid w:val="04F504BA"/>
    <w:rsid w:val="0A4B4954"/>
    <w:rsid w:val="2188651E"/>
    <w:rsid w:val="280523DF"/>
    <w:rsid w:val="2D682478"/>
    <w:rsid w:val="2E012F39"/>
    <w:rsid w:val="32464AF0"/>
    <w:rsid w:val="33195A52"/>
    <w:rsid w:val="3853046F"/>
    <w:rsid w:val="38FF353C"/>
    <w:rsid w:val="485E7E8A"/>
    <w:rsid w:val="49BD6FC2"/>
    <w:rsid w:val="4A3344C9"/>
    <w:rsid w:val="4C9E7F9F"/>
    <w:rsid w:val="57F15B1C"/>
    <w:rsid w:val="745C6DEC"/>
    <w:rsid w:val="7504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120" w:after="330" w:line="578" w:lineRule="auto"/>
      <w:outlineLvl w:val="0"/>
    </w:pPr>
    <w:rPr>
      <w:rFonts w:eastAsia="黑体" w:asciiTheme="minorHAnsi" w:hAnsiTheme="minorHAnsi" w:cstheme="minorBidi"/>
      <w:b/>
      <w:bCs/>
      <w:kern w:val="44"/>
      <w:sz w:val="32"/>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1 Char"/>
    <w:basedOn w:val="6"/>
    <w:link w:val="2"/>
    <w:qFormat/>
    <w:uiPriority w:val="9"/>
    <w:rPr>
      <w:rFonts w:eastAsia="黑体"/>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820</Words>
  <Characters>4680</Characters>
  <Lines>39</Lines>
  <Paragraphs>10</Paragraphs>
  <TotalTime>29</TotalTime>
  <ScaleCrop>false</ScaleCrop>
  <LinksUpToDate>false</LinksUpToDate>
  <CharactersWithSpaces>5490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2021-01-08T01:35:00Z</dcterms:created>
  <dc:creator>dell</dc:creator>
  <cp:lastModifiedBy>赵宇阳</cp:lastModifiedBy>
  <dcterms:modified xsi:type="dcterms:W3CDTF">2021-01-26T07:53:39Z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