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color w:val="auto"/>
          <w:sz w:val="32"/>
          <w:szCs w:val="32"/>
          <w:highlight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color w:val="auto"/>
          <w:kern w:val="2"/>
          <w:sz w:val="44"/>
          <w:szCs w:val="44"/>
          <w:lang w:val="en-US" w:eastAsia="zh-CN" w:bidi="ar-SA"/>
        </w:rPr>
      </w:pPr>
      <w:r>
        <w:rPr>
          <w:rFonts w:hint="eastAsia" w:ascii="方正小标宋简体" w:hAnsi="方正小标宋简体" w:eastAsia="方正小标宋简体" w:cs="方正小标宋简体"/>
          <w:b w:val="0"/>
          <w:color w:val="auto"/>
          <w:kern w:val="2"/>
          <w:sz w:val="44"/>
          <w:szCs w:val="44"/>
          <w:lang w:val="en-US" w:eastAsia="zh-CN" w:bidi="ar-SA"/>
        </w:rPr>
        <w:t>企业信息填报操作指南</w:t>
      </w: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8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lang w:eastAsia="zh-CN"/>
        </w:rPr>
        <w:t>危险化学品使用单位信息</w:t>
      </w:r>
      <w:r>
        <w:rPr>
          <w:rFonts w:hint="eastAsia" w:ascii="方正小标宋简体" w:eastAsia="方正小标宋简体"/>
          <w:color w:val="auto"/>
          <w:sz w:val="44"/>
          <w:szCs w:val="44"/>
        </w:rPr>
        <w:t>填报操作指南</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color w:val="auto"/>
          <w:sz w:val="32"/>
          <w:szCs w:val="32"/>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危险化学品使用单位的</w:t>
      </w:r>
      <w:r>
        <w:rPr>
          <w:rFonts w:ascii="仿宋_GB2312" w:hAnsi="仿宋_GB2312" w:eastAsia="仿宋_GB2312"/>
          <w:color w:val="auto"/>
          <w:sz w:val="32"/>
          <w:szCs w:val="32"/>
        </w:rPr>
        <w:t>危险化学</w:t>
      </w:r>
      <w:bookmarkStart w:id="3" w:name="_GoBack"/>
      <w:bookmarkEnd w:id="3"/>
      <w:r>
        <w:rPr>
          <w:rFonts w:ascii="仿宋_GB2312" w:hAnsi="仿宋_GB2312" w:eastAsia="仿宋_GB2312"/>
          <w:color w:val="auto"/>
          <w:sz w:val="32"/>
          <w:szCs w:val="32"/>
        </w:rPr>
        <w:t>品使用信息</w:t>
      </w:r>
      <w:r>
        <w:rPr>
          <w:rFonts w:hint="eastAsia" w:ascii="仿宋_GB2312" w:hAnsi="仿宋_GB2312" w:eastAsia="仿宋_GB2312"/>
          <w:color w:val="auto"/>
          <w:sz w:val="32"/>
          <w:szCs w:val="32"/>
        </w:rPr>
        <w:t>和年度使用</w:t>
      </w:r>
      <w:r>
        <w:rPr>
          <w:rFonts w:ascii="仿宋_GB2312" w:hAnsi="仿宋_GB2312" w:eastAsia="仿宋_GB2312"/>
          <w:color w:val="auto"/>
          <w:sz w:val="32"/>
          <w:szCs w:val="32"/>
        </w:rPr>
        <w:t>报告实行“单位填报、属地核对、行业确认”和“凡使用、必报告，谁使用、谁报告”的原则。危险化学品报告信息包括危险化学品的</w:t>
      </w:r>
      <w:r>
        <w:rPr>
          <w:rFonts w:ascii="仿宋_GB2312" w:hAnsi="仿宋_GB2312" w:eastAsia="仿宋_GB2312"/>
          <w:b/>
          <w:bCs/>
          <w:color w:val="auto"/>
          <w:sz w:val="32"/>
          <w:szCs w:val="32"/>
        </w:rPr>
        <w:t>品名、形态、年使用量、用途、储存场所、实际使用地址</w:t>
      </w:r>
      <w:r>
        <w:rPr>
          <w:rFonts w:ascii="仿宋_GB2312" w:hAnsi="仿宋_GB2312" w:eastAsia="仿宋_GB2312"/>
          <w:color w:val="auto"/>
          <w:sz w:val="32"/>
          <w:szCs w:val="32"/>
        </w:rPr>
        <w:t>等。此处危险化</w:t>
      </w:r>
      <w:r>
        <w:rPr>
          <w:rFonts w:hint="eastAsia" w:ascii="仿宋_GB2312" w:hAnsi="仿宋_GB2312" w:eastAsia="仿宋_GB2312"/>
          <w:color w:val="auto"/>
          <w:sz w:val="32"/>
          <w:szCs w:val="32"/>
        </w:rPr>
        <w:t>学品</w:t>
      </w:r>
      <w:r>
        <w:rPr>
          <w:rFonts w:hint="eastAsia" w:ascii="仿宋_GB2312" w:hAnsi="仿宋_GB2312" w:eastAsia="仿宋_GB2312"/>
          <w:color w:val="auto"/>
          <w:sz w:val="32"/>
          <w:szCs w:val="32"/>
          <w:lang w:eastAsia="zh-CN"/>
        </w:rPr>
        <w:t>为</w:t>
      </w:r>
      <w:r>
        <w:rPr>
          <w:rFonts w:hint="eastAsia" w:ascii="仿宋_GB2312" w:hAnsi="仿宋_GB2312" w:eastAsia="仿宋_GB2312"/>
          <w:color w:val="auto"/>
          <w:sz w:val="32"/>
          <w:szCs w:val="32"/>
        </w:rPr>
        <w:t>列入《危险化学品目录》</w:t>
      </w:r>
      <w:r>
        <w:rPr>
          <w:rFonts w:hint="eastAsia" w:ascii="仿宋_GB2312" w:hAnsi="仿宋_GB2312" w:eastAsia="仿宋_GB2312"/>
          <w:color w:val="auto"/>
          <w:sz w:val="32"/>
          <w:szCs w:val="32"/>
          <w:lang w:eastAsia="zh-CN"/>
        </w:rPr>
        <w:t>的</w:t>
      </w:r>
      <w:r>
        <w:rPr>
          <w:rFonts w:hint="eastAsia" w:ascii="仿宋_GB2312" w:hAnsi="仿宋_GB2312" w:eastAsia="仿宋_GB2312"/>
          <w:color w:val="auto"/>
          <w:sz w:val="32"/>
          <w:szCs w:val="32"/>
        </w:rPr>
        <w:t>。危险化学</w:t>
      </w:r>
      <w:r>
        <w:rPr>
          <w:rFonts w:ascii="仿宋_GB2312" w:hAnsi="仿宋_GB2312" w:eastAsia="仿宋_GB2312"/>
          <w:color w:val="auto"/>
          <w:sz w:val="32"/>
          <w:szCs w:val="32"/>
        </w:rPr>
        <w:t>品使用单位</w:t>
      </w:r>
      <w:r>
        <w:rPr>
          <w:rFonts w:hint="eastAsia" w:ascii="仿宋_GB2312" w:hAnsi="仿宋_GB2312" w:eastAsia="仿宋_GB2312"/>
          <w:color w:val="auto"/>
          <w:sz w:val="32"/>
          <w:szCs w:val="32"/>
          <w:lang w:eastAsia="zh-CN"/>
        </w:rPr>
        <w:t>一般</w:t>
      </w:r>
      <w:r>
        <w:rPr>
          <w:rFonts w:ascii="仿宋_GB2312" w:hAnsi="仿宋_GB2312" w:eastAsia="仿宋_GB2312"/>
          <w:color w:val="auto"/>
          <w:sz w:val="32"/>
          <w:szCs w:val="32"/>
        </w:rPr>
        <w:t>于</w:t>
      </w:r>
      <w:r>
        <w:rPr>
          <w:rFonts w:ascii="仿宋_GB2312" w:hAnsi="仿宋_GB2312" w:eastAsia="仿宋_GB2312"/>
          <w:b/>
          <w:bCs/>
          <w:color w:val="auto"/>
          <w:sz w:val="32"/>
          <w:szCs w:val="32"/>
        </w:rPr>
        <w:t>每年1月1日至1月31日</w:t>
      </w:r>
      <w:r>
        <w:rPr>
          <w:rFonts w:hint="eastAsia" w:ascii="仿宋_GB2312" w:hAnsi="仿宋_GB2312" w:eastAsia="仿宋_GB2312"/>
          <w:b/>
          <w:bCs/>
          <w:color w:val="auto"/>
          <w:sz w:val="32"/>
          <w:szCs w:val="32"/>
          <w:lang w:eastAsia="zh-CN"/>
        </w:rPr>
        <w:t>（专项整治期间仍可填报）</w:t>
      </w:r>
      <w:r>
        <w:rPr>
          <w:rFonts w:ascii="仿宋_GB2312" w:hAnsi="仿宋_GB2312" w:eastAsia="仿宋_GB2312"/>
          <w:color w:val="auto"/>
          <w:sz w:val="32"/>
          <w:szCs w:val="32"/>
        </w:rPr>
        <w:t>，完成</w:t>
      </w:r>
      <w:r>
        <w:rPr>
          <w:rFonts w:hint="eastAsia" w:ascii="仿宋_GB2312" w:hAnsi="仿宋_GB2312" w:eastAsia="仿宋_GB2312"/>
          <w:color w:val="auto"/>
          <w:sz w:val="32"/>
          <w:szCs w:val="32"/>
        </w:rPr>
        <w:t>上一年度使用信息和本年度使用计划上报工作</w:t>
      </w:r>
      <w:r>
        <w:rPr>
          <w:rFonts w:hint="eastAsia" w:ascii="仿宋_GB2312" w:hAnsi="仿宋_GB2312" w:eastAsia="仿宋_GB2312"/>
          <w:color w:val="auto"/>
          <w:sz w:val="32"/>
          <w:szCs w:val="32"/>
          <w:highlight w:val="none"/>
        </w:rPr>
        <w:t>，不包含城镇燃气以及军工、国防科研涉密单位。</w:t>
      </w:r>
      <w:r>
        <w:rPr>
          <w:rFonts w:hint="eastAsia" w:ascii="仿宋_GB2312" w:hAnsi="仿宋_GB2312" w:eastAsia="仿宋_GB2312"/>
          <w:color w:val="auto"/>
          <w:sz w:val="32"/>
          <w:szCs w:val="32"/>
        </w:rPr>
        <w:t>上报流程如下：</w:t>
      </w:r>
    </w:p>
    <w:p>
      <w:pPr>
        <w:spacing w:after="100" w:afterAutospacing="1"/>
        <w:rPr>
          <w:rFonts w:hint="eastAsia" w:ascii="方正小标宋简体" w:eastAsia="方正小标宋简体"/>
          <w:color w:val="auto"/>
          <w:sz w:val="36"/>
          <w:szCs w:val="36"/>
        </w:rPr>
      </w:pPr>
      <w:r>
        <w:rPr>
          <w:rFonts w:ascii="仿宋_GB2312" w:hAnsi="仿宋_GB2312" w:eastAsia="仿宋_GB2312"/>
          <w:color w:val="auto"/>
          <w:sz w:val="28"/>
          <w:szCs w:val="28"/>
        </w:rPr>
        <w:drawing>
          <wp:inline distT="0" distB="0" distL="0" distR="0">
            <wp:extent cx="5274310" cy="1875155"/>
            <wp:effectExtent l="38100" t="19050" r="59690" b="8699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5"/>
                    <a:stretch>
                      <a:fillRect/>
                    </a:stretch>
                  </pic:blipFill>
                  <pic:spPr>
                    <a:xfrm>
                      <a:off x="0" y="0"/>
                      <a:ext cx="5274310" cy="1875155"/>
                    </a:xfrm>
                    <a:prstGeom prst="rect">
                      <a:avLst/>
                    </a:prstGeom>
                    <a:effectLst>
                      <a:outerShdw blurRad="50800" dist="38100" dir="2700000" algn="tl" rotWithShape="0">
                        <a:prstClr val="black">
                          <a:alpha val="40000"/>
                        </a:prstClr>
                      </a:outerShdw>
                    </a:effectLst>
                  </pic:spPr>
                </pic:pic>
              </a:graphicData>
            </a:graphic>
          </wp:inline>
        </w:drawing>
      </w:r>
    </w:p>
    <w:p>
      <w:pPr>
        <w:pStyle w:val="31"/>
        <w:keepNext w:val="0"/>
        <w:keepLines w:val="0"/>
        <w:pageBreakBefore w:val="0"/>
        <w:widowControl w:val="0"/>
        <w:numPr>
          <w:ilvl w:val="0"/>
          <w:numId w:val="0"/>
        </w:numPr>
        <w:kinsoku/>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olor w:val="auto"/>
          <w:sz w:val="32"/>
          <w:szCs w:val="32"/>
        </w:rPr>
      </w:pPr>
      <w:r>
        <w:rPr>
          <w:rFonts w:hint="eastAsia" w:ascii="黑体" w:hAnsi="黑体" w:eastAsia="黑体"/>
          <w:color w:val="auto"/>
          <w:sz w:val="32"/>
          <w:szCs w:val="32"/>
          <w:lang w:eastAsia="zh-CN"/>
        </w:rPr>
        <w:t>一、</w:t>
      </w:r>
      <w:r>
        <w:rPr>
          <w:rFonts w:hint="eastAsia" w:ascii="黑体" w:hAnsi="黑体" w:eastAsia="黑体"/>
          <w:color w:val="auto"/>
          <w:sz w:val="32"/>
          <w:szCs w:val="32"/>
        </w:rPr>
        <w:t>企安安场所信息完善</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32"/>
          <w:szCs w:val="32"/>
        </w:rPr>
        <w:t>访问北京应急管理局官方网站（</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"https://yjglj.beijing.gov.cn/" \t "_blank" </w:instrText>
      </w:r>
      <w:r>
        <w:rPr>
          <w:rFonts w:hint="eastAsia" w:ascii="仿宋_GB2312" w:hAnsi="仿宋_GB2312" w:eastAsia="仿宋_GB2312" w:cs="仿宋_GB2312"/>
          <w:color w:val="auto"/>
          <w:sz w:val="32"/>
          <w:szCs w:val="32"/>
        </w:rPr>
        <w:fldChar w:fldCharType="separate"/>
      </w:r>
      <w:r>
        <w:rPr>
          <w:rStyle w:val="17"/>
          <w:rFonts w:hint="eastAsia" w:ascii="仿宋_GB2312" w:hAnsi="仿宋_GB2312" w:eastAsia="仿宋_GB2312" w:cs="仿宋_GB2312"/>
          <w:color w:val="auto"/>
          <w:sz w:val="32"/>
          <w:szCs w:val="32"/>
        </w:rPr>
        <w:t>https://yjglj.beijing.gov.cn</w:t>
      </w:r>
      <w:r>
        <w:rPr>
          <w:rStyle w:val="17"/>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t>），进入【企业平台】，通过【北京市统一身份认证平台登录】-【法人登录】，推荐选择“口令登录”方式进行登录（账户登录注册咨询电话：58511090），登录后选择涉及使用危险化学品的“生产经营场所”。</w:t>
      </w:r>
    </w:p>
    <w:p>
      <w:pPr>
        <w:rPr>
          <w:rFonts w:hint="eastAsia" w:ascii="仿宋_GB2312" w:hAnsi="仿宋_GB2312" w:eastAsia="仿宋_GB2312"/>
          <w:color w:val="auto"/>
          <w:sz w:val="28"/>
          <w:szCs w:val="28"/>
        </w:rPr>
      </w:pPr>
      <w:r>
        <w:rPr>
          <w:color w:val="auto"/>
        </w:rPr>
        <w:drawing>
          <wp:inline distT="0" distB="0" distL="0" distR="0">
            <wp:extent cx="5615940" cy="2634615"/>
            <wp:effectExtent l="0" t="0" r="3810" b="0"/>
            <wp:docPr id="4890697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9069758" name="图片 1"/>
                    <pic:cNvPicPr>
                      <a:picLocks noChangeAspect="true"/>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a:fillRect/>
                    </a:stretch>
                  </pic:blipFill>
                  <pic:spPr>
                    <a:xfrm>
                      <a:off x="0" y="0"/>
                      <a:ext cx="5615940" cy="2634615"/>
                    </a:xfrm>
                    <a:prstGeom prst="rect">
                      <a:avLst/>
                    </a:prstGeom>
                  </pic:spPr>
                </pic:pic>
              </a:graphicData>
            </a:graphic>
          </wp:inline>
        </w:drawing>
      </w:r>
    </w:p>
    <w:p>
      <w:pPr>
        <w:rPr>
          <w:rFonts w:hint="eastAsia" w:ascii="仿宋_GB2312" w:hAnsi="仿宋_GB2312" w:eastAsia="仿宋_GB2312"/>
          <w:color w:val="auto"/>
          <w:sz w:val="28"/>
          <w:szCs w:val="28"/>
        </w:rPr>
      </w:pPr>
      <w:r>
        <w:rPr>
          <w:color w:val="auto"/>
        </w:rPr>
        <w:drawing>
          <wp:inline distT="0" distB="0" distL="0" distR="0">
            <wp:extent cx="5615940" cy="2825750"/>
            <wp:effectExtent l="0" t="0" r="3810" b="0"/>
            <wp:docPr id="101465539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4655390" name="图片 1"/>
                    <pic:cNvPicPr>
                      <a:picLocks noChangeAspect="tru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615940" cy="2825750"/>
                    </a:xfrm>
                    <a:prstGeom prst="rect">
                      <a:avLst/>
                    </a:prstGeom>
                  </pic:spPr>
                </pic:pic>
              </a:graphicData>
            </a:graphic>
          </wp:inline>
        </w:drawing>
      </w:r>
    </w:p>
    <w:p>
      <w:pPr>
        <w:rPr>
          <w:rFonts w:hint="eastAsia" w:ascii="仿宋_GB2312" w:hAnsi="仿宋_GB2312" w:eastAsia="仿宋_GB2312"/>
          <w:color w:val="auto"/>
          <w:sz w:val="28"/>
          <w:szCs w:val="28"/>
        </w:rPr>
      </w:pPr>
    </w:p>
    <w:p>
      <w:pPr>
        <w:rPr>
          <w:rFonts w:hint="eastAsia" w:ascii="仿宋_GB2312" w:hAnsi="仿宋_GB2312" w:eastAsia="仿宋_GB2312"/>
          <w:color w:val="auto"/>
          <w:sz w:val="28"/>
          <w:szCs w:val="28"/>
        </w:rPr>
      </w:pPr>
      <w:r>
        <w:rPr>
          <w:color w:val="auto"/>
        </w:rPr>
        <w:drawing>
          <wp:inline distT="0" distB="0" distL="0" distR="0">
            <wp:extent cx="5615940" cy="2380615"/>
            <wp:effectExtent l="0" t="0" r="3810" b="635"/>
            <wp:docPr id="100946076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9460765" name="图片 1"/>
                    <pic:cNvPicPr>
                      <a:picLocks noChangeAspect="tru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5615940" cy="2380615"/>
                    </a:xfrm>
                    <a:prstGeom prst="rect">
                      <a:avLst/>
                    </a:prstGeom>
                  </pic:spPr>
                </pic:pic>
              </a:graphicData>
            </a:graphic>
          </wp:inline>
        </w:drawing>
      </w:r>
    </w:p>
    <w:p>
      <w:pPr>
        <w:rPr>
          <w:rFonts w:hint="eastAsia" w:ascii="仿宋_GB2312" w:hAnsi="仿宋_GB2312" w:eastAsia="仿宋_GB2312"/>
          <w:color w:val="auto"/>
          <w:sz w:val="28"/>
          <w:szCs w:val="28"/>
        </w:rPr>
      </w:pPr>
    </w:p>
    <w:p>
      <w:pPr>
        <w:rPr>
          <w:rFonts w:hint="eastAsia" w:ascii="仿宋_GB2312" w:hAnsi="仿宋_GB2312" w:eastAsia="仿宋_GB2312"/>
          <w:color w:val="auto"/>
          <w:sz w:val="28"/>
          <w:szCs w:val="28"/>
        </w:rPr>
      </w:pPr>
      <w:r>
        <w:rPr>
          <w:color w:val="auto"/>
        </w:rPr>
        <w:drawing>
          <wp:inline distT="0" distB="0" distL="0" distR="0">
            <wp:extent cx="5615940" cy="4529455"/>
            <wp:effectExtent l="0" t="0" r="3810" b="4445"/>
            <wp:docPr id="129451726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4517269" name="图片 1"/>
                    <pic:cNvPicPr>
                      <a:picLocks noChangeAspect="tru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615940" cy="4529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44"/>
          <w:szCs w:val="44"/>
        </w:rPr>
      </w:pPr>
      <w:r>
        <w:rPr>
          <w:rFonts w:ascii="仿宋_GB2312" w:hAnsi="仿宋_GB2312" w:eastAsia="仿宋_GB2312"/>
          <w:color w:val="auto"/>
          <w:sz w:val="32"/>
          <w:szCs w:val="32"/>
        </w:rPr>
        <w:t>在【企业基础信息】-</w:t>
      </w:r>
      <w:r>
        <w:rPr>
          <w:rFonts w:hint="eastAsia" w:ascii="仿宋_GB2312" w:hAnsi="仿宋_GB2312" w:eastAsia="仿宋_GB2312"/>
          <w:color w:val="auto"/>
          <w:sz w:val="32"/>
          <w:szCs w:val="32"/>
        </w:rPr>
        <w:t>【详细】-【修改】-“</w:t>
      </w:r>
      <w:r>
        <w:rPr>
          <w:rFonts w:ascii="仿宋_GB2312" w:hAnsi="仿宋_GB2312" w:eastAsia="仿宋_GB2312"/>
          <w:color w:val="auto"/>
          <w:sz w:val="32"/>
          <w:szCs w:val="32"/>
        </w:rPr>
        <w:t>安全生产要素</w:t>
      </w:r>
      <w:r>
        <w:rPr>
          <w:rFonts w:hint="eastAsia" w:ascii="仿宋_GB2312" w:hAnsi="仿宋_GB2312" w:eastAsia="仿宋_GB2312"/>
          <w:color w:val="auto"/>
          <w:sz w:val="32"/>
          <w:szCs w:val="32"/>
        </w:rPr>
        <w:t>”</w:t>
      </w:r>
      <w:r>
        <w:rPr>
          <w:rFonts w:ascii="仿宋_GB2312" w:hAnsi="仿宋_GB2312" w:eastAsia="仿宋_GB2312"/>
          <w:color w:val="auto"/>
          <w:sz w:val="32"/>
          <w:szCs w:val="32"/>
        </w:rPr>
        <w:t>中，将危险化学品选项调整为“有”</w:t>
      </w:r>
      <w:r>
        <w:rPr>
          <w:rFonts w:hint="eastAsia" w:ascii="仿宋_GB2312" w:hAnsi="仿宋_GB2312" w:eastAsia="仿宋_GB2312"/>
          <w:color w:val="auto"/>
          <w:sz w:val="32"/>
          <w:szCs w:val="32"/>
        </w:rPr>
        <w:t>并提交。</w:t>
      </w:r>
    </w:p>
    <w:p>
      <w:pPr>
        <w:rPr>
          <w:rFonts w:hint="eastAsia" w:ascii="仿宋_GB2312" w:hAnsi="仿宋_GB2312" w:eastAsia="仿宋_GB2312"/>
          <w:color w:val="auto"/>
          <w:sz w:val="28"/>
          <w:szCs w:val="28"/>
        </w:rPr>
      </w:pPr>
      <w:r>
        <w:rPr>
          <w:color w:val="auto"/>
        </w:rPr>
        <w:drawing>
          <wp:inline distT="0" distB="0" distL="0" distR="0">
            <wp:extent cx="5615940" cy="2628900"/>
            <wp:effectExtent l="0" t="0" r="3810" b="0"/>
            <wp:docPr id="166559617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5596177" name="图片 1"/>
                    <pic:cNvPicPr>
                      <a:picLocks noChangeAspect="tru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615940" cy="2628900"/>
                    </a:xfrm>
                    <a:prstGeom prst="rect">
                      <a:avLst/>
                    </a:prstGeom>
                  </pic:spPr>
                </pic:pic>
              </a:graphicData>
            </a:graphic>
          </wp:inline>
        </w:drawing>
      </w:r>
    </w:p>
    <w:p>
      <w:pPr>
        <w:rPr>
          <w:rFonts w:hint="eastAsia" w:ascii="仿宋_GB2312" w:hAnsi="仿宋_GB2312" w:eastAsia="仿宋_GB2312"/>
          <w:color w:val="auto"/>
          <w:sz w:val="28"/>
          <w:szCs w:val="28"/>
        </w:rPr>
      </w:pPr>
      <w:r>
        <w:rPr>
          <w:color w:val="auto"/>
        </w:rPr>
        <w:drawing>
          <wp:inline distT="0" distB="0" distL="0" distR="0">
            <wp:extent cx="5615940" cy="1840230"/>
            <wp:effectExtent l="0" t="0" r="3810" b="7620"/>
            <wp:docPr id="55212450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2124505" name="图片 1"/>
                    <pic:cNvPicPr>
                      <a:picLocks noChangeAspect="tru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615940" cy="1840230"/>
                    </a:xfrm>
                    <a:prstGeom prst="rect">
                      <a:avLst/>
                    </a:prstGeom>
                  </pic:spPr>
                </pic:pic>
              </a:graphicData>
            </a:graphic>
          </wp:inline>
        </w:drawing>
      </w:r>
    </w:p>
    <w:p>
      <w:pPr>
        <w:rPr>
          <w:rFonts w:hint="eastAsia" w:ascii="仿宋_GB2312" w:hAnsi="仿宋_GB2312" w:eastAsia="仿宋_GB2312"/>
          <w:color w:val="auto"/>
          <w:sz w:val="28"/>
          <w:szCs w:val="28"/>
        </w:rPr>
      </w:pPr>
      <w:r>
        <w:rPr>
          <w:color w:val="auto"/>
        </w:rPr>
        <w:drawing>
          <wp:inline distT="0" distB="0" distL="0" distR="0">
            <wp:extent cx="5615940" cy="737235"/>
            <wp:effectExtent l="0" t="0" r="3810" b="5715"/>
            <wp:docPr id="14351874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5187424" name="图片 1"/>
                    <pic:cNvPicPr>
                      <a:picLocks noChangeAspect="tru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615940" cy="737235"/>
                    </a:xfrm>
                    <a:prstGeom prst="rect">
                      <a:avLst/>
                    </a:prstGeom>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olor w:val="auto"/>
          <w:sz w:val="32"/>
          <w:szCs w:val="32"/>
        </w:rPr>
      </w:pPr>
      <w:bookmarkStart w:id="0" w:name="OLE_LINK5"/>
      <w:bookmarkStart w:id="1" w:name="OLE_LINK3"/>
      <w:r>
        <w:rPr>
          <w:rFonts w:hint="eastAsia" w:ascii="黑体" w:hAnsi="黑体" w:eastAsia="黑体"/>
          <w:color w:val="auto"/>
          <w:sz w:val="32"/>
          <w:szCs w:val="32"/>
          <w:lang w:eastAsia="zh-CN"/>
        </w:rPr>
        <w:t>二、</w:t>
      </w:r>
      <w:r>
        <w:rPr>
          <w:rFonts w:hint="eastAsia" w:ascii="黑体" w:hAnsi="黑体" w:eastAsia="黑体"/>
          <w:color w:val="auto"/>
          <w:sz w:val="32"/>
          <w:szCs w:val="32"/>
        </w:rPr>
        <w:t>涉危单位台账信息完善</w:t>
      </w:r>
      <w:bookmarkEnd w:id="0"/>
    </w:p>
    <w:bookmarkEnd w:id="1"/>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32"/>
          <w:szCs w:val="32"/>
        </w:rPr>
      </w:pPr>
      <w:bookmarkStart w:id="2" w:name="OLE_LINK4"/>
      <w:r>
        <w:rPr>
          <w:rFonts w:hint="eastAsia" w:ascii="仿宋_GB2312" w:hAnsi="仿宋_GB2312" w:eastAsia="仿宋_GB2312"/>
          <w:color w:val="auto"/>
          <w:sz w:val="32"/>
          <w:szCs w:val="32"/>
        </w:rPr>
        <w:t>企安安场所信息完善1小时后，点击【危化品集中管理信息平台】</w:t>
      </w:r>
      <w:r>
        <w:rPr>
          <w:rFonts w:hint="eastAsia" w:ascii="仿宋_GB2312" w:hAnsi="仿宋_GB2312" w:eastAsia="仿宋_GB2312"/>
          <w:color w:val="auto"/>
          <w:sz w:val="32"/>
          <w:szCs w:val="32"/>
          <w:lang w:eastAsia="zh-CN"/>
        </w:rPr>
        <w:t>（集中管理体系信息平台技术咨询电话：</w:t>
      </w:r>
      <w:r>
        <w:rPr>
          <w:rFonts w:hint="eastAsia" w:ascii="仿宋_GB2312" w:hAnsi="仿宋_GB2312" w:eastAsia="仿宋_GB2312"/>
          <w:color w:val="auto"/>
          <w:sz w:val="32"/>
          <w:szCs w:val="32"/>
          <w:lang w:val="en-US" w:eastAsia="zh-CN"/>
        </w:rPr>
        <w:t>55573491</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rPr>
        <w:t>在</w:t>
      </w:r>
      <w:r>
        <w:rPr>
          <w:rFonts w:ascii="仿宋_GB2312" w:hAnsi="仿宋_GB2312" w:eastAsia="仿宋_GB2312"/>
          <w:color w:val="auto"/>
          <w:sz w:val="32"/>
          <w:szCs w:val="32"/>
        </w:rPr>
        <w:t>【单位基础信息】模块中核对并完善</w:t>
      </w:r>
      <w:r>
        <w:rPr>
          <w:rFonts w:hint="eastAsia" w:ascii="仿宋_GB2312" w:hAnsi="仿宋_GB2312" w:eastAsia="仿宋_GB2312"/>
          <w:color w:val="auto"/>
          <w:sz w:val="32"/>
          <w:szCs w:val="32"/>
        </w:rPr>
        <w:t>涉危</w:t>
      </w:r>
      <w:r>
        <w:rPr>
          <w:rFonts w:ascii="仿宋_GB2312" w:hAnsi="仿宋_GB2312" w:eastAsia="仿宋_GB2312"/>
          <w:color w:val="auto"/>
          <w:sz w:val="32"/>
          <w:szCs w:val="32"/>
        </w:rPr>
        <w:t>单位信息</w:t>
      </w:r>
      <w:r>
        <w:rPr>
          <w:rFonts w:hint="eastAsia" w:ascii="仿宋_GB2312" w:hAnsi="仿宋_GB2312" w:eastAsia="仿宋_GB2312"/>
          <w:color w:val="auto"/>
          <w:sz w:val="32"/>
          <w:szCs w:val="32"/>
        </w:rPr>
        <w:t>。主要包括：是否涉及使用危险化学品、单位类型（在危化品使用-使用综合中选取）、</w:t>
      </w:r>
      <w:r>
        <w:rPr>
          <w:rFonts w:ascii="仿宋_GB2312" w:hAnsi="仿宋_GB2312" w:eastAsia="仿宋_GB2312"/>
          <w:color w:val="auto"/>
          <w:sz w:val="32"/>
          <w:szCs w:val="32"/>
        </w:rPr>
        <w:t>安全生产监管（管理）部门</w:t>
      </w:r>
      <w:r>
        <w:rPr>
          <w:rFonts w:hint="eastAsia" w:ascii="仿宋_GB2312" w:hAnsi="仿宋_GB2312" w:eastAsia="仿宋_GB2312"/>
          <w:color w:val="auto"/>
          <w:sz w:val="32"/>
          <w:szCs w:val="32"/>
        </w:rPr>
        <w:t>、企业坐标和边界、使用报告联系人和安全管理信息。</w:t>
      </w:r>
      <w:bookmarkEnd w:id="2"/>
    </w:p>
    <w:p>
      <w:pPr>
        <w:rPr>
          <w:rFonts w:hint="eastAsia" w:ascii="仿宋_GB2312" w:hAnsi="仿宋_GB2312" w:eastAsia="仿宋_GB2312"/>
          <w:color w:val="auto"/>
          <w:sz w:val="28"/>
          <w:szCs w:val="28"/>
        </w:rPr>
      </w:pPr>
      <w:r>
        <w:rPr>
          <w:color w:val="auto"/>
        </w:rPr>
        <w:drawing>
          <wp:inline distT="0" distB="0" distL="0" distR="0">
            <wp:extent cx="5615940" cy="3368040"/>
            <wp:effectExtent l="0" t="0" r="3810" b="3810"/>
            <wp:docPr id="8846164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4616453" name="图片 1"/>
                    <pic:cNvPicPr>
                      <a:picLocks noChangeAspect="tru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615940" cy="3368040"/>
                    </a:xfrm>
                    <a:prstGeom prst="rect">
                      <a:avLst/>
                    </a:prstGeom>
                  </pic:spPr>
                </pic:pic>
              </a:graphicData>
            </a:graphic>
          </wp:inline>
        </w:drawing>
      </w:r>
    </w:p>
    <w:p>
      <w:pPr>
        <w:rPr>
          <w:rFonts w:hint="eastAsia" w:ascii="仿宋_GB2312" w:hAnsi="仿宋_GB2312" w:eastAsia="仿宋_GB2312"/>
          <w:color w:val="auto"/>
          <w:sz w:val="28"/>
          <w:szCs w:val="28"/>
        </w:rPr>
      </w:pPr>
    </w:p>
    <w:p>
      <w:pPr>
        <w:rPr>
          <w:rFonts w:hint="eastAsia" w:ascii="仿宋_GB2312" w:hAnsi="仿宋_GB2312" w:eastAsia="仿宋_GB2312"/>
          <w:color w:val="auto"/>
          <w:sz w:val="28"/>
          <w:szCs w:val="28"/>
        </w:rPr>
      </w:pPr>
      <w:r>
        <w:rPr>
          <w:color w:val="auto"/>
        </w:rPr>
        <w:drawing>
          <wp:inline distT="0" distB="0" distL="0" distR="0">
            <wp:extent cx="5615940" cy="1798955"/>
            <wp:effectExtent l="0" t="0" r="3810" b="0"/>
            <wp:docPr id="50296887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2968875" name="图片 1"/>
                    <pic:cNvPicPr>
                      <a:picLocks noChangeAspect="tru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615940" cy="1798955"/>
                    </a:xfrm>
                    <a:prstGeom prst="rect">
                      <a:avLst/>
                    </a:prstGeom>
                  </pic:spPr>
                </pic:pic>
              </a:graphicData>
            </a:graphic>
          </wp:inline>
        </w:drawing>
      </w:r>
    </w:p>
    <w:p>
      <w:pPr>
        <w:rPr>
          <w:rFonts w:hint="eastAsia" w:ascii="仿宋_GB2312" w:hAnsi="仿宋_GB2312" w:eastAsia="仿宋_GB2312"/>
          <w:color w:val="auto"/>
          <w:sz w:val="28"/>
          <w:szCs w:val="28"/>
        </w:rPr>
      </w:pPr>
      <w:r>
        <w:rPr>
          <w:color w:val="auto"/>
        </w:rPr>
        <w:drawing>
          <wp:inline distT="0" distB="0" distL="0" distR="0">
            <wp:extent cx="5615940" cy="2538095"/>
            <wp:effectExtent l="0" t="0" r="3810" b="0"/>
            <wp:docPr id="191296928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2969283" name="图片 1"/>
                    <pic:cNvPicPr>
                      <a:picLocks noChangeAspect="tru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615940" cy="2538095"/>
                    </a:xfrm>
                    <a:prstGeom prst="rect">
                      <a:avLst/>
                    </a:prstGeom>
                  </pic:spPr>
                </pic:pic>
              </a:graphicData>
            </a:graphic>
          </wp:inline>
        </w:drawing>
      </w:r>
    </w:p>
    <w:p>
      <w:pPr>
        <w:spacing w:after="100" w:afterAutospacing="1"/>
        <w:rPr>
          <w:rFonts w:hint="eastAsia" w:ascii="方正小标宋简体" w:eastAsia="方正小标宋简体"/>
          <w:color w:val="auto"/>
          <w:sz w:val="36"/>
          <w:szCs w:val="36"/>
        </w:rPr>
      </w:pPr>
      <w:r>
        <w:rPr>
          <w:rFonts w:hint="eastAsia"/>
          <w:color w:val="auto"/>
        </w:rPr>
        <w:drawing>
          <wp:inline distT="0" distB="0" distL="0" distR="0">
            <wp:extent cx="5623560" cy="2537460"/>
            <wp:effectExtent l="0" t="0" r="0" b="0"/>
            <wp:docPr id="956949887" name="图片 1" descr="bac3136b0aede1b482501d0e3e0b81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6949887" name="图片 1" descr="bac3136b0aede1b482501d0e3e0b81f"/>
                    <pic:cNvPicPr>
                      <a:picLocks noChangeAspect="true" noChangeArrowheads="true"/>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false"/>
                        </a:ext>
                      </a:extLst>
                    </a:blip>
                    <a:srcRect/>
                    <a:stretch>
                      <a:fillRect/>
                    </a:stretch>
                  </pic:blipFill>
                  <pic:spPr>
                    <a:xfrm>
                      <a:off x="0" y="0"/>
                      <a:ext cx="5623560" cy="2537460"/>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三、涉危单位使用报告上报</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olor w:val="auto"/>
          <w:sz w:val="32"/>
          <w:szCs w:val="32"/>
        </w:rPr>
      </w:pPr>
      <w:r>
        <w:rPr>
          <w:rFonts w:hint="eastAsia" w:ascii="楷体_GB2312" w:hAnsi="楷体_GB2312" w:eastAsia="楷体_GB2312"/>
          <w:color w:val="auto"/>
          <w:sz w:val="32"/>
          <w:szCs w:val="32"/>
        </w:rPr>
        <w:t>（一）维护储存场所信息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28"/>
          <w:szCs w:val="28"/>
        </w:rPr>
      </w:pPr>
      <w:r>
        <w:rPr>
          <w:rFonts w:hint="eastAsia" w:ascii="仿宋_GB2312" w:hAnsi="仿宋_GB2312" w:eastAsia="仿宋_GB2312"/>
          <w:color w:val="auto"/>
          <w:sz w:val="32"/>
          <w:szCs w:val="32"/>
        </w:rPr>
        <w:t>涉危单位台账信息完善后，刷新页面。在【危化品使用单位报告】-【储存场所】，选择</w:t>
      </w:r>
      <w:r>
        <w:rPr>
          <w:rFonts w:ascii="仿宋_GB2312" w:hAnsi="仿宋_GB2312" w:eastAsia="仿宋_GB2312"/>
          <w:color w:val="auto"/>
          <w:sz w:val="32"/>
          <w:szCs w:val="32"/>
        </w:rPr>
        <w:t>危险化学品专用仓库</w:t>
      </w:r>
      <w:r>
        <w:rPr>
          <w:rFonts w:hint="eastAsia" w:ascii="仿宋_GB2312" w:hAnsi="仿宋_GB2312" w:eastAsia="仿宋_GB2312"/>
          <w:color w:val="auto"/>
          <w:sz w:val="32"/>
          <w:szCs w:val="32"/>
        </w:rPr>
        <w:t>、</w:t>
      </w:r>
      <w:r>
        <w:rPr>
          <w:rFonts w:ascii="仿宋_GB2312" w:hAnsi="仿宋_GB2312" w:eastAsia="仿宋_GB2312"/>
          <w:color w:val="auto"/>
          <w:sz w:val="32"/>
          <w:szCs w:val="32"/>
        </w:rPr>
        <w:t>危险化学品储存室</w:t>
      </w:r>
      <w:r>
        <w:rPr>
          <w:rFonts w:hint="eastAsia" w:ascii="仿宋_GB2312" w:hAnsi="仿宋_GB2312" w:eastAsia="仿宋_GB2312"/>
          <w:color w:val="auto"/>
          <w:sz w:val="32"/>
          <w:szCs w:val="32"/>
        </w:rPr>
        <w:t>、</w:t>
      </w:r>
      <w:r>
        <w:rPr>
          <w:rFonts w:ascii="仿宋_GB2312" w:hAnsi="仿宋_GB2312" w:eastAsia="仿宋_GB2312"/>
          <w:color w:val="auto"/>
          <w:sz w:val="32"/>
          <w:szCs w:val="32"/>
        </w:rPr>
        <w:t>气瓶间</w:t>
      </w:r>
      <w:r>
        <w:rPr>
          <w:rFonts w:hint="eastAsia" w:ascii="仿宋_GB2312" w:hAnsi="仿宋_GB2312" w:eastAsia="仿宋_GB2312"/>
          <w:color w:val="auto"/>
          <w:sz w:val="32"/>
          <w:szCs w:val="32"/>
        </w:rPr>
        <w:t>、</w:t>
      </w:r>
      <w:r>
        <w:rPr>
          <w:rFonts w:ascii="仿宋_GB2312" w:hAnsi="仿宋_GB2312" w:eastAsia="仿宋_GB2312"/>
          <w:color w:val="auto"/>
          <w:sz w:val="32"/>
          <w:szCs w:val="32"/>
        </w:rPr>
        <w:t>危险化学品储罐</w:t>
      </w:r>
      <w:r>
        <w:rPr>
          <w:rFonts w:hint="eastAsia" w:ascii="仿宋_GB2312" w:hAnsi="仿宋_GB2312" w:eastAsia="仿宋_GB2312"/>
          <w:color w:val="auto"/>
          <w:sz w:val="32"/>
          <w:szCs w:val="32"/>
        </w:rPr>
        <w:t>等储存场所中的一项或多项进行信息维护，并上传</w:t>
      </w:r>
      <w:r>
        <w:rPr>
          <w:rFonts w:ascii="仿宋_GB2312" w:hAnsi="仿宋_GB2312" w:eastAsia="仿宋_GB2312"/>
          <w:color w:val="auto"/>
          <w:sz w:val="32"/>
          <w:szCs w:val="32"/>
        </w:rPr>
        <w:t>新改扩储存设施安全验收评价报告</w:t>
      </w:r>
      <w:r>
        <w:rPr>
          <w:rFonts w:hint="eastAsia" w:ascii="仿宋_GB2312" w:hAnsi="仿宋_GB2312" w:eastAsia="仿宋_GB2312"/>
          <w:color w:val="auto"/>
          <w:sz w:val="32"/>
          <w:szCs w:val="32"/>
        </w:rPr>
        <w:t>和</w:t>
      </w:r>
      <w:r>
        <w:rPr>
          <w:rFonts w:ascii="仿宋_GB2312" w:hAnsi="仿宋_GB2312" w:eastAsia="仿宋_GB2312"/>
          <w:color w:val="auto"/>
          <w:sz w:val="32"/>
          <w:szCs w:val="32"/>
        </w:rPr>
        <w:t>已建储存设施安全现状评价报告</w:t>
      </w:r>
      <w:r>
        <w:rPr>
          <w:rFonts w:hint="eastAsia" w:ascii="仿宋_GB2312" w:hAnsi="仿宋_GB2312" w:eastAsia="仿宋_GB2312"/>
          <w:color w:val="auto"/>
          <w:sz w:val="32"/>
          <w:szCs w:val="32"/>
        </w:rPr>
        <w:t>（如有）。</w:t>
      </w:r>
    </w:p>
    <w:p>
      <w:pPr>
        <w:spacing w:after="100" w:afterAutospacing="1"/>
        <w:rPr>
          <w:rFonts w:hint="eastAsia" w:ascii="仿宋_GB2312" w:hAnsi="仿宋_GB2312" w:eastAsia="仿宋_GB2312"/>
          <w:color w:val="auto"/>
          <w:sz w:val="28"/>
          <w:szCs w:val="28"/>
        </w:rPr>
      </w:pPr>
      <w:r>
        <w:rPr>
          <w:color w:val="auto"/>
        </w:rPr>
        <w:drawing>
          <wp:inline distT="0" distB="0" distL="0" distR="0">
            <wp:extent cx="5274310" cy="2623185"/>
            <wp:effectExtent l="0" t="0" r="2540" b="5715"/>
            <wp:docPr id="6754568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5456876" name="图片 1"/>
                    <pic:cNvPicPr>
                      <a:picLocks noChangeAspect="tru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274310" cy="2623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olor w:val="auto"/>
          <w:sz w:val="32"/>
          <w:szCs w:val="32"/>
        </w:rPr>
      </w:pPr>
      <w:r>
        <w:rPr>
          <w:rFonts w:hint="eastAsia" w:ascii="楷体_GB2312" w:hAnsi="楷体_GB2312" w:eastAsia="楷体_GB2312"/>
          <w:color w:val="auto"/>
          <w:sz w:val="32"/>
          <w:szCs w:val="32"/>
        </w:rPr>
        <w:t>（二）</w:t>
      </w:r>
      <w:r>
        <w:rPr>
          <w:rFonts w:hint="eastAsia" w:ascii="楷体_GB2312" w:hAnsi="楷体_GB2312" w:eastAsia="楷体_GB2312"/>
          <w:color w:val="auto"/>
          <w:sz w:val="32"/>
          <w:szCs w:val="32"/>
          <w:lang w:eastAsia="zh-CN"/>
        </w:rPr>
        <w:t>开展</w:t>
      </w:r>
      <w:r>
        <w:rPr>
          <w:rFonts w:hint="eastAsia" w:ascii="楷体_GB2312" w:hAnsi="楷体_GB2312" w:eastAsia="楷体_GB2312"/>
          <w:color w:val="auto"/>
          <w:sz w:val="32"/>
          <w:szCs w:val="32"/>
          <w:lang w:val="en-US" w:eastAsia="zh-CN"/>
        </w:rPr>
        <w:t>2025年度</w:t>
      </w:r>
      <w:r>
        <w:rPr>
          <w:rFonts w:hint="eastAsia" w:ascii="楷体_GB2312" w:hAnsi="楷体_GB2312" w:eastAsia="楷体_GB2312"/>
          <w:color w:val="auto"/>
          <w:sz w:val="32"/>
          <w:szCs w:val="32"/>
          <w:lang w:eastAsia="zh-CN"/>
        </w:rPr>
        <w:t>危险化学品</w:t>
      </w:r>
      <w:r>
        <w:rPr>
          <w:rFonts w:hint="eastAsia" w:ascii="楷体_GB2312" w:hAnsi="楷体_GB2312" w:eastAsia="楷体_GB2312"/>
          <w:color w:val="auto"/>
          <w:sz w:val="32"/>
          <w:szCs w:val="32"/>
        </w:rPr>
        <w:t>使用</w:t>
      </w:r>
      <w:r>
        <w:rPr>
          <w:rFonts w:hint="eastAsia" w:ascii="楷体_GB2312" w:hAnsi="楷体_GB2312" w:eastAsia="楷体_GB2312"/>
          <w:color w:val="auto"/>
          <w:sz w:val="32"/>
          <w:szCs w:val="32"/>
          <w:lang w:eastAsia="zh-CN"/>
        </w:rPr>
        <w:t>信息</w:t>
      </w:r>
      <w:r>
        <w:rPr>
          <w:rFonts w:hint="eastAsia" w:ascii="楷体_GB2312" w:hAnsi="楷体_GB2312" w:eastAsia="楷体_GB2312"/>
          <w:color w:val="auto"/>
          <w:sz w:val="32"/>
          <w:szCs w:val="32"/>
        </w:rPr>
        <w:t>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b/>
          <w:bCs/>
          <w:color w:val="auto"/>
          <w:sz w:val="32"/>
          <w:szCs w:val="32"/>
        </w:rPr>
      </w:pPr>
      <w:r>
        <w:rPr>
          <w:rFonts w:hint="eastAsia" w:ascii="仿宋_GB2312" w:hAnsi="仿宋_GB2312" w:eastAsia="仿宋_GB2312"/>
          <w:color w:val="auto"/>
          <w:sz w:val="32"/>
          <w:szCs w:val="32"/>
        </w:rPr>
        <w:t>维护储存场所信息后，点击【下一步】-【新增】，“报告类型”选择“去年年使用报告”，增加实际使用危化品信息。输入规范的危险化学品中文名称后会在下拉菜单中显示匹配的危险化学品品名，选择结果会自动带出大部分信息，需要手动维护的信息项包括：</w:t>
      </w:r>
      <w:r>
        <w:rPr>
          <w:rFonts w:ascii="仿宋_GB2312" w:hAnsi="仿宋_GB2312" w:eastAsia="仿宋_GB2312"/>
          <w:b/>
          <w:bCs/>
          <w:color w:val="auto"/>
          <w:sz w:val="32"/>
          <w:szCs w:val="32"/>
        </w:rPr>
        <w:t>危险化学品用途</w:t>
      </w:r>
      <w:r>
        <w:rPr>
          <w:rFonts w:hint="eastAsia" w:ascii="仿宋_GB2312" w:hAnsi="仿宋_GB2312" w:eastAsia="仿宋_GB2312"/>
          <w:b/>
          <w:bCs/>
          <w:color w:val="auto"/>
          <w:sz w:val="32"/>
          <w:szCs w:val="32"/>
        </w:rPr>
        <w:t>、</w:t>
      </w:r>
      <w:r>
        <w:rPr>
          <w:rFonts w:ascii="仿宋_GB2312" w:hAnsi="仿宋_GB2312" w:eastAsia="仿宋_GB2312"/>
          <w:b/>
          <w:bCs/>
          <w:color w:val="auto"/>
          <w:sz w:val="32"/>
          <w:szCs w:val="32"/>
        </w:rPr>
        <w:t>年使用量</w:t>
      </w:r>
      <w:r>
        <w:rPr>
          <w:rFonts w:hint="eastAsia" w:ascii="仿宋_GB2312" w:hAnsi="仿宋_GB2312" w:eastAsia="仿宋_GB2312"/>
          <w:b/>
          <w:bCs/>
          <w:color w:val="auto"/>
          <w:sz w:val="32"/>
          <w:szCs w:val="32"/>
        </w:rPr>
        <w:t>、</w:t>
      </w:r>
      <w:r>
        <w:rPr>
          <w:rFonts w:ascii="仿宋_GB2312" w:hAnsi="仿宋_GB2312" w:eastAsia="仿宋_GB2312"/>
          <w:b/>
          <w:bCs/>
          <w:color w:val="auto"/>
          <w:sz w:val="32"/>
          <w:szCs w:val="32"/>
        </w:rPr>
        <w:t>储存场所</w:t>
      </w:r>
      <w:r>
        <w:rPr>
          <w:rFonts w:hint="eastAsia" w:ascii="仿宋_GB2312" w:hAnsi="仿宋_GB2312" w:eastAsia="仿宋_GB2312"/>
          <w:b/>
          <w:bCs/>
          <w:color w:val="auto"/>
          <w:sz w:val="32"/>
          <w:szCs w:val="32"/>
        </w:rPr>
        <w:t>。</w:t>
      </w:r>
    </w:p>
    <w:p>
      <w:pPr>
        <w:rPr>
          <w:rFonts w:hint="eastAsia" w:ascii="仿宋_GB2312" w:hAnsi="仿宋_GB2312" w:eastAsia="仿宋_GB2312"/>
          <w:color w:val="auto"/>
          <w:sz w:val="28"/>
          <w:szCs w:val="28"/>
        </w:rPr>
      </w:pPr>
      <w:r>
        <w:rPr>
          <w:color w:val="auto"/>
        </w:rPr>
        <w:drawing>
          <wp:inline distT="0" distB="0" distL="0" distR="0">
            <wp:extent cx="5274310" cy="2646680"/>
            <wp:effectExtent l="0" t="0" r="2540" b="1270"/>
            <wp:docPr id="117870316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8703165" name="图片 1"/>
                    <pic:cNvPicPr>
                      <a:picLocks noChangeAspect="tru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274310" cy="2646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若使用品种多，可下载使用报告模版，按模版要求填写完成后批量导入。</w:t>
      </w:r>
    </w:p>
    <w:p>
      <w:pPr>
        <w:rPr>
          <w:rFonts w:hint="eastAsia" w:ascii="仿宋_GB2312" w:hAnsi="仿宋_GB2312" w:eastAsia="仿宋_GB2312"/>
          <w:color w:val="auto"/>
          <w:sz w:val="28"/>
          <w:szCs w:val="28"/>
        </w:rPr>
      </w:pPr>
      <w:r>
        <w:rPr>
          <w:color w:val="auto"/>
        </w:rPr>
        <w:drawing>
          <wp:inline distT="0" distB="0" distL="0" distR="0">
            <wp:extent cx="5274310" cy="725170"/>
            <wp:effectExtent l="0" t="0" r="2540" b="0"/>
            <wp:docPr id="211721687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7216870" name="图片 1"/>
                    <pic:cNvPicPr>
                      <a:picLocks noChangeAspect="tru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274310" cy="725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olor w:val="auto"/>
          <w:sz w:val="32"/>
          <w:szCs w:val="32"/>
        </w:rPr>
      </w:pPr>
      <w:r>
        <w:rPr>
          <w:rFonts w:hint="eastAsia" w:ascii="楷体_GB2312" w:hAnsi="楷体_GB2312" w:eastAsia="楷体_GB2312"/>
          <w:color w:val="auto"/>
          <w:sz w:val="32"/>
          <w:szCs w:val="32"/>
        </w:rPr>
        <w:t>（三）</w:t>
      </w:r>
      <w:r>
        <w:rPr>
          <w:rFonts w:hint="eastAsia" w:ascii="楷体_GB2312" w:hAnsi="楷体_GB2312" w:eastAsia="楷体_GB2312"/>
          <w:color w:val="auto"/>
          <w:sz w:val="32"/>
          <w:szCs w:val="32"/>
          <w:lang w:eastAsia="zh-CN"/>
        </w:rPr>
        <w:t>开展</w:t>
      </w:r>
      <w:r>
        <w:rPr>
          <w:rFonts w:hint="eastAsia" w:ascii="楷体_GB2312" w:hAnsi="楷体_GB2312" w:eastAsia="楷体_GB2312"/>
          <w:color w:val="auto"/>
          <w:sz w:val="32"/>
          <w:szCs w:val="32"/>
          <w:lang w:val="en-US" w:eastAsia="zh-CN"/>
        </w:rPr>
        <w:t>2026年危险化学品使用</w:t>
      </w:r>
      <w:r>
        <w:rPr>
          <w:rFonts w:hint="eastAsia" w:ascii="楷体_GB2312" w:hAnsi="楷体_GB2312" w:eastAsia="楷体_GB2312"/>
          <w:color w:val="auto"/>
          <w:sz w:val="32"/>
          <w:szCs w:val="32"/>
        </w:rPr>
        <w:t>计划报告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b/>
          <w:bCs/>
          <w:color w:val="auto"/>
          <w:sz w:val="44"/>
          <w:szCs w:val="44"/>
        </w:rPr>
      </w:pPr>
      <w:r>
        <w:rPr>
          <w:rFonts w:hint="eastAsia" w:ascii="仿宋_GB2312" w:hAnsi="仿宋_GB2312" w:eastAsia="仿宋_GB2312"/>
          <w:color w:val="auto"/>
          <w:sz w:val="32"/>
          <w:szCs w:val="32"/>
        </w:rPr>
        <w:t>维护去年年使用报告后，点击【新增】，“报告类型”选择“今年年计划报告”，增加计划使用危化品信息。输入危险化学品中文名称后会在下拉菜单中显示匹配的危险化学品品名，选择结果会自动带出大部分信息，需要手动维护的信息项包括：</w:t>
      </w:r>
      <w:r>
        <w:rPr>
          <w:rFonts w:ascii="仿宋_GB2312" w:hAnsi="仿宋_GB2312" w:eastAsia="仿宋_GB2312"/>
          <w:b/>
          <w:bCs/>
          <w:color w:val="auto"/>
          <w:sz w:val="32"/>
          <w:szCs w:val="32"/>
        </w:rPr>
        <w:t>计划年使用量</w:t>
      </w:r>
      <w:r>
        <w:rPr>
          <w:rFonts w:hint="eastAsia" w:ascii="仿宋_GB2312" w:hAnsi="仿宋_GB2312" w:eastAsia="仿宋_GB2312"/>
          <w:b/>
          <w:bCs/>
          <w:color w:val="auto"/>
          <w:sz w:val="32"/>
          <w:szCs w:val="32"/>
        </w:rPr>
        <w:t>、</w:t>
      </w:r>
      <w:r>
        <w:rPr>
          <w:rFonts w:ascii="仿宋_GB2312" w:hAnsi="仿宋_GB2312" w:eastAsia="仿宋_GB2312"/>
          <w:b/>
          <w:bCs/>
          <w:color w:val="auto"/>
          <w:sz w:val="32"/>
          <w:szCs w:val="32"/>
        </w:rPr>
        <w:t>危险化学品用途</w:t>
      </w:r>
      <w:r>
        <w:rPr>
          <w:rFonts w:hint="eastAsia" w:ascii="仿宋_GB2312" w:hAnsi="仿宋_GB2312" w:eastAsia="仿宋_GB2312"/>
          <w:b/>
          <w:bCs/>
          <w:color w:val="auto"/>
          <w:sz w:val="32"/>
          <w:szCs w:val="32"/>
        </w:rPr>
        <w:t>。</w:t>
      </w:r>
    </w:p>
    <w:p>
      <w:pPr>
        <w:rPr>
          <w:rFonts w:hint="eastAsia" w:ascii="仿宋_GB2312" w:hAnsi="仿宋_GB2312" w:eastAsia="仿宋_GB2312"/>
          <w:color w:val="auto"/>
          <w:sz w:val="28"/>
          <w:szCs w:val="28"/>
        </w:rPr>
      </w:pPr>
      <w:r>
        <w:rPr>
          <w:color w:val="auto"/>
        </w:rPr>
        <w:drawing>
          <wp:inline distT="0" distB="0" distL="0" distR="0">
            <wp:extent cx="5274310" cy="1562100"/>
            <wp:effectExtent l="0" t="0" r="2540" b="0"/>
            <wp:docPr id="137967261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9672616" name="图片 1"/>
                    <pic:cNvPicPr>
                      <a:picLocks noChangeAspect="tru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274310" cy="1562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若使用品种多，可下载计划报告模版，按模版要求填写完成后批量导入。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olor w:val="auto"/>
          <w:sz w:val="32"/>
          <w:szCs w:val="32"/>
        </w:rPr>
      </w:pPr>
      <w:r>
        <w:rPr>
          <w:rFonts w:hint="eastAsia" w:ascii="楷体_GB2312" w:hAnsi="楷体_GB2312" w:eastAsia="楷体_GB2312"/>
          <w:color w:val="auto"/>
          <w:sz w:val="32"/>
          <w:szCs w:val="32"/>
        </w:rPr>
        <w:t>（四）报告上报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28"/>
          <w:szCs w:val="28"/>
        </w:rPr>
      </w:pPr>
      <w:r>
        <w:rPr>
          <w:rFonts w:hint="eastAsia" w:ascii="仿宋_GB2312" w:hAnsi="仿宋_GB2312" w:eastAsia="仿宋_GB2312"/>
          <w:color w:val="auto"/>
          <w:sz w:val="32"/>
          <w:szCs w:val="32"/>
        </w:rPr>
        <w:t>所有信息填写完成后，点击【步骤3报告上报】-【上报】按钮，完成信息上报。</w:t>
      </w:r>
    </w:p>
    <w:p>
      <w:pPr>
        <w:spacing w:after="100" w:afterAutospacing="1"/>
        <w:rPr>
          <w:color w:val="auto"/>
        </w:rPr>
      </w:pPr>
      <w:r>
        <w:rPr>
          <w:color w:val="auto"/>
        </w:rPr>
        <w:drawing>
          <wp:inline distT="0" distB="0" distL="0" distR="0">
            <wp:extent cx="5274310" cy="2065020"/>
            <wp:effectExtent l="0" t="0" r="2540" b="0"/>
            <wp:docPr id="15004217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0421727" name="图片 1"/>
                    <pic:cNvPicPr>
                      <a:picLocks noChangeAspect="tru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274310" cy="206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00" w:afterAutospacing="1" w:line="800" w:lineRule="exact"/>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after="100" w:afterAutospacing="1" w:line="800" w:lineRule="exact"/>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after="100" w:afterAutospacing="1" w:line="800" w:lineRule="exact"/>
        <w:jc w:val="center"/>
        <w:textAlignment w:val="auto"/>
        <w:rPr>
          <w:rFonts w:hint="eastAsia" w:ascii="方正小标宋简体" w:eastAsia="方正小标宋简体"/>
          <w:color w:val="auto"/>
          <w:sz w:val="44"/>
          <w:szCs w:val="44"/>
        </w:rPr>
      </w:pPr>
    </w:p>
    <w:p>
      <w:pPr>
        <w:spacing w:after="100" w:afterAutospacing="1"/>
        <w:rPr>
          <w:rFonts w:hint="eastAsia"/>
          <w:sz w:val="32"/>
          <w:szCs w:val="32"/>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国标宋体-超大字符集扩"/>
    <w:panose1 w:val="00000000000000000000"/>
    <w:charset w:val="00"/>
    <w:family w:val="auto"/>
    <w:pitch w:val="default"/>
    <w:sig w:usb0="00000000" w:usb1="00000000" w:usb2="00000000" w:usb3="00000000" w:csb0="00000000" w:csb1="00000000"/>
  </w:font>
  <w:font w:name="等线 Light">
    <w:altName w:val="汉仪中宋简"/>
    <w:panose1 w:val="02010600030101010101"/>
    <w:charset w:val="86"/>
    <w:family w:val="auto"/>
    <w:pitch w:val="default"/>
    <w:sig w:usb0="00000000" w:usb1="00000000" w:usb2="00000016" w:usb3="00000000" w:csb0="0004000F" w:csb1="00000000"/>
  </w:font>
  <w:font w:name="方正小标宋简体">
    <w:altName w:val="方正小标宋_GBK"/>
    <w:panose1 w:val="02000000000000000000"/>
    <w:charset w:val="86"/>
    <w:family w:val="script"/>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国标宋体-超大字符集扩">
    <w:panose1 w:val="000005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Impact">
    <w:panose1 w:val="020B0806030902050204"/>
    <w:charset w:val="00"/>
    <w:family w:val="auto"/>
    <w:pitch w:val="default"/>
    <w:sig w:usb0="00000287" w:usb1="00000000" w:usb2="00000000" w:usb3="00000000" w:csb0="2000009F" w:csb1="DFD7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等线 Light">
    <w:altName w:val="国标宋体-超大字符集扩"/>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568233"/>
      <w:docPartObj>
        <w:docPartGallery w:val="autotext"/>
      </w:docPartObj>
    </w:sdtPr>
    <w:sdtContent>
      <w:p>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32F"/>
    <w:rsid w:val="00013491"/>
    <w:rsid w:val="000A186E"/>
    <w:rsid w:val="001E2EB9"/>
    <w:rsid w:val="0025449E"/>
    <w:rsid w:val="00271C99"/>
    <w:rsid w:val="002D665C"/>
    <w:rsid w:val="002F4E6A"/>
    <w:rsid w:val="003B0FF5"/>
    <w:rsid w:val="00417452"/>
    <w:rsid w:val="00447791"/>
    <w:rsid w:val="004552D6"/>
    <w:rsid w:val="00520EC8"/>
    <w:rsid w:val="00531E3B"/>
    <w:rsid w:val="0056438C"/>
    <w:rsid w:val="00624CAD"/>
    <w:rsid w:val="006627A7"/>
    <w:rsid w:val="00901488"/>
    <w:rsid w:val="0091432F"/>
    <w:rsid w:val="00AC3056"/>
    <w:rsid w:val="00AE2E30"/>
    <w:rsid w:val="00B131D2"/>
    <w:rsid w:val="00C5227B"/>
    <w:rsid w:val="00C70DCD"/>
    <w:rsid w:val="00D22C9D"/>
    <w:rsid w:val="00D43343"/>
    <w:rsid w:val="00DD15E1"/>
    <w:rsid w:val="00E97918"/>
    <w:rsid w:val="00EB5415"/>
    <w:rsid w:val="00FF0086"/>
    <w:rsid w:val="11B458B5"/>
    <w:rsid w:val="3A9EEF20"/>
    <w:rsid w:val="4EEF0237"/>
    <w:rsid w:val="57BF4AF3"/>
    <w:rsid w:val="599FC0A7"/>
    <w:rsid w:val="5BFED0D9"/>
    <w:rsid w:val="6778ED7E"/>
    <w:rsid w:val="6AB8CE56"/>
    <w:rsid w:val="6B992596"/>
    <w:rsid w:val="6E7131F4"/>
    <w:rsid w:val="6FFB327B"/>
    <w:rsid w:val="73D3AB73"/>
    <w:rsid w:val="76BC2790"/>
    <w:rsid w:val="77CD9CC6"/>
    <w:rsid w:val="7B66EDE8"/>
    <w:rsid w:val="7B7C6EDF"/>
    <w:rsid w:val="7B7FDEBA"/>
    <w:rsid w:val="7BBBBBCC"/>
    <w:rsid w:val="7F9FE736"/>
    <w:rsid w:val="C7FD2EA2"/>
    <w:rsid w:val="CEBF6979"/>
    <w:rsid w:val="DF3FE808"/>
    <w:rsid w:val="F56F61DF"/>
    <w:rsid w:val="F5FBC35A"/>
    <w:rsid w:val="FBEDA8C7"/>
    <w:rsid w:val="FEFE64A6"/>
    <w:rsid w:val="FF3C38A8"/>
    <w:rsid w:val="FFC1348A"/>
    <w:rsid w:val="FFFF1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4">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5">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6">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7">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8">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9">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Hyperlink"/>
    <w:basedOn w:val="16"/>
    <w:unhideWhenUsed/>
    <w:qFormat/>
    <w:uiPriority w:val="99"/>
    <w:rPr>
      <w:color w:val="467886" w:themeColor="hyperlink"/>
      <w:u w:val="single"/>
      <w14:textFill>
        <w14:solidFill>
          <w14:schemeClr w14:val="hlink"/>
        </w14:solidFill>
      </w14:textFill>
    </w:rPr>
  </w:style>
  <w:style w:type="character" w:customStyle="1" w:styleId="18">
    <w:name w:val="标题 1 字符"/>
    <w:basedOn w:val="16"/>
    <w:link w:val="3"/>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6"/>
    <w:link w:val="4"/>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6"/>
    <w:link w:val="5"/>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6"/>
    <w:link w:val="6"/>
    <w:semiHidden/>
    <w:qFormat/>
    <w:uiPriority w:val="9"/>
    <w:rPr>
      <w:rFonts w:cstheme="majorBidi"/>
      <w:color w:val="104862" w:themeColor="accent1" w:themeShade="BF"/>
      <w:sz w:val="28"/>
      <w:szCs w:val="28"/>
    </w:rPr>
  </w:style>
  <w:style w:type="character" w:customStyle="1" w:styleId="22">
    <w:name w:val="标题 5 字符"/>
    <w:basedOn w:val="16"/>
    <w:link w:val="7"/>
    <w:semiHidden/>
    <w:qFormat/>
    <w:uiPriority w:val="9"/>
    <w:rPr>
      <w:rFonts w:cstheme="majorBidi"/>
      <w:color w:val="104862" w:themeColor="accent1" w:themeShade="BF"/>
      <w:sz w:val="24"/>
      <w:szCs w:val="24"/>
    </w:rPr>
  </w:style>
  <w:style w:type="character" w:customStyle="1" w:styleId="23">
    <w:name w:val="标题 6 字符"/>
    <w:basedOn w:val="16"/>
    <w:link w:val="8"/>
    <w:semiHidden/>
    <w:qFormat/>
    <w:uiPriority w:val="9"/>
    <w:rPr>
      <w:rFonts w:cstheme="majorBidi"/>
      <w:b/>
      <w:bCs/>
      <w:color w:val="104862" w:themeColor="accent1" w:themeShade="BF"/>
    </w:rPr>
  </w:style>
  <w:style w:type="character" w:customStyle="1" w:styleId="24">
    <w:name w:val="标题 7 字符"/>
    <w:basedOn w:val="16"/>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6"/>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6"/>
    <w:link w:val="33"/>
    <w:qFormat/>
    <w:uiPriority w:val="30"/>
    <w:rPr>
      <w:i/>
      <w:iCs/>
      <w:color w:val="104862" w:themeColor="accent1" w:themeShade="BF"/>
    </w:rPr>
  </w:style>
  <w:style w:type="character" w:customStyle="1" w:styleId="35">
    <w:name w:val="明显参考1"/>
    <w:basedOn w:val="16"/>
    <w:qFormat/>
    <w:uiPriority w:val="32"/>
    <w:rPr>
      <w:b/>
      <w:bCs/>
      <w:smallCaps/>
      <w:color w:val="104862" w:themeColor="accent1" w:themeShade="BF"/>
      <w:spacing w:val="5"/>
    </w:rPr>
  </w:style>
  <w:style w:type="character" w:customStyle="1" w:styleId="36">
    <w:name w:val="页眉 字符"/>
    <w:basedOn w:val="16"/>
    <w:link w:val="12"/>
    <w:qFormat/>
    <w:uiPriority w:val="99"/>
    <w:rPr>
      <w:sz w:val="18"/>
      <w:szCs w:val="18"/>
    </w:rPr>
  </w:style>
  <w:style w:type="character" w:customStyle="1" w:styleId="37">
    <w:name w:val="页脚 字符"/>
    <w:basedOn w:val="16"/>
    <w:link w:val="2"/>
    <w:qFormat/>
    <w:uiPriority w:val="99"/>
    <w:rPr>
      <w:sz w:val="18"/>
      <w:szCs w:val="18"/>
    </w:rPr>
  </w:style>
  <w:style w:type="paragraph" w:customStyle="1" w:styleId="3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1.xml"/><Relationship Id="rId37" Type="http://schemas.microsoft.com/office/2007/relationships/hdphoto" Target="media/image33.wdp"/><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footer" Target="footer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openxmlformats.org/officeDocument/2006/relationships/image" Target="media/image22.png"/><Relationship Id="rId25" Type="http://schemas.microsoft.com/office/2007/relationships/hdphoto" Target="media/image21.wdp"/><Relationship Id="rId24" Type="http://schemas.openxmlformats.org/officeDocument/2006/relationships/image" Target="media/image20.png"/><Relationship Id="rId23" Type="http://schemas.microsoft.com/office/2007/relationships/hdphoto" Target="media/image19.wdp"/><Relationship Id="rId22" Type="http://schemas.openxmlformats.org/officeDocument/2006/relationships/image" Target="media/image18.png"/><Relationship Id="rId21" Type="http://schemas.microsoft.com/office/2007/relationships/hdphoto" Target="media/image17.wdp"/><Relationship Id="rId20" Type="http://schemas.openxmlformats.org/officeDocument/2006/relationships/image" Target="media/image16.png"/><Relationship Id="rId2" Type="http://schemas.openxmlformats.org/officeDocument/2006/relationships/settings" Target="settings.xml"/><Relationship Id="rId19" Type="http://schemas.microsoft.com/office/2007/relationships/hdphoto" Target="media/image15.wdp"/><Relationship Id="rId18" Type="http://schemas.openxmlformats.org/officeDocument/2006/relationships/image" Target="media/image14.png"/><Relationship Id="rId17" Type="http://schemas.microsoft.com/office/2007/relationships/hdphoto" Target="media/image13.wdp"/><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670</Words>
  <Characters>691</Characters>
  <Lines>43</Lines>
  <Paragraphs>23</Paragraphs>
  <TotalTime>2</TotalTime>
  <ScaleCrop>false</ScaleCrop>
  <LinksUpToDate>false</LinksUpToDate>
  <CharactersWithSpaces>1338</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2026-02-06T02:28:00Z</dcterms:created>
  <dc:creator>xiaoyu su</dc:creator>
  <cp:lastModifiedBy>uos</cp:lastModifiedBy>
  <cp:lastPrinted>2026-03-08T11:17:00Z</cp:lastPrinted>
  <dcterms:modified xsi:type="dcterms:W3CDTF">2026-04-28T10:41:47Z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eyJoZGlkIjoiODViY2JkMjU3NGYzZTEwMzZmMGFkZWViYmNkYWU3NDIiLCJ1c2VySWQiOiIzMDgyMzY4MzkifQ==</vt:lpwstr>
  </property>
  <property fmtid="{D5CDD505-2E9C-101B-9397-08002B2CF9AE}" pid="3" name="KSOProductBuildVer">
    <vt:lpwstr>2052-11.8.2.10125</vt:lpwstr>
  </property>
  <property fmtid="{D5CDD505-2E9C-101B-9397-08002B2CF9AE}" pid="4" name="ICV">
    <vt:lpwstr>51C66546B2F2497BAF4BE220E7C2DBCA_13</vt:lpwstr>
  </property>
</Properties>
</file>