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31F3C">
      <w:pPr>
        <w:spacing w:line="480" w:lineRule="exact"/>
        <w:rPr>
          <w:rFonts w:hint="eastAsia" w:ascii="Times New Roman" w:hAnsi="Times New Roman" w:eastAsia="黑体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4F60D247"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</w:rPr>
        <w:t>崔各庄乡京旺家园公共设施维修项目</w:t>
      </w:r>
    </w:p>
    <w:p w14:paraId="0B406808"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</w:rPr>
        <w:t>支出绩效评价报告</w:t>
      </w:r>
    </w:p>
    <w:p w14:paraId="39BC8A2E"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0"/>
          <w:szCs w:val="40"/>
        </w:rPr>
      </w:pPr>
    </w:p>
    <w:p w14:paraId="58EA091F"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基本情况</w:t>
      </w:r>
    </w:p>
    <w:p w14:paraId="3DE90EE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项目概况。</w:t>
      </w:r>
    </w:p>
    <w:p w14:paraId="57599DCB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京旺家园为我乡农村拆迁安置小区，其中1-7区居民入住已超过10年，小区部分公共设施的毁损情况比较严重，为消除安全隐患，我乡于2022年年底向区财政局申请进行京旺家园公共设施维修并通过立项，区财政批复施工资金682.84万元，实际施工合同金额677.31万元。改造涉及京旺家园1至7区，已于2023年9月竣工并通过验收，按区财政局支出计划，2024年度进行结算审计并依据核定金额支付。</w:t>
      </w:r>
    </w:p>
    <w:p w14:paraId="50AA04DD">
      <w:pPr>
        <w:numPr>
          <w:ilvl w:val="0"/>
          <w:numId w:val="2"/>
        </w:numPr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项目绩效目标。包括总体目标和阶段性目标。</w:t>
      </w:r>
    </w:p>
    <w:p w14:paraId="01B1045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总体目标为完成京旺家园公共设施维修项目，共分为三个子项目，目标一为实施完成京旺家园单元门修缮工程，目标二为实施完成京旺家园外墙砖维修工程，目标三为实施完成京旺家园一四五区车库风道更换工程。</w:t>
      </w:r>
    </w:p>
    <w:p w14:paraId="478A729C"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3AF2C33D">
      <w:pPr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（一）绩效评价目的、对象和范围。</w:t>
      </w:r>
    </w:p>
    <w:p w14:paraId="2E996F7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绩效评价的主要目的在于全面、客观地评估京旺家园公共设施维修项目的支出绩效。本次绩效评价的对象为京旺家园公共设施维修项目的各项支出，包括维修费用、管理费用、其他支出等方面，评价对象为崔各庄乡京旺家园公共设施维修项目，范围涵盖项目必要性、项目可行性、项目经济性、项目效率性、项目效益性等。</w:t>
      </w:r>
    </w:p>
    <w:p w14:paraId="66DAD897">
      <w:pPr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（二）绩效评价原则、评价指标体系（附表说明）、评价方法、评价标准等。</w:t>
      </w:r>
    </w:p>
    <w:p w14:paraId="0E75444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事前评估工作由区财政局统一组织，并委托第三方机构具体参与实施，对项目必要性、可行性、经济性、效率性、效益性五个方面进行评估，并提出相关建议。</w:t>
      </w:r>
    </w:p>
    <w:p w14:paraId="36F3CAD3"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绩效评价工作过程。</w:t>
      </w:r>
    </w:p>
    <w:p w14:paraId="72777C7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本次事前评估主要采用入户调研、查阅材料、专家咨询、专家评议等方式，结合项目单位提供的资料进行评估。</w:t>
      </w:r>
    </w:p>
    <w:p w14:paraId="48E4B94C"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三、综合评价情况及评价结论</w:t>
      </w:r>
    </w:p>
    <w:tbl>
      <w:tblPr>
        <w:tblStyle w:val="8"/>
        <w:tblpPr w:leftFromText="180" w:rightFromText="180" w:vertAnchor="text" w:horzAnchor="page" w:tblpX="830" w:tblpY="36"/>
        <w:tblOverlap w:val="never"/>
        <w:tblW w:w="10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623"/>
        <w:gridCol w:w="763"/>
        <w:gridCol w:w="406"/>
        <w:gridCol w:w="1592"/>
        <w:gridCol w:w="222"/>
        <w:gridCol w:w="1088"/>
        <w:gridCol w:w="2271"/>
        <w:gridCol w:w="124"/>
        <w:gridCol w:w="466"/>
        <w:gridCol w:w="861"/>
        <w:gridCol w:w="1366"/>
      </w:tblGrid>
      <w:tr w14:paraId="1FD56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2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FE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A9C6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2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DB1C0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 w14:paraId="74FE7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C7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15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92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2"/>
                <w:rFonts w:eastAsia="宋体"/>
                <w:lang w:val="en-US" w:eastAsia="zh-CN" w:bidi="ar"/>
              </w:rPr>
              <w:t>11010523T000002072792-</w:t>
            </w:r>
            <w:r>
              <w:rPr>
                <w:rStyle w:val="13"/>
                <w:lang w:val="en-US" w:eastAsia="zh-CN" w:bidi="ar"/>
              </w:rPr>
              <w:t>京旺家园公共设施维修项目</w:t>
            </w:r>
          </w:p>
        </w:tc>
      </w:tr>
      <w:tr w14:paraId="687D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BF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0E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崔各庄乡政府</w:t>
            </w:r>
          </w:p>
        </w:tc>
        <w:tc>
          <w:tcPr>
            <w:tcW w:w="2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67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96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崔各庄乡政府</w:t>
            </w:r>
          </w:p>
        </w:tc>
      </w:tr>
      <w:tr w14:paraId="6BC68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8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11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***</w:t>
            </w:r>
          </w:p>
        </w:tc>
        <w:tc>
          <w:tcPr>
            <w:tcW w:w="2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09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F5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***</w:t>
            </w:r>
          </w:p>
        </w:tc>
      </w:tr>
      <w:tr w14:paraId="73FB9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5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4"/>
                <w:lang w:val="en-US" w:eastAsia="zh-CN" w:bidi="ar"/>
              </w:rPr>
              <w:t>项目资金</w:t>
            </w:r>
            <w:r>
              <w:rPr>
                <w:rStyle w:val="15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16"/>
                <w:lang w:val="en-US" w:eastAsia="zh-CN" w:bidi="ar"/>
              </w:rPr>
              <w:t>（万元）</w:t>
            </w:r>
          </w:p>
        </w:tc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16BC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F0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79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E9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15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E5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CB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00907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9078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CD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36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135.463419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AB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127.146412</w:t>
            </w:r>
          </w:p>
        </w:tc>
        <w:tc>
          <w:tcPr>
            <w:tcW w:w="2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D8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127.146412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F1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CA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80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3386C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69B3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DF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4A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135.463419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73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127.146412</w:t>
            </w:r>
          </w:p>
        </w:tc>
        <w:tc>
          <w:tcPr>
            <w:tcW w:w="2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6A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127.146412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D7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0C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76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997D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F516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65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7"/>
                <w:rFonts w:eastAsia="宋体"/>
                <w:lang w:val="en-US" w:eastAsia="zh-CN" w:bidi="ar"/>
              </w:rPr>
              <w:t xml:space="preserve">     </w:t>
            </w:r>
            <w:r>
              <w:rPr>
                <w:rStyle w:val="18"/>
                <w:lang w:val="en-US" w:eastAsia="zh-CN" w:bidi="ar"/>
              </w:rPr>
              <w:t>上年结转资金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2F2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8BA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58D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2CB7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7E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FDF6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2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0870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E6EC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16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56E8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1B75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DD05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A9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7EB5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4B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8774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E6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0B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0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C3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0657D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99B6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74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提升京旺家园居住条件，保障居民出行安全，</w:t>
            </w:r>
          </w:p>
          <w:p w14:paraId="4EFD6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提升小区品质。</w:t>
            </w:r>
          </w:p>
        </w:tc>
        <w:tc>
          <w:tcPr>
            <w:tcW w:w="50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44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京旺家园公共设施维修项目已于2023年9月竣工并通过验收，本项目提高了京旺家园公共设施安全度、美观度，提升了京旺家园整体居住条件，保障居民出行安全，并提升了小区品质。</w:t>
            </w:r>
          </w:p>
        </w:tc>
      </w:tr>
      <w:tr w14:paraId="4EE05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5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92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D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2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E5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CD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F1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</w:t>
            </w:r>
          </w:p>
        </w:tc>
        <w:tc>
          <w:tcPr>
            <w:tcW w:w="5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B8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CF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29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6DBC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D1DA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5464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E4A5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CAEA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45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0D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完成值</w:t>
            </w:r>
          </w:p>
        </w:tc>
        <w:tc>
          <w:tcPr>
            <w:tcW w:w="5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47DD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EA9E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E3ED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F41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532C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E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A5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25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惠及小区数量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04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新宋体" w:hAnsi="新宋体" w:eastAsia="新宋体" w:cs="新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＝7个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02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7个</w:t>
            </w:r>
          </w:p>
        </w:tc>
        <w:tc>
          <w:tcPr>
            <w:tcW w:w="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1E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4A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E697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F84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4A59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8A96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78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B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工程质量符合国家相关标准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A3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定性：优良差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1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优：严格按照国家相关建筑质量标准进行实施，确保了工程质量的合格与可靠。监理对材料及施工质量全程把控，确保工程质量符合国家相关标准。</w:t>
            </w:r>
          </w:p>
        </w:tc>
        <w:tc>
          <w:tcPr>
            <w:tcW w:w="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14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DD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AE06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262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25E9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0C03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83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83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工程完成时效</w:t>
            </w:r>
          </w:p>
        </w:tc>
        <w:tc>
          <w:tcPr>
            <w:tcW w:w="10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center"/>
          </w:tcPr>
          <w:p w14:paraId="76E5C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≤12个月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48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6个月</w:t>
            </w:r>
          </w:p>
        </w:tc>
        <w:tc>
          <w:tcPr>
            <w:tcW w:w="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16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75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80D6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774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E58E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5D0C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FB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7B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提升京旺家园居住条件</w:t>
            </w:r>
          </w:p>
        </w:tc>
        <w:tc>
          <w:tcPr>
            <w:tcW w:w="10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center"/>
          </w:tcPr>
          <w:p w14:paraId="52C62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定性：优良差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E8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：项目共分为单元门修缮工程、外墙砖维修工程、一四五区车库风道更换工程三个子项目，其中单元门修缮工程施工内容为更换1区-7区175樘破损严重的单元门及36块公区玻璃；外墙砖维修工程施工内容为1、4、5、6、7区破损严重的6538平方米外墙砖进行修复；一四五区车库风道更换工程施工内容为1、4、5区破损严重的8290平方米车库石膏风道更换成镀锌钢板管道。大幅提升京旺家园居住条件。</w:t>
            </w:r>
          </w:p>
        </w:tc>
        <w:tc>
          <w:tcPr>
            <w:tcW w:w="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0B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F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52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3"/>
                <w:lang w:val="en-US" w:eastAsia="zh-CN" w:bidi="ar"/>
              </w:rPr>
              <w:t>根据本项目绩效评估评估报告，建议对本项目</w:t>
            </w:r>
            <w:r>
              <w:rPr>
                <w:rStyle w:val="12"/>
                <w:rFonts w:eastAsia="宋体"/>
                <w:lang w:val="en-US" w:eastAsia="zh-CN" w:bidi="ar"/>
              </w:rPr>
              <w:t>“</w:t>
            </w:r>
            <w:r>
              <w:rPr>
                <w:rStyle w:val="13"/>
                <w:lang w:val="en-US" w:eastAsia="zh-CN" w:bidi="ar"/>
              </w:rPr>
              <w:t>部分支持</w:t>
            </w:r>
            <w:r>
              <w:rPr>
                <w:rStyle w:val="12"/>
                <w:rFonts w:eastAsia="宋体"/>
                <w:lang w:val="en-US" w:eastAsia="zh-CN" w:bidi="ar"/>
              </w:rPr>
              <w:t>”</w:t>
            </w:r>
            <w:r>
              <w:rPr>
                <w:rStyle w:val="13"/>
                <w:lang w:val="en-US" w:eastAsia="zh-CN" w:bidi="ar"/>
              </w:rPr>
              <w:t>，推测因为对接人员未仔细阅读，导致预算金额填报错误。</w:t>
            </w:r>
          </w:p>
        </w:tc>
      </w:tr>
      <w:tr w14:paraId="3B5D4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4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8A11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28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60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2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A9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京旺家园居民满意度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94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8E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90%</w:t>
            </w:r>
          </w:p>
        </w:tc>
        <w:tc>
          <w:tcPr>
            <w:tcW w:w="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0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79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295E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EEF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55B8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D4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57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2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58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预算金额</w:t>
            </w:r>
          </w:p>
        </w:tc>
        <w:tc>
          <w:tcPr>
            <w:tcW w:w="10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noWrap/>
            <w:vAlign w:val="center"/>
          </w:tcPr>
          <w:p w14:paraId="47F92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135.463419万元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EF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127.146412万元</w:t>
            </w:r>
          </w:p>
        </w:tc>
        <w:tc>
          <w:tcPr>
            <w:tcW w:w="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5E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89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7E4C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  <w:t>一是合同签订金额低于预算金额超；二是结算审定金额小于合同金额，因此完成值小于预算金额。</w:t>
            </w:r>
          </w:p>
        </w:tc>
      </w:tr>
      <w:tr w14:paraId="273B7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EBD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607F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9EE99">
            <w:pP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379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F14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2CE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20C1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393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E843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D87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4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AD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1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E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85D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D68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F5039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填表人：  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联系电话：   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填写日期：202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</w:tr>
      <w:tr w14:paraId="2A22D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78D5A">
            <w:pPr>
              <w:keepNext w:val="0"/>
              <w:keepLines w:val="0"/>
              <w:widowControl/>
              <w:suppressLineNumbers w:val="0"/>
              <w:spacing w:after="20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填报注意事项：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 自评表内容可从一体化系统复制，因2022年一体化系统有绩效目标调整情况，若格式存在不一致情况以一体化系统为准。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 预期指标情况要严格按照年初或项目追加时的绩效目标填报，不得随意调整。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（1）该表总分共计100分，其中预算执行率为10分，绩效指标部分为90分；90（含）-100分为优、80（含）-90分为良、60（含）-80分为中、60分以下为差。（2）得分一档最高不能超过该指标分值上限。（3）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4.请在“偏差原因分析及改进措施”中说明偏离目标、不能完成目标的原因及拟采取的措施。</w:t>
            </w:r>
          </w:p>
        </w:tc>
      </w:tr>
      <w:tr w14:paraId="54AA5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132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43C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365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8BC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96F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168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44C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7A8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970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392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796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7BF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89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80F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9E1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8D6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A64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35C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2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0D5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5DB8A33">
      <w:pPr>
        <w:spacing w:line="600" w:lineRule="exact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30556A32"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718F847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（一）项目决策情况。</w:t>
      </w:r>
    </w:p>
    <w:p w14:paraId="5B29B84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立项目工作领导小组，主管领导任组长，京旺物业经理任副组长，城乡办、社区办、京旺家园一、二、三、四社区、施工单位为成员。领导小组下设办公室，办公室设在京旺家园物业公司工程部，主要负责项目整体安排、居民协调、宣传引导、材料整理上报、协助施工单位进场施工等工作。</w:t>
      </w:r>
    </w:p>
    <w:p w14:paraId="095E1BC3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（二）项目过程情况。</w:t>
      </w:r>
    </w:p>
    <w:p w14:paraId="5F5FF311">
      <w:pPr>
        <w:pStyle w:val="4"/>
        <w:pageBreakBefore w:val="0"/>
        <w:kinsoku/>
        <w:wordWrap/>
        <w:overflowPunct/>
        <w:topLinePunct w:val="0"/>
        <w:bidi w:val="0"/>
        <w:spacing w:line="520" w:lineRule="exact"/>
        <w:ind w:firstLine="643" w:firstLineChars="200"/>
        <w:contextualSpacing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1.项目前期阶段。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收集居民意见，结合居民需求和小区实际情况确认施工内容，召开居民代表会讨论施工方案，做好信息公开和透明，公示施工内容等相关信息。</w:t>
      </w:r>
    </w:p>
    <w:p w14:paraId="0EFC4B58">
      <w:pPr>
        <w:pStyle w:val="4"/>
        <w:pageBreakBefore w:val="0"/>
        <w:kinsoku/>
        <w:wordWrap/>
        <w:overflowPunct/>
        <w:topLinePunct w:val="0"/>
        <w:bidi w:val="0"/>
        <w:spacing w:line="520" w:lineRule="exact"/>
        <w:ind w:firstLine="643" w:firstLineChars="200"/>
        <w:contextualSpacing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2.设计及招标阶段。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根据初步方案和概算，委托专业设计单位设计方案，同时进行工程量清单编制和预算编制，为后续的招标工作提供依据。比选第三方招标代理公司制定招标方案和评标标准，通过发布招标文件、评标、定标等过程，确保招标过程公正、公平、公开。</w:t>
      </w:r>
    </w:p>
    <w:p w14:paraId="63CED123">
      <w:pPr>
        <w:pStyle w:val="4"/>
        <w:pageBreakBefore w:val="0"/>
        <w:kinsoku/>
        <w:wordWrap/>
        <w:overflowPunct/>
        <w:topLinePunct w:val="0"/>
        <w:bidi w:val="0"/>
        <w:spacing w:line="520" w:lineRule="exact"/>
        <w:ind w:firstLine="643" w:firstLineChars="200"/>
        <w:contextualSpacing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3.施工建设阶段</w:t>
      </w:r>
    </w:p>
    <w:p w14:paraId="37D24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（1）每周例会机制。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项目施工后，各成员单位每周召开工作例会，专题调度项目进展及遇到的问题等内容，做到及时发现问题、第一时间研究解决问题，对于疑难问题要及时上报。</w:t>
      </w:r>
    </w:p>
    <w:p w14:paraId="30149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（2）公示告知机制。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在项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目开工、工程内容变化、发生影响居民生活的施工工序前均须通过小区单元门张贴公告、微信群、公众号等方式进行公示告知，确保居民知情。</w:t>
      </w:r>
    </w:p>
    <w:p w14:paraId="3138E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（3）信息报送机制。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各施工单位对开展的工作要做好工作材料整理，并及时上报领导小组办公室，由物业定期进行梳理汇总并存档备查。</w:t>
      </w:r>
    </w:p>
    <w:p w14:paraId="5048F731">
      <w:pPr>
        <w:pStyle w:val="4"/>
        <w:pageBreakBefore w:val="0"/>
        <w:kinsoku/>
        <w:wordWrap/>
        <w:overflowPunct/>
        <w:topLinePunct w:val="0"/>
        <w:bidi w:val="0"/>
        <w:spacing w:line="520" w:lineRule="exact"/>
        <w:ind w:firstLine="643" w:firstLineChars="200"/>
        <w:contextualSpacing/>
        <w:textAlignment w:val="auto"/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4.总结验收阶段</w:t>
      </w:r>
    </w:p>
    <w:p w14:paraId="44FFD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（1）汇总工程资料。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确保资料的完整性和准确性，验收后相关部门对工程资料进行备案和存档。</w:t>
      </w:r>
    </w:p>
    <w:p w14:paraId="08A07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（2）预验收阶段。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监理单位针对在施工及预验收过程中发现的问题，向施工单位提出相应的整改意见，施工单位及时整改并向监理单位反馈。</w:t>
      </w:r>
    </w:p>
    <w:p w14:paraId="3723D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（3）正式验收。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在监理预验收准备完成后，建设单位、社区、物业等参建单位组织验收委员会，验收委员会将会对工程的工程量、工程质量、外观等进行检查和评估，并对工程资料进行审核。</w:t>
      </w:r>
    </w:p>
    <w:p w14:paraId="4FFE9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（4）结算和移交。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在项目通过正式验收后，施工单位需将工程及相关资料移交给使用单位（京旺物业）。同时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委托第三方造价公司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进行工程的结算评审工作，根据核定金额进行结算。</w:t>
      </w:r>
    </w:p>
    <w:p w14:paraId="640B11C0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（三）项目产出情况。</w:t>
      </w:r>
    </w:p>
    <w:p w14:paraId="739470B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共分为单元门修缮工程、外墙砖维修工程、一四五区车库风道更换工程三个子项目，其中单元门修缮工程施工内容为更换1区-7区175樘破损严重的单元门及36块公区玻璃；外墙砖维修工程施工内容为1、4、5、6、7区破损严重的6538平方米外墙砖进行修复；一四五区车库风道更换工程施工内容为1、4、5区破损严重的8290平方米车库石膏风道更换成镀锌钢板管道。</w:t>
      </w:r>
    </w:p>
    <w:p w14:paraId="7B4D7898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（四）项目效益情况。</w:t>
      </w:r>
    </w:p>
    <w:p w14:paraId="68A218B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项目的绩效目标设置为“实施完成京旺家园单元门修缮工程、外墙砖维修工程和一、四、五区车库风道更换工程”，目前效益目标均已完成。</w:t>
      </w:r>
    </w:p>
    <w:p w14:paraId="5CB2019A"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、主要经验及做法、存在的问题及原因分析</w:t>
      </w:r>
    </w:p>
    <w:p w14:paraId="490769B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有关科室及社区在项目全过程中充分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重居民意见的收集与信息公开，确保施工内容贴近居民需求。同时规范设计与招标流程，依托专业设计和公正公开的招标，保障项目质量和公正性。在施工阶段，实行定期调度机制，通过定期例会和公示告知机制，及时解决问题并减少施工对居民的影响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部分施工如更换单元门、外墙维修为流水化施工作业，因施工涉及区域广，导致日常巡检中，有居民投诉施工垃圾未能及时清理的情况。接投诉后，项目部进一步完善现场监督机制，加强各施工单位内部的沟通，增加清理频率，同时协调社区、监理单位共同监督并维护施工现场的清洁。</w:t>
      </w:r>
    </w:p>
    <w:p w14:paraId="20D3EA3C"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、有关建议</w:t>
      </w:r>
    </w:p>
    <w:p w14:paraId="353B3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无。</w:t>
      </w:r>
    </w:p>
    <w:p w14:paraId="4EB26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七、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其他需要说明的问题</w:t>
      </w:r>
    </w:p>
    <w:p w14:paraId="2486E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无。</w:t>
      </w:r>
    </w:p>
    <w:p w14:paraId="760C2CC3">
      <w:pPr>
        <w:numPr>
          <w:ilvl w:val="0"/>
          <w:numId w:val="0"/>
        </w:numPr>
        <w:spacing w:line="600" w:lineRule="exact"/>
        <w:ind w:leftChars="200"/>
        <w:rPr>
          <w:rFonts w:hint="default" w:ascii="Times New Roman" w:hAnsi="Times New Roman" w:eastAsia="黑体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F9EB09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4849B1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4849B1"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C7A1ECF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B1C10C"/>
    <w:multiLevelType w:val="singleLevel"/>
    <w:tmpl w:val="E5B1C1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A16CCC1"/>
    <w:multiLevelType w:val="singleLevel"/>
    <w:tmpl w:val="3A16C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OGZkY2YzYzEwMjBiOTE5YTgxMjBiODdlZjBkOGEifQ=="/>
  </w:docVars>
  <w:rsids>
    <w:rsidRoot w:val="F77F09F4"/>
    <w:rsid w:val="000A27AF"/>
    <w:rsid w:val="00161C76"/>
    <w:rsid w:val="005678A8"/>
    <w:rsid w:val="007958E0"/>
    <w:rsid w:val="00B40A65"/>
    <w:rsid w:val="00BB3BDA"/>
    <w:rsid w:val="00D33560"/>
    <w:rsid w:val="00F84B2A"/>
    <w:rsid w:val="038C5B76"/>
    <w:rsid w:val="056621AB"/>
    <w:rsid w:val="080C0DE8"/>
    <w:rsid w:val="096B7D90"/>
    <w:rsid w:val="0AB4509C"/>
    <w:rsid w:val="0B5A630E"/>
    <w:rsid w:val="0D2072BE"/>
    <w:rsid w:val="0DCF60DD"/>
    <w:rsid w:val="0F16079E"/>
    <w:rsid w:val="0FC978A3"/>
    <w:rsid w:val="15064E11"/>
    <w:rsid w:val="152E2E60"/>
    <w:rsid w:val="1585667E"/>
    <w:rsid w:val="160F7CF5"/>
    <w:rsid w:val="16E473F0"/>
    <w:rsid w:val="1826220B"/>
    <w:rsid w:val="1844637C"/>
    <w:rsid w:val="195D67D0"/>
    <w:rsid w:val="1B146AEA"/>
    <w:rsid w:val="1B75684C"/>
    <w:rsid w:val="1C710E65"/>
    <w:rsid w:val="1CC67062"/>
    <w:rsid w:val="1E5D3CF4"/>
    <w:rsid w:val="1FA92F69"/>
    <w:rsid w:val="2217240B"/>
    <w:rsid w:val="26A5092E"/>
    <w:rsid w:val="28E84B02"/>
    <w:rsid w:val="29D15596"/>
    <w:rsid w:val="2B6A39AF"/>
    <w:rsid w:val="2BAA613D"/>
    <w:rsid w:val="2C047EA4"/>
    <w:rsid w:val="2D4A5D8B"/>
    <w:rsid w:val="2DC0604D"/>
    <w:rsid w:val="2E556795"/>
    <w:rsid w:val="329E0CF6"/>
    <w:rsid w:val="32B17669"/>
    <w:rsid w:val="335B56CF"/>
    <w:rsid w:val="360905B2"/>
    <w:rsid w:val="3681331C"/>
    <w:rsid w:val="36820344"/>
    <w:rsid w:val="37173543"/>
    <w:rsid w:val="37C30C14"/>
    <w:rsid w:val="37D20C37"/>
    <w:rsid w:val="37D42E21"/>
    <w:rsid w:val="3AA30B8F"/>
    <w:rsid w:val="3F9B16C9"/>
    <w:rsid w:val="3FB6105E"/>
    <w:rsid w:val="3FF76880"/>
    <w:rsid w:val="40CB061C"/>
    <w:rsid w:val="42A1447A"/>
    <w:rsid w:val="431F6F1A"/>
    <w:rsid w:val="43215EA1"/>
    <w:rsid w:val="43375B7B"/>
    <w:rsid w:val="434A5185"/>
    <w:rsid w:val="43744EF9"/>
    <w:rsid w:val="443312C4"/>
    <w:rsid w:val="451C7BB5"/>
    <w:rsid w:val="45F428E0"/>
    <w:rsid w:val="45F97EF6"/>
    <w:rsid w:val="47801F7F"/>
    <w:rsid w:val="4907292A"/>
    <w:rsid w:val="495F62C2"/>
    <w:rsid w:val="49C33FF5"/>
    <w:rsid w:val="4CAF7561"/>
    <w:rsid w:val="4CDE39A2"/>
    <w:rsid w:val="4D1B218F"/>
    <w:rsid w:val="4F000FA0"/>
    <w:rsid w:val="50290C58"/>
    <w:rsid w:val="50FD4E06"/>
    <w:rsid w:val="53F51CFD"/>
    <w:rsid w:val="5440376B"/>
    <w:rsid w:val="56073F6A"/>
    <w:rsid w:val="57E36310"/>
    <w:rsid w:val="58150BC0"/>
    <w:rsid w:val="5900361E"/>
    <w:rsid w:val="5A5D05FC"/>
    <w:rsid w:val="5B223F16"/>
    <w:rsid w:val="5C073259"/>
    <w:rsid w:val="5DF94AE0"/>
    <w:rsid w:val="5E231BA8"/>
    <w:rsid w:val="5EDA221B"/>
    <w:rsid w:val="610138FA"/>
    <w:rsid w:val="616D5CB5"/>
    <w:rsid w:val="65606A1C"/>
    <w:rsid w:val="69117DFF"/>
    <w:rsid w:val="6BE05629"/>
    <w:rsid w:val="6CE07597"/>
    <w:rsid w:val="71147636"/>
    <w:rsid w:val="71A44693"/>
    <w:rsid w:val="71AE6998"/>
    <w:rsid w:val="73BD6240"/>
    <w:rsid w:val="76195401"/>
    <w:rsid w:val="773A3D47"/>
    <w:rsid w:val="77D02EB0"/>
    <w:rsid w:val="798412AA"/>
    <w:rsid w:val="79A304E1"/>
    <w:rsid w:val="7AB7FF50"/>
    <w:rsid w:val="7BFD3E6C"/>
    <w:rsid w:val="7BFEB0DB"/>
    <w:rsid w:val="7D851A94"/>
    <w:rsid w:val="7DFD5ACF"/>
    <w:rsid w:val="7E503E50"/>
    <w:rsid w:val="7E877E1C"/>
    <w:rsid w:val="7FDD1714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4">
    <w:name w:val="Plain Text"/>
    <w:basedOn w:val="1"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font5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font6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5">
    <w:name w:val="font8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16">
    <w:name w:val="font171"/>
    <w:basedOn w:val="9"/>
    <w:qFormat/>
    <w:uiPriority w:val="0"/>
    <w:rPr>
      <w:rFonts w:hint="eastAsia" w:ascii="宋体" w:hAnsi="宋体" w:eastAsia="宋体" w:cs="宋体"/>
      <w:b/>
      <w:bCs/>
      <w:color w:val="FF0000"/>
      <w:sz w:val="28"/>
      <w:szCs w:val="28"/>
      <w:u w:val="none"/>
    </w:rPr>
  </w:style>
  <w:style w:type="character" w:customStyle="1" w:styleId="17">
    <w:name w:val="font4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8">
    <w:name w:val="font9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3300</Words>
  <Characters>3555</Characters>
  <Lines>2</Lines>
  <Paragraphs>1</Paragraphs>
  <TotalTime>26</TotalTime>
  <ScaleCrop>false</ScaleCrop>
  <LinksUpToDate>false</LinksUpToDate>
  <CharactersWithSpaces>3586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Maple</cp:lastModifiedBy>
  <cp:lastPrinted>2025-02-07T02:33:00Z</cp:lastPrinted>
  <dcterms:modified xsi:type="dcterms:W3CDTF">2025-09-10T06:42:15Z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0491F804B77B438FBA0CCFE982A9C70C</vt:lpwstr>
  </property>
  <property fmtid="{D5CDD505-2E9C-101B-9397-08002B2CF9AE}" pid="4" name="KSOTemplateDocerSaveRecord">
    <vt:lpwstr>eyJoZGlkIjoiZGY1MjQzNjM3ZjhjZDMyMGQ4NDhmNTA0ZmI0ZjQxODUiLCJ1c2VySWQiOiI4MjU0MjM5MjYifQ==</vt:lpwstr>
  </property>
</Properties>
</file>