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480" w:lineRule="auto"/>
        <w:jc w:val="center"/>
        <w:rPr>
          <w:rFonts w:hint="eastAsia" w:ascii="宋体" w:hAnsi="宋体" w:cs="宋体"/>
          <w:b/>
          <w:kern w:val="0"/>
          <w:sz w:val="44"/>
          <w:szCs w:val="44"/>
          <w:lang w:eastAsia="zh-CN"/>
        </w:rPr>
      </w:pPr>
      <w:r>
        <w:rPr>
          <w:rFonts w:hint="eastAsia" w:ascii="宋体" w:hAnsi="宋体" w:cs="宋体"/>
          <w:b/>
          <w:kern w:val="0"/>
          <w:sz w:val="44"/>
          <w:szCs w:val="44"/>
        </w:rPr>
        <w:t>202</w:t>
      </w:r>
      <w:r>
        <w:rPr>
          <w:rFonts w:hint="eastAsia" w:ascii="宋体" w:hAnsi="宋体" w:cs="宋体"/>
          <w:b/>
          <w:kern w:val="0"/>
          <w:sz w:val="44"/>
          <w:szCs w:val="44"/>
          <w:lang w:val="en-US" w:eastAsia="zh-CN"/>
        </w:rPr>
        <w:t>4</w:t>
      </w:r>
      <w:r>
        <w:rPr>
          <w:rFonts w:hint="eastAsia" w:ascii="宋体" w:hAnsi="宋体" w:cs="宋体"/>
          <w:b/>
          <w:kern w:val="0"/>
          <w:sz w:val="44"/>
          <w:szCs w:val="44"/>
        </w:rPr>
        <w:t>年1</w:t>
      </w:r>
      <w:r>
        <w:rPr>
          <w:rFonts w:hint="eastAsia" w:ascii="宋体" w:hAnsi="宋体" w:cs="宋体"/>
          <w:b/>
          <w:kern w:val="0"/>
          <w:sz w:val="44"/>
          <w:szCs w:val="44"/>
          <w:lang w:val="en-US" w:eastAsia="zh-CN"/>
        </w:rPr>
        <w:t>-3</w:t>
      </w:r>
      <w:r>
        <w:rPr>
          <w:rFonts w:hint="eastAsia" w:ascii="宋体" w:hAnsi="宋体" w:cs="宋体"/>
          <w:b/>
          <w:kern w:val="0"/>
          <w:sz w:val="44"/>
          <w:szCs w:val="44"/>
        </w:rPr>
        <w:t>季度朝阳区建筑业</w:t>
      </w:r>
      <w:r>
        <w:rPr>
          <w:rFonts w:hint="eastAsia" w:ascii="宋体" w:hAnsi="宋体" w:cs="宋体"/>
          <w:b/>
          <w:kern w:val="0"/>
          <w:sz w:val="44"/>
          <w:szCs w:val="44"/>
          <w:lang w:eastAsia="zh-CN"/>
        </w:rPr>
        <w:t>总产值</w:t>
      </w:r>
    </w:p>
    <w:p>
      <w:pPr>
        <w:widowControl/>
        <w:adjustRightInd w:val="0"/>
        <w:spacing w:line="480" w:lineRule="auto"/>
        <w:jc w:val="center"/>
        <w:rPr>
          <w:rFonts w:ascii="宋体" w:hAnsi="宋体" w:cs="宋体"/>
          <w:color w:val="000000"/>
          <w:kern w:val="0"/>
          <w:sz w:val="36"/>
          <w:szCs w:val="36"/>
        </w:rPr>
      </w:pPr>
      <w:r>
        <w:rPr>
          <w:rFonts w:hint="eastAsia" w:ascii="宋体" w:hAnsi="宋体" w:cs="宋体"/>
          <w:b/>
          <w:kern w:val="0"/>
          <w:sz w:val="44"/>
          <w:szCs w:val="44"/>
          <w:lang w:eastAsia="zh-CN"/>
        </w:rPr>
        <w:t>同比增长</w:t>
      </w:r>
      <w:r>
        <w:rPr>
          <w:rFonts w:hint="eastAsia" w:ascii="宋体" w:hAnsi="宋体" w:cs="宋体"/>
          <w:b/>
          <w:kern w:val="0"/>
          <w:sz w:val="44"/>
          <w:szCs w:val="44"/>
          <w:lang w:val="en-US" w:eastAsia="zh-CN"/>
        </w:rPr>
        <w:t>1.4%</w:t>
      </w:r>
    </w:p>
    <w:p>
      <w:pPr>
        <w:widowControl/>
        <w:spacing w:line="480" w:lineRule="auto"/>
        <w:rPr>
          <w:rFonts w:hint="eastAsia" w:ascii="宋体" w:hAnsi="宋体" w:cs="宋体"/>
          <w:color w:val="000000"/>
          <w:kern w:val="0"/>
          <w:sz w:val="28"/>
          <w:szCs w:val="28"/>
        </w:rPr>
      </w:pPr>
    </w:p>
    <w:p>
      <w:pPr>
        <w:widowControl/>
        <w:spacing w:line="560" w:lineRule="exact"/>
        <w:ind w:firstLine="562" w:firstLineChars="200"/>
        <w:rPr>
          <w:rFonts w:hint="eastAsia" w:ascii="宋体" w:hAnsi="宋体" w:cs="宋体"/>
          <w:b/>
          <w:kern w:val="0"/>
          <w:sz w:val="28"/>
          <w:szCs w:val="28"/>
        </w:rPr>
      </w:pPr>
      <w:r>
        <w:rPr>
          <w:rFonts w:hint="eastAsia" w:ascii="宋体" w:hAnsi="宋体" w:cs="宋体"/>
          <w:b/>
          <w:kern w:val="0"/>
          <w:sz w:val="28"/>
          <w:szCs w:val="28"/>
        </w:rPr>
        <w:t>一、建筑业总产值完成情况</w:t>
      </w:r>
    </w:p>
    <w:p>
      <w:pPr>
        <w:adjustRightInd w:val="0"/>
        <w:spacing w:line="480" w:lineRule="auto"/>
        <w:ind w:firstLine="560" w:firstLineChars="200"/>
        <w:rPr>
          <w:rFonts w:ascii="宋体" w:hAnsi="宋体"/>
          <w:sz w:val="28"/>
          <w:szCs w:val="28"/>
        </w:rPr>
      </w:pPr>
      <w:r>
        <w:rPr>
          <w:rFonts w:hint="eastAsia" w:ascii="宋体" w:hAnsi="宋体" w:cs="宋体"/>
          <w:kern w:val="0"/>
          <w:sz w:val="28"/>
          <w:szCs w:val="28"/>
          <w:lang w:val="en-US" w:eastAsia="zh-CN"/>
        </w:rPr>
        <w:t>1-3</w:t>
      </w:r>
      <w:r>
        <w:rPr>
          <w:rFonts w:hint="eastAsia" w:ascii="宋体" w:hAnsi="宋体" w:cs="宋体"/>
          <w:kern w:val="0"/>
          <w:sz w:val="28"/>
          <w:szCs w:val="28"/>
        </w:rPr>
        <w:t>季度，朝阳区有资质的施工总承包、专业承包建筑业企业共</w:t>
      </w:r>
      <w:r>
        <w:rPr>
          <w:rFonts w:hint="eastAsia" w:ascii="宋体" w:hAnsi="宋体" w:cs="宋体"/>
          <w:kern w:val="0"/>
          <w:sz w:val="28"/>
          <w:szCs w:val="28"/>
          <w:highlight w:val="none"/>
          <w:lang w:val="en-US" w:eastAsia="zh-CN"/>
        </w:rPr>
        <w:t>491</w:t>
      </w:r>
      <w:r>
        <w:rPr>
          <w:rFonts w:hint="eastAsia" w:ascii="宋体" w:hAnsi="宋体" w:cs="宋体"/>
          <w:kern w:val="0"/>
          <w:sz w:val="28"/>
          <w:szCs w:val="28"/>
          <w:highlight w:val="none"/>
        </w:rPr>
        <w:t>家</w:t>
      </w:r>
      <w:r>
        <w:rPr>
          <w:rFonts w:hint="eastAsia" w:ascii="宋体" w:hAnsi="宋体" w:cs="宋体"/>
          <w:kern w:val="0"/>
          <w:sz w:val="28"/>
          <w:szCs w:val="28"/>
        </w:rPr>
        <w:t>，完成建筑业总产值</w:t>
      </w:r>
      <w:r>
        <w:rPr>
          <w:rFonts w:hint="eastAsia" w:ascii="宋体" w:hAnsi="宋体" w:cs="宋体"/>
          <w:kern w:val="0"/>
          <w:sz w:val="28"/>
          <w:szCs w:val="28"/>
          <w:highlight w:val="none"/>
          <w:lang w:val="en-US" w:eastAsia="zh-CN"/>
        </w:rPr>
        <w:t>1503.7</w:t>
      </w:r>
      <w:r>
        <w:rPr>
          <w:rFonts w:hint="eastAsia" w:ascii="宋体" w:hAnsi="宋体" w:cs="宋体"/>
          <w:kern w:val="0"/>
          <w:sz w:val="28"/>
          <w:szCs w:val="28"/>
        </w:rPr>
        <w:t>亿元，同比增长</w:t>
      </w:r>
      <w:r>
        <w:rPr>
          <w:rFonts w:hint="eastAsia" w:ascii="宋体" w:hAnsi="宋体" w:cs="宋体"/>
          <w:kern w:val="0"/>
          <w:sz w:val="28"/>
          <w:szCs w:val="28"/>
          <w:highlight w:val="none"/>
          <w:lang w:val="en-US" w:eastAsia="zh-CN"/>
        </w:rPr>
        <w:t>1.4</w:t>
      </w:r>
      <w:r>
        <w:rPr>
          <w:rFonts w:hint="eastAsia" w:ascii="宋体" w:hAnsi="宋体" w:cs="宋体"/>
          <w:kern w:val="0"/>
          <w:sz w:val="28"/>
          <w:szCs w:val="28"/>
        </w:rPr>
        <w:t>%。其中，在外省完成产值</w:t>
      </w:r>
      <w:r>
        <w:rPr>
          <w:rFonts w:hint="eastAsia" w:ascii="宋体" w:hAnsi="宋体" w:cs="宋体"/>
          <w:kern w:val="0"/>
          <w:sz w:val="28"/>
          <w:szCs w:val="28"/>
          <w:highlight w:val="none"/>
          <w:lang w:val="en-US" w:eastAsia="zh-CN"/>
        </w:rPr>
        <w:t>1009.7</w:t>
      </w:r>
      <w:r>
        <w:rPr>
          <w:rFonts w:hint="eastAsia" w:ascii="宋体" w:hAnsi="宋体" w:cs="宋体"/>
          <w:kern w:val="0"/>
          <w:sz w:val="28"/>
          <w:szCs w:val="28"/>
        </w:rPr>
        <w:t>亿元，同比增长</w:t>
      </w:r>
      <w:r>
        <w:rPr>
          <w:rFonts w:hint="eastAsia" w:ascii="宋体" w:hAnsi="宋体" w:cs="宋体"/>
          <w:kern w:val="0"/>
          <w:sz w:val="28"/>
          <w:szCs w:val="28"/>
          <w:highlight w:val="none"/>
          <w:lang w:val="en-US" w:eastAsia="zh-CN"/>
        </w:rPr>
        <w:t>6.3</w:t>
      </w:r>
      <w:r>
        <w:rPr>
          <w:rFonts w:hint="eastAsia" w:ascii="宋体" w:hAnsi="宋体" w:cs="宋体"/>
          <w:kern w:val="0"/>
          <w:sz w:val="28"/>
          <w:szCs w:val="28"/>
        </w:rPr>
        <w:t>%；在北京地区完成产值</w:t>
      </w:r>
      <w:r>
        <w:rPr>
          <w:rFonts w:hint="eastAsia" w:ascii="宋体" w:hAnsi="宋体" w:cs="宋体"/>
          <w:kern w:val="0"/>
          <w:sz w:val="28"/>
          <w:szCs w:val="28"/>
          <w:highlight w:val="none"/>
          <w:lang w:val="en-US" w:eastAsia="zh-CN"/>
        </w:rPr>
        <w:t>494.1</w:t>
      </w:r>
      <w:r>
        <w:rPr>
          <w:rFonts w:hint="eastAsia" w:ascii="宋体" w:hAnsi="宋体" w:cs="宋体"/>
          <w:kern w:val="0"/>
          <w:sz w:val="28"/>
          <w:szCs w:val="28"/>
        </w:rPr>
        <w:t>亿元，同比</w:t>
      </w:r>
      <w:r>
        <w:rPr>
          <w:rFonts w:hint="eastAsia" w:ascii="宋体" w:hAnsi="宋体" w:cs="宋体"/>
          <w:kern w:val="0"/>
          <w:sz w:val="28"/>
          <w:szCs w:val="28"/>
          <w:lang w:eastAsia="zh-CN"/>
        </w:rPr>
        <w:t>下降</w:t>
      </w:r>
      <w:r>
        <w:rPr>
          <w:rFonts w:hint="eastAsia" w:ascii="宋体" w:hAnsi="宋体" w:cs="宋体"/>
          <w:kern w:val="0"/>
          <w:sz w:val="28"/>
          <w:szCs w:val="28"/>
          <w:lang w:val="en-US" w:eastAsia="zh-CN"/>
        </w:rPr>
        <w:t>7.3</w:t>
      </w:r>
      <w:r>
        <w:rPr>
          <w:rFonts w:hint="eastAsia" w:ascii="宋体" w:hAnsi="宋体" w:cs="宋体"/>
          <w:kern w:val="0"/>
          <w:sz w:val="28"/>
          <w:szCs w:val="28"/>
        </w:rPr>
        <w:t>%。</w:t>
      </w:r>
    </w:p>
    <w:p>
      <w:pPr>
        <w:widowControl/>
        <w:spacing w:line="560" w:lineRule="exact"/>
        <w:jc w:val="center"/>
        <w:rPr>
          <w:rFonts w:hint="eastAsia" w:ascii="宋体" w:hAnsi="宋体" w:cs="宋体"/>
          <w:kern w:val="0"/>
          <w:sz w:val="28"/>
          <w:szCs w:val="28"/>
        </w:rPr>
      </w:pPr>
      <w:r>
        <w:rPr>
          <w:rFonts w:hint="eastAsia" w:ascii="宋体" w:hAnsi="宋体"/>
          <w:b/>
          <w:sz w:val="28"/>
          <w:szCs w:val="28"/>
          <w:highlight w:val="none"/>
        </w:rPr>
        <w:t>图</w:t>
      </w:r>
      <w:r>
        <w:rPr>
          <w:rStyle w:val="7"/>
          <w:rFonts w:hint="eastAsia"/>
          <w:color w:val="000000"/>
          <w:sz w:val="28"/>
          <w:szCs w:val="28"/>
        </w:rPr>
        <w:t>　</w:t>
      </w:r>
      <w:r>
        <w:rPr>
          <w:rFonts w:hint="eastAsia" w:ascii="宋体" w:hAnsi="宋体"/>
          <w:b/>
          <w:sz w:val="28"/>
          <w:szCs w:val="28"/>
          <w:highlight w:val="none"/>
        </w:rPr>
        <w:t>202</w:t>
      </w:r>
      <w:r>
        <w:rPr>
          <w:rFonts w:hint="eastAsia" w:ascii="宋体" w:hAnsi="宋体"/>
          <w:b/>
          <w:sz w:val="28"/>
          <w:szCs w:val="28"/>
          <w:highlight w:val="none"/>
          <w:lang w:val="en-US" w:eastAsia="zh-CN"/>
        </w:rPr>
        <w:t>3</w:t>
      </w:r>
      <w:r>
        <w:rPr>
          <w:rFonts w:hint="eastAsia" w:ascii="宋体" w:hAnsi="宋体"/>
          <w:b/>
          <w:sz w:val="28"/>
          <w:szCs w:val="28"/>
          <w:highlight w:val="none"/>
        </w:rPr>
        <w:t>年</w:t>
      </w:r>
      <w:r>
        <w:rPr>
          <w:rFonts w:hint="eastAsia" w:ascii="宋体" w:hAnsi="宋体"/>
          <w:b/>
          <w:sz w:val="28"/>
          <w:szCs w:val="28"/>
          <w:highlight w:val="none"/>
          <w:lang w:val="en-US" w:eastAsia="zh-CN"/>
        </w:rPr>
        <w:t>1季度</w:t>
      </w:r>
      <w:r>
        <w:rPr>
          <w:rFonts w:hint="eastAsia" w:ascii="宋体" w:hAnsi="宋体"/>
          <w:b/>
          <w:sz w:val="28"/>
          <w:szCs w:val="28"/>
          <w:highlight w:val="none"/>
        </w:rPr>
        <w:t>至20</w:t>
      </w:r>
      <w:r>
        <w:rPr>
          <w:rFonts w:hint="eastAsia" w:ascii="宋体" w:hAnsi="宋体"/>
          <w:b/>
          <w:sz w:val="28"/>
          <w:szCs w:val="28"/>
        </w:rPr>
        <w:t>2</w:t>
      </w:r>
      <w:r>
        <w:rPr>
          <w:rFonts w:hint="eastAsia" w:ascii="宋体" w:hAnsi="宋体"/>
          <w:b/>
          <w:sz w:val="28"/>
          <w:szCs w:val="28"/>
          <w:lang w:val="en-US" w:eastAsia="zh-CN"/>
        </w:rPr>
        <w:t>4</w:t>
      </w:r>
      <w:r>
        <w:rPr>
          <w:rFonts w:hint="eastAsia" w:ascii="宋体" w:hAnsi="宋体"/>
          <w:b/>
          <w:sz w:val="28"/>
          <w:szCs w:val="28"/>
        </w:rPr>
        <w:t>年</w:t>
      </w:r>
      <w:r>
        <w:rPr>
          <w:rFonts w:hint="eastAsia" w:ascii="宋体" w:hAnsi="宋体"/>
          <w:b/>
          <w:sz w:val="28"/>
          <w:szCs w:val="28"/>
          <w:lang w:val="en-US" w:eastAsia="zh-CN"/>
        </w:rPr>
        <w:t>1-3季度</w:t>
      </w:r>
      <w:r>
        <w:rPr>
          <w:rFonts w:hint="eastAsia" w:ascii="宋体" w:hAnsi="宋体"/>
          <w:b/>
          <w:sz w:val="28"/>
          <w:szCs w:val="28"/>
        </w:rPr>
        <w:t>朝阳区建筑业总产值同比增速</w:t>
      </w:r>
    </w:p>
    <w:p>
      <w:pPr>
        <w:widowControl/>
        <w:spacing w:line="300" w:lineRule="atLeast"/>
        <w:jc w:val="right"/>
        <w:rPr>
          <w:rFonts w:hint="eastAsia" w:ascii="宋体" w:hAnsi="宋体"/>
          <w:sz w:val="24"/>
          <w:szCs w:val="24"/>
        </w:rPr>
      </w:pPr>
      <w:r>
        <w:rPr>
          <w:rFonts w:hint="eastAsia" w:ascii="宋体" w:hAnsi="宋体"/>
          <w:sz w:val="24"/>
          <w:szCs w:val="24"/>
        </w:rPr>
        <w:t>单位：%</w:t>
      </w:r>
    </w:p>
    <w:p>
      <w:pPr>
        <w:widowControl/>
        <w:spacing w:line="300" w:lineRule="atLeast"/>
        <w:jc w:val="center"/>
        <w:rPr>
          <w:rFonts w:hint="eastAsia" w:ascii="宋体" w:hAnsi="宋体" w:cs="宋体"/>
          <w:color w:val="000000"/>
          <w:kern w:val="0"/>
          <w:sz w:val="28"/>
          <w:szCs w:val="28"/>
        </w:rPr>
      </w:pPr>
      <w:r>
        <w:drawing>
          <wp:inline distT="0" distB="0" distL="114300" distR="114300">
            <wp:extent cx="4572000" cy="2743200"/>
            <wp:effectExtent l="4445" t="4445" r="10795" b="107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widowControl/>
        <w:spacing w:line="560" w:lineRule="exact"/>
        <w:ind w:firstLine="562" w:firstLineChars="200"/>
        <w:rPr>
          <w:rFonts w:hint="eastAsia" w:ascii="宋体" w:hAnsi="宋体" w:cs="宋体"/>
          <w:color w:val="000000"/>
          <w:kern w:val="0"/>
          <w:sz w:val="28"/>
          <w:szCs w:val="28"/>
        </w:rPr>
      </w:pPr>
      <w:r>
        <w:rPr>
          <w:rFonts w:hint="eastAsia" w:ascii="宋体" w:hAnsi="宋体" w:cs="宋体"/>
          <w:b/>
          <w:kern w:val="0"/>
          <w:sz w:val="28"/>
          <w:szCs w:val="28"/>
        </w:rPr>
        <w:t>二、建筑业签订合同情况</w:t>
      </w:r>
    </w:p>
    <w:p>
      <w:pPr>
        <w:widowControl/>
        <w:spacing w:line="480" w:lineRule="auto"/>
        <w:ind w:firstLine="560" w:firstLineChars="200"/>
        <w:rPr>
          <w:rFonts w:hint="eastAsia" w:ascii="宋体" w:hAnsi="宋体" w:cs="宋体"/>
          <w:kern w:val="0"/>
          <w:sz w:val="28"/>
          <w:szCs w:val="28"/>
        </w:rPr>
      </w:pPr>
      <w:r>
        <w:rPr>
          <w:rFonts w:hint="eastAsia" w:ascii="宋体" w:hAnsi="宋体" w:cs="宋体"/>
          <w:kern w:val="0"/>
          <w:sz w:val="28"/>
          <w:szCs w:val="28"/>
        </w:rPr>
        <w:t>1</w:t>
      </w:r>
      <w:r>
        <w:rPr>
          <w:rFonts w:hint="eastAsia" w:ascii="宋体" w:hAnsi="宋体" w:cs="宋体"/>
          <w:kern w:val="0"/>
          <w:sz w:val="28"/>
          <w:szCs w:val="28"/>
          <w:lang w:val="en-US" w:eastAsia="zh-CN"/>
        </w:rPr>
        <w:t>-3</w:t>
      </w:r>
      <w:r>
        <w:rPr>
          <w:rFonts w:hint="eastAsia" w:ascii="宋体" w:hAnsi="宋体" w:cs="宋体"/>
          <w:kern w:val="0"/>
          <w:sz w:val="28"/>
          <w:szCs w:val="28"/>
        </w:rPr>
        <w:t>季度，朝阳区建筑业企业签订合同额</w:t>
      </w:r>
      <w:r>
        <w:rPr>
          <w:rFonts w:hint="eastAsia" w:ascii="宋体" w:hAnsi="宋体" w:cs="宋体"/>
          <w:kern w:val="0"/>
          <w:sz w:val="28"/>
          <w:szCs w:val="28"/>
          <w:highlight w:val="none"/>
          <w:lang w:val="en-US" w:eastAsia="zh-CN"/>
        </w:rPr>
        <w:t>5578.6</w:t>
      </w:r>
      <w:r>
        <w:rPr>
          <w:rFonts w:hint="eastAsia" w:ascii="宋体" w:hAnsi="宋体" w:cs="宋体"/>
          <w:kern w:val="0"/>
          <w:sz w:val="28"/>
          <w:szCs w:val="28"/>
        </w:rPr>
        <w:t>亿元，同比</w:t>
      </w:r>
      <w:r>
        <w:rPr>
          <w:rFonts w:hint="eastAsia" w:ascii="宋体" w:hAnsi="宋体"/>
          <w:sz w:val="28"/>
          <w:szCs w:val="28"/>
          <w:lang w:eastAsia="zh-CN"/>
        </w:rPr>
        <w:t>下降</w:t>
      </w:r>
      <w:r>
        <w:rPr>
          <w:rFonts w:hint="eastAsia" w:ascii="宋体" w:hAnsi="宋体"/>
          <w:sz w:val="28"/>
          <w:szCs w:val="28"/>
          <w:lang w:val="en-US" w:eastAsia="zh-CN"/>
        </w:rPr>
        <w:t>4.8</w:t>
      </w:r>
      <w:r>
        <w:rPr>
          <w:rFonts w:hint="eastAsia" w:ascii="宋体" w:hAnsi="宋体" w:cs="宋体"/>
          <w:kern w:val="0"/>
          <w:sz w:val="28"/>
          <w:szCs w:val="28"/>
        </w:rPr>
        <w:t>%。其中，上年结转合同额</w:t>
      </w:r>
      <w:r>
        <w:rPr>
          <w:rFonts w:hint="eastAsia" w:ascii="宋体" w:hAnsi="宋体" w:cs="宋体"/>
          <w:kern w:val="0"/>
          <w:sz w:val="28"/>
          <w:szCs w:val="28"/>
          <w:highlight w:val="none"/>
          <w:lang w:val="en-US" w:eastAsia="zh-CN"/>
        </w:rPr>
        <w:t>4251.6</w:t>
      </w:r>
      <w:r>
        <w:rPr>
          <w:rFonts w:hint="eastAsia" w:ascii="宋体" w:hAnsi="宋体" w:cs="宋体"/>
          <w:kern w:val="0"/>
          <w:sz w:val="28"/>
          <w:szCs w:val="28"/>
        </w:rPr>
        <w:t>亿元，同比</w:t>
      </w:r>
      <w:r>
        <w:rPr>
          <w:rFonts w:hint="eastAsia" w:ascii="宋体" w:hAnsi="宋体" w:cs="宋体"/>
          <w:kern w:val="0"/>
          <w:sz w:val="28"/>
          <w:szCs w:val="28"/>
          <w:lang w:eastAsia="zh-CN"/>
        </w:rPr>
        <w:t>下降</w:t>
      </w:r>
      <w:r>
        <w:rPr>
          <w:rFonts w:hint="eastAsia" w:ascii="宋体" w:hAnsi="宋体" w:cs="宋体"/>
          <w:kern w:val="0"/>
          <w:sz w:val="28"/>
          <w:szCs w:val="28"/>
          <w:lang w:val="en-US" w:eastAsia="zh-CN"/>
        </w:rPr>
        <w:t>6.0</w:t>
      </w:r>
      <w:r>
        <w:rPr>
          <w:rFonts w:hint="eastAsia" w:ascii="宋体" w:hAnsi="宋体" w:cs="宋体"/>
          <w:kern w:val="0"/>
          <w:sz w:val="28"/>
          <w:szCs w:val="28"/>
        </w:rPr>
        <w:t>%；本年新签合同额</w:t>
      </w:r>
      <w:r>
        <w:rPr>
          <w:rFonts w:hint="eastAsia" w:ascii="宋体" w:hAnsi="宋体" w:cs="宋体"/>
          <w:kern w:val="0"/>
          <w:sz w:val="28"/>
          <w:szCs w:val="28"/>
          <w:highlight w:val="none"/>
          <w:lang w:val="en-US" w:eastAsia="zh-CN"/>
        </w:rPr>
        <w:t>1327.0</w:t>
      </w:r>
      <w:r>
        <w:rPr>
          <w:rFonts w:hint="eastAsia" w:ascii="宋体" w:hAnsi="宋体" w:cs="宋体"/>
          <w:kern w:val="0"/>
          <w:sz w:val="28"/>
          <w:szCs w:val="28"/>
        </w:rPr>
        <w:t>亿元，同比</w:t>
      </w:r>
      <w:r>
        <w:rPr>
          <w:rFonts w:hint="eastAsia" w:ascii="宋体" w:hAnsi="宋体" w:cs="宋体"/>
          <w:kern w:val="0"/>
          <w:sz w:val="28"/>
          <w:szCs w:val="28"/>
          <w:lang w:eastAsia="zh-CN"/>
        </w:rPr>
        <w:t>下降</w:t>
      </w:r>
      <w:r>
        <w:rPr>
          <w:rFonts w:hint="eastAsia" w:ascii="宋体" w:hAnsi="宋体" w:cs="宋体"/>
          <w:kern w:val="0"/>
          <w:sz w:val="28"/>
          <w:szCs w:val="28"/>
          <w:lang w:val="en-US" w:eastAsia="zh-CN"/>
        </w:rPr>
        <w:t>0.5%</w:t>
      </w:r>
      <w:r>
        <w:rPr>
          <w:rFonts w:hint="eastAsia" w:ascii="宋体" w:hAnsi="宋体" w:cs="宋体"/>
          <w:kern w:val="0"/>
          <w:sz w:val="28"/>
          <w:szCs w:val="28"/>
        </w:rPr>
        <w:t>。</w:t>
      </w:r>
    </w:p>
    <w:p>
      <w:pPr>
        <w:widowControl/>
        <w:spacing w:line="560" w:lineRule="exact"/>
        <w:ind w:firstLine="562" w:firstLineChars="200"/>
        <w:rPr>
          <w:rFonts w:hint="eastAsia" w:ascii="宋体" w:hAnsi="宋体" w:cs="宋体"/>
          <w:b/>
          <w:kern w:val="0"/>
          <w:sz w:val="28"/>
          <w:szCs w:val="28"/>
        </w:rPr>
      </w:pPr>
      <w:r>
        <w:rPr>
          <w:rFonts w:hint="eastAsia" w:ascii="宋体" w:hAnsi="宋体" w:cs="宋体"/>
          <w:b/>
          <w:kern w:val="0"/>
          <w:sz w:val="28"/>
          <w:szCs w:val="28"/>
        </w:rPr>
        <w:t>三、房屋施竣工情况</w:t>
      </w:r>
    </w:p>
    <w:p>
      <w:pPr>
        <w:widowControl/>
        <w:spacing w:line="480" w:lineRule="auto"/>
        <w:ind w:firstLine="560" w:firstLineChars="200"/>
        <w:rPr>
          <w:rFonts w:hint="eastAsia" w:ascii="宋体" w:hAnsi="宋体" w:cs="宋体"/>
          <w:kern w:val="0"/>
          <w:sz w:val="28"/>
          <w:szCs w:val="28"/>
        </w:rPr>
      </w:pPr>
      <w:r>
        <w:rPr>
          <w:rFonts w:hint="eastAsia" w:ascii="宋体" w:hAnsi="宋体" w:cs="宋体"/>
          <w:kern w:val="0"/>
          <w:sz w:val="28"/>
          <w:szCs w:val="28"/>
        </w:rPr>
        <w:t>1</w:t>
      </w:r>
      <w:r>
        <w:rPr>
          <w:rFonts w:hint="eastAsia" w:ascii="宋体" w:hAnsi="宋体" w:cs="宋体"/>
          <w:kern w:val="0"/>
          <w:sz w:val="28"/>
          <w:szCs w:val="28"/>
          <w:lang w:val="en-US" w:eastAsia="zh-CN"/>
        </w:rPr>
        <w:t>-3</w:t>
      </w:r>
      <w:r>
        <w:rPr>
          <w:rFonts w:hint="eastAsia" w:ascii="宋体" w:hAnsi="宋体" w:cs="宋体"/>
          <w:kern w:val="0"/>
          <w:sz w:val="28"/>
          <w:szCs w:val="28"/>
        </w:rPr>
        <w:t>季度，朝阳区建筑业企业房屋施工面积</w:t>
      </w:r>
      <w:r>
        <w:rPr>
          <w:rFonts w:hint="eastAsia" w:ascii="宋体" w:hAnsi="宋体" w:cs="宋体"/>
          <w:kern w:val="0"/>
          <w:sz w:val="28"/>
          <w:szCs w:val="28"/>
          <w:highlight w:val="none"/>
          <w:lang w:val="en-US" w:eastAsia="zh-CN"/>
        </w:rPr>
        <w:t>11456.0</w:t>
      </w:r>
      <w:r>
        <w:rPr>
          <w:rFonts w:hint="eastAsia" w:ascii="宋体" w:hAnsi="宋体" w:cs="宋体"/>
          <w:kern w:val="0"/>
          <w:sz w:val="28"/>
          <w:szCs w:val="28"/>
        </w:rPr>
        <w:t>万平方米，同比下降</w:t>
      </w:r>
      <w:r>
        <w:rPr>
          <w:rFonts w:hint="eastAsia" w:ascii="宋体" w:hAnsi="宋体" w:cs="宋体"/>
          <w:kern w:val="0"/>
          <w:sz w:val="28"/>
          <w:szCs w:val="28"/>
          <w:lang w:val="en-US" w:eastAsia="zh-CN"/>
        </w:rPr>
        <w:t>3.8</w:t>
      </w:r>
      <w:r>
        <w:rPr>
          <w:rFonts w:hint="eastAsia" w:ascii="宋体" w:hAnsi="宋体" w:cs="宋体"/>
          <w:kern w:val="0"/>
          <w:sz w:val="28"/>
          <w:szCs w:val="28"/>
        </w:rPr>
        <w:t>%</w:t>
      </w:r>
      <w:r>
        <w:rPr>
          <w:rFonts w:hint="eastAsia" w:ascii="宋体" w:hAnsi="宋体" w:cs="宋体"/>
          <w:kern w:val="0"/>
          <w:sz w:val="28"/>
          <w:szCs w:val="28"/>
          <w:lang w:eastAsia="zh-CN"/>
        </w:rPr>
        <w:t>。</w:t>
      </w:r>
      <w:bookmarkStart w:id="0" w:name="_GoBack"/>
      <w:bookmarkEnd w:id="0"/>
      <w:r>
        <w:rPr>
          <w:rFonts w:hint="eastAsia" w:ascii="宋体" w:hAnsi="宋体" w:cs="宋体"/>
          <w:kern w:val="0"/>
          <w:sz w:val="28"/>
          <w:szCs w:val="28"/>
        </w:rPr>
        <w:t>其中，本年新开工面积</w:t>
      </w:r>
      <w:r>
        <w:rPr>
          <w:rFonts w:hint="eastAsia" w:ascii="宋体" w:hAnsi="宋体" w:cs="宋体"/>
          <w:kern w:val="0"/>
          <w:sz w:val="28"/>
          <w:szCs w:val="28"/>
          <w:highlight w:val="none"/>
          <w:lang w:val="en-US" w:eastAsia="zh-CN"/>
        </w:rPr>
        <w:t>2040.4</w:t>
      </w:r>
      <w:r>
        <w:rPr>
          <w:rFonts w:hint="eastAsia" w:ascii="宋体" w:hAnsi="宋体" w:cs="宋体"/>
          <w:kern w:val="0"/>
          <w:sz w:val="28"/>
          <w:szCs w:val="28"/>
        </w:rPr>
        <w:t>万平方米，同比</w:t>
      </w:r>
      <w:r>
        <w:rPr>
          <w:rFonts w:hint="eastAsia" w:ascii="宋体" w:hAnsi="宋体" w:cs="宋体"/>
          <w:kern w:val="0"/>
          <w:sz w:val="28"/>
          <w:szCs w:val="28"/>
          <w:lang w:eastAsia="zh-CN"/>
        </w:rPr>
        <w:t>增长</w:t>
      </w:r>
      <w:r>
        <w:rPr>
          <w:rFonts w:hint="eastAsia" w:ascii="宋体" w:hAnsi="宋体" w:cs="宋体"/>
          <w:kern w:val="0"/>
          <w:sz w:val="28"/>
          <w:szCs w:val="28"/>
          <w:lang w:val="en-US" w:eastAsia="zh-CN"/>
        </w:rPr>
        <w:t>25.2</w:t>
      </w:r>
      <w:r>
        <w:rPr>
          <w:rFonts w:hint="eastAsia" w:ascii="宋体" w:hAnsi="宋体" w:cs="宋体"/>
          <w:kern w:val="0"/>
          <w:sz w:val="28"/>
          <w:szCs w:val="28"/>
        </w:rPr>
        <w:t>%。房屋竣工面积</w:t>
      </w:r>
      <w:r>
        <w:rPr>
          <w:rFonts w:hint="eastAsia" w:ascii="宋体" w:hAnsi="宋体" w:cs="宋体"/>
          <w:kern w:val="0"/>
          <w:sz w:val="28"/>
          <w:szCs w:val="28"/>
          <w:highlight w:val="none"/>
          <w:lang w:val="en-US" w:eastAsia="zh-CN"/>
        </w:rPr>
        <w:t>1613.7</w:t>
      </w:r>
      <w:r>
        <w:rPr>
          <w:rFonts w:hint="eastAsia" w:ascii="宋体" w:hAnsi="宋体" w:cs="宋体"/>
          <w:kern w:val="0"/>
          <w:sz w:val="28"/>
          <w:szCs w:val="28"/>
        </w:rPr>
        <w:t>万平方米，同比</w:t>
      </w:r>
      <w:r>
        <w:rPr>
          <w:rFonts w:hint="eastAsia" w:ascii="宋体" w:hAnsi="宋体" w:cs="宋体"/>
          <w:kern w:val="0"/>
          <w:sz w:val="28"/>
          <w:szCs w:val="28"/>
          <w:lang w:eastAsia="zh-CN"/>
        </w:rPr>
        <w:t>增长</w:t>
      </w:r>
      <w:r>
        <w:rPr>
          <w:rFonts w:hint="eastAsia" w:ascii="宋体" w:hAnsi="宋体" w:cs="宋体"/>
          <w:kern w:val="0"/>
          <w:sz w:val="28"/>
          <w:szCs w:val="28"/>
          <w:lang w:val="en-US" w:eastAsia="zh-CN"/>
        </w:rPr>
        <w:t>9.3</w:t>
      </w:r>
      <w:r>
        <w:rPr>
          <w:rFonts w:hint="eastAsia" w:ascii="宋体" w:hAnsi="宋体" w:cs="宋体"/>
          <w:kern w:val="0"/>
          <w:sz w:val="28"/>
          <w:szCs w:val="28"/>
        </w:rPr>
        <w:t>%。</w:t>
      </w:r>
    </w:p>
    <w:p>
      <w:pPr>
        <w:autoSpaceDE w:val="0"/>
        <w:autoSpaceDN w:val="0"/>
        <w:spacing w:line="560" w:lineRule="exact"/>
        <w:ind w:firstLine="562" w:firstLineChars="200"/>
        <w:rPr>
          <w:rFonts w:hint="eastAsia" w:ascii="宋体" w:hAnsi="宋体"/>
          <w:b/>
          <w:sz w:val="28"/>
          <w:szCs w:val="28"/>
        </w:rPr>
      </w:pPr>
      <w:r>
        <w:rPr>
          <w:rFonts w:hint="eastAsia" w:ascii="宋体" w:hAnsi="宋体" w:cs="宋体"/>
          <w:b/>
          <w:kern w:val="0"/>
          <w:sz w:val="28"/>
          <w:szCs w:val="28"/>
        </w:rPr>
        <w:t>附注：</w:t>
      </w:r>
    </w:p>
    <w:p>
      <w:pPr>
        <w:autoSpaceDE w:val="0"/>
        <w:autoSpaceDN w:val="0"/>
        <w:spacing w:line="560" w:lineRule="exact"/>
        <w:ind w:firstLine="562" w:firstLineChars="200"/>
        <w:rPr>
          <w:rFonts w:hint="eastAsia" w:ascii="宋体" w:hAnsi="宋体" w:cs="宋体"/>
          <w:b/>
          <w:kern w:val="0"/>
          <w:sz w:val="28"/>
          <w:szCs w:val="28"/>
        </w:rPr>
      </w:pPr>
      <w:r>
        <w:rPr>
          <w:rFonts w:hint="eastAsia" w:ascii="宋体" w:hAnsi="宋体" w:cs="宋体"/>
          <w:b/>
          <w:kern w:val="0"/>
          <w:sz w:val="28"/>
          <w:szCs w:val="28"/>
        </w:rPr>
        <w:t>一、统计范围</w:t>
      </w:r>
    </w:p>
    <w:p>
      <w:pPr>
        <w:autoSpaceDE w:val="0"/>
        <w:autoSpaceDN w:val="0"/>
        <w:spacing w:line="560" w:lineRule="exact"/>
        <w:ind w:firstLine="560" w:firstLineChars="200"/>
        <w:rPr>
          <w:rFonts w:hint="eastAsia" w:ascii="宋体" w:hAnsi="宋体" w:cs="宋体"/>
          <w:color w:val="000000"/>
          <w:kern w:val="0"/>
          <w:sz w:val="28"/>
          <w:szCs w:val="28"/>
        </w:rPr>
      </w:pPr>
      <w:r>
        <w:rPr>
          <w:rFonts w:hint="eastAsia" w:ascii="宋体" w:hAnsi="宋体" w:cs="宋体"/>
          <w:kern w:val="0"/>
          <w:sz w:val="28"/>
          <w:szCs w:val="28"/>
        </w:rPr>
        <w:t>统计范围为具有资质的建筑业法人单位，即指领取了《企业法人营业执照》，并经各级建设行政主管部门审核批准，获得总承包、专业承包《建筑业企业资质证书》的建筑业法人单位。</w:t>
      </w:r>
    </w:p>
    <w:p>
      <w:pPr>
        <w:autoSpaceDE w:val="0"/>
        <w:autoSpaceDN w:val="0"/>
        <w:spacing w:line="560" w:lineRule="exact"/>
        <w:ind w:firstLine="562" w:firstLineChars="200"/>
        <w:rPr>
          <w:rFonts w:hint="eastAsia" w:ascii="宋体" w:hAnsi="宋体" w:cs="宋体"/>
          <w:b/>
          <w:kern w:val="0"/>
          <w:sz w:val="28"/>
          <w:szCs w:val="28"/>
        </w:rPr>
      </w:pPr>
      <w:r>
        <w:rPr>
          <w:rFonts w:hint="eastAsia" w:ascii="宋体" w:hAnsi="宋体" w:cs="宋体"/>
          <w:b/>
          <w:kern w:val="0"/>
          <w:sz w:val="28"/>
          <w:szCs w:val="28"/>
        </w:rPr>
        <w:t>二、采集渠道</w:t>
      </w:r>
    </w:p>
    <w:p>
      <w:pPr>
        <w:autoSpaceDE w:val="0"/>
        <w:autoSpaceDN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纳入统计范围的建筑业企业按照《建筑业统计报表制度》要求，通过北京统计联网直报系统上报统计数据。</w:t>
      </w:r>
    </w:p>
    <w:p>
      <w:pPr>
        <w:autoSpaceDE w:val="0"/>
        <w:autoSpaceDN w:val="0"/>
        <w:spacing w:line="560" w:lineRule="exact"/>
        <w:ind w:firstLine="562" w:firstLineChars="200"/>
        <w:rPr>
          <w:rFonts w:hint="eastAsia" w:ascii="宋体" w:hAnsi="宋体" w:cs="宋体"/>
          <w:b/>
          <w:kern w:val="0"/>
          <w:sz w:val="28"/>
          <w:szCs w:val="28"/>
        </w:rPr>
      </w:pPr>
      <w:r>
        <w:rPr>
          <w:rFonts w:hint="eastAsia" w:ascii="宋体" w:hAnsi="宋体" w:cs="宋体"/>
          <w:b/>
          <w:kern w:val="0"/>
          <w:sz w:val="28"/>
          <w:szCs w:val="28"/>
        </w:rPr>
        <w:t>三、主要统计指标解释</w:t>
      </w:r>
    </w:p>
    <w:p>
      <w:pPr>
        <w:autoSpaceDE w:val="0"/>
        <w:autoSpaceDN w:val="0"/>
        <w:spacing w:line="560" w:lineRule="exact"/>
        <w:ind w:firstLine="562" w:firstLineChars="200"/>
        <w:rPr>
          <w:rFonts w:hint="eastAsia" w:ascii="宋体" w:hAnsi="宋体"/>
          <w:b/>
          <w:sz w:val="28"/>
          <w:szCs w:val="28"/>
        </w:rPr>
      </w:pPr>
      <w:r>
        <w:rPr>
          <w:rFonts w:hint="eastAsia" w:ascii="宋体" w:hAnsi="宋体" w:cs="宋体"/>
          <w:b/>
          <w:kern w:val="0"/>
          <w:sz w:val="28"/>
          <w:szCs w:val="28"/>
        </w:rPr>
        <w:t>签订合同额：</w:t>
      </w:r>
      <w:r>
        <w:rPr>
          <w:rFonts w:hint="eastAsia" w:ascii="宋体" w:hAnsi="宋体" w:cs="宋体"/>
          <w:bCs/>
          <w:kern w:val="0"/>
          <w:sz w:val="28"/>
          <w:szCs w:val="28"/>
        </w:rPr>
        <w:t>指建筑业企业在报告期直接同建设单位签订合同的总价款和以前年度同建设单位签订合同的未完工程跨入本年度继续施工工程合同的总价款余额。</w:t>
      </w:r>
    </w:p>
    <w:p>
      <w:pPr>
        <w:autoSpaceDE w:val="0"/>
        <w:autoSpaceDN w:val="0"/>
        <w:spacing w:line="560" w:lineRule="exact"/>
        <w:ind w:firstLine="562" w:firstLineChars="200"/>
        <w:rPr>
          <w:rFonts w:hint="eastAsia" w:ascii="宋体" w:hAnsi="宋体" w:cs="宋体"/>
          <w:kern w:val="0"/>
          <w:sz w:val="28"/>
          <w:szCs w:val="28"/>
        </w:rPr>
      </w:pPr>
      <w:r>
        <w:rPr>
          <w:rFonts w:hint="eastAsia" w:ascii="宋体" w:hAnsi="宋体" w:cs="宋体"/>
          <w:b/>
          <w:kern w:val="0"/>
          <w:sz w:val="28"/>
          <w:szCs w:val="28"/>
        </w:rPr>
        <w:t>建筑业总产值：</w:t>
      </w:r>
      <w:r>
        <w:rPr>
          <w:rFonts w:hint="eastAsia" w:ascii="宋体" w:hAnsi="宋体" w:cs="宋体"/>
          <w:kern w:val="0"/>
          <w:sz w:val="28"/>
          <w:szCs w:val="28"/>
        </w:rPr>
        <w:t>指以货币表现的建筑业企业在一定时期内生产的建筑业产品和服务的总和。建筑业总产值包括建筑工程产值、安装工程产值和其他产值三部分内容。</w:t>
      </w:r>
    </w:p>
    <w:p>
      <w:pPr>
        <w:autoSpaceDE w:val="0"/>
        <w:autoSpaceDN w:val="0"/>
        <w:spacing w:line="560" w:lineRule="exact"/>
        <w:ind w:firstLine="562" w:firstLineChars="200"/>
        <w:rPr>
          <w:rFonts w:hint="eastAsia" w:ascii="宋体" w:hAnsi="宋体" w:cs="宋体"/>
          <w:kern w:val="0"/>
          <w:sz w:val="28"/>
          <w:szCs w:val="28"/>
        </w:rPr>
      </w:pPr>
      <w:r>
        <w:rPr>
          <w:rFonts w:hint="eastAsia" w:ascii="宋体" w:hAnsi="宋体" w:cs="宋体"/>
          <w:b/>
          <w:kern w:val="0"/>
          <w:sz w:val="28"/>
          <w:szCs w:val="28"/>
        </w:rPr>
        <w:t>房屋施工面积：</w:t>
      </w:r>
      <w:r>
        <w:rPr>
          <w:rFonts w:hint="eastAsia" w:ascii="宋体" w:hAnsi="宋体" w:cs="宋体"/>
          <w:kern w:val="0"/>
          <w:sz w:val="28"/>
          <w:szCs w:val="28"/>
        </w:rPr>
        <w:t>指报告期内施工的全部房屋建筑面积。包括本期新开工的房屋建筑面积、上期跨入本期继续施工的房屋建筑面积、上期停缓建在本期恢复施工的房屋建筑面积、本期竣工的房屋建筑面积以及本期施工后又停缓建的房屋建筑面积。</w:t>
      </w:r>
    </w:p>
    <w:p>
      <w:pPr>
        <w:autoSpaceDE w:val="0"/>
        <w:autoSpaceDN w:val="0"/>
        <w:spacing w:line="560" w:lineRule="exact"/>
        <w:ind w:firstLine="562" w:firstLineChars="200"/>
        <w:rPr>
          <w:rFonts w:hint="eastAsia" w:ascii="宋体" w:hAnsi="宋体" w:cs="宋体"/>
          <w:b/>
          <w:kern w:val="0"/>
          <w:sz w:val="28"/>
          <w:szCs w:val="28"/>
        </w:rPr>
      </w:pPr>
      <w:r>
        <w:rPr>
          <w:rFonts w:hint="eastAsia" w:ascii="宋体" w:hAnsi="宋体" w:cs="宋体"/>
          <w:b/>
          <w:kern w:val="0"/>
          <w:sz w:val="28"/>
          <w:szCs w:val="28"/>
        </w:rPr>
        <w:t>房屋竣工面积：</w:t>
      </w:r>
      <w:r>
        <w:rPr>
          <w:rFonts w:hint="eastAsia" w:ascii="宋体" w:hAnsi="宋体" w:cs="宋体"/>
          <w:bCs/>
          <w:kern w:val="0"/>
          <w:sz w:val="28"/>
          <w:szCs w:val="28"/>
        </w:rPr>
        <w:t>指报告期内房屋建筑按照设计要求已全部完工，达到住人和使用条件，经验收鉴定合格或达到竣工验收标准，可正式移交使用的各栋房屋建筑面积的总和。</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A2D"/>
    <w:rsid w:val="00026251"/>
    <w:rsid w:val="00062E48"/>
    <w:rsid w:val="000738E9"/>
    <w:rsid w:val="000A0E27"/>
    <w:rsid w:val="000A309F"/>
    <w:rsid w:val="000B6D05"/>
    <w:rsid w:val="000E3423"/>
    <w:rsid w:val="000E4C6A"/>
    <w:rsid w:val="0010174D"/>
    <w:rsid w:val="001148F8"/>
    <w:rsid w:val="00120202"/>
    <w:rsid w:val="00140003"/>
    <w:rsid w:val="00157D6C"/>
    <w:rsid w:val="001667AE"/>
    <w:rsid w:val="001A106D"/>
    <w:rsid w:val="001C08EE"/>
    <w:rsid w:val="001C3A8D"/>
    <w:rsid w:val="001D6785"/>
    <w:rsid w:val="001E6547"/>
    <w:rsid w:val="001F1B5C"/>
    <w:rsid w:val="00210000"/>
    <w:rsid w:val="002262C8"/>
    <w:rsid w:val="00227F53"/>
    <w:rsid w:val="00230CDD"/>
    <w:rsid w:val="00232114"/>
    <w:rsid w:val="00252A5B"/>
    <w:rsid w:val="0028423A"/>
    <w:rsid w:val="002A2703"/>
    <w:rsid w:val="002A5E02"/>
    <w:rsid w:val="002A6707"/>
    <w:rsid w:val="002A712C"/>
    <w:rsid w:val="002B2A97"/>
    <w:rsid w:val="002D2040"/>
    <w:rsid w:val="002E23EC"/>
    <w:rsid w:val="002E2824"/>
    <w:rsid w:val="002F00D9"/>
    <w:rsid w:val="00327067"/>
    <w:rsid w:val="003351F1"/>
    <w:rsid w:val="00343BC2"/>
    <w:rsid w:val="00350C59"/>
    <w:rsid w:val="00353446"/>
    <w:rsid w:val="003648BF"/>
    <w:rsid w:val="00371E4C"/>
    <w:rsid w:val="003868C2"/>
    <w:rsid w:val="0039357B"/>
    <w:rsid w:val="0039371E"/>
    <w:rsid w:val="003A7E21"/>
    <w:rsid w:val="003B25A7"/>
    <w:rsid w:val="003D0CDA"/>
    <w:rsid w:val="003F0D41"/>
    <w:rsid w:val="004250D9"/>
    <w:rsid w:val="00446BD1"/>
    <w:rsid w:val="004659D0"/>
    <w:rsid w:val="00492678"/>
    <w:rsid w:val="004A1967"/>
    <w:rsid w:val="004A5B5D"/>
    <w:rsid w:val="004C2971"/>
    <w:rsid w:val="004D238B"/>
    <w:rsid w:val="004D63AA"/>
    <w:rsid w:val="004F6B84"/>
    <w:rsid w:val="005164AA"/>
    <w:rsid w:val="00560AFA"/>
    <w:rsid w:val="005622F9"/>
    <w:rsid w:val="00576E9A"/>
    <w:rsid w:val="005A0830"/>
    <w:rsid w:val="005B36F3"/>
    <w:rsid w:val="005D110C"/>
    <w:rsid w:val="00620989"/>
    <w:rsid w:val="00637EFA"/>
    <w:rsid w:val="00642512"/>
    <w:rsid w:val="0064752C"/>
    <w:rsid w:val="00667277"/>
    <w:rsid w:val="006A16FF"/>
    <w:rsid w:val="006A29A6"/>
    <w:rsid w:val="006A75FE"/>
    <w:rsid w:val="006D0E8E"/>
    <w:rsid w:val="006D2114"/>
    <w:rsid w:val="006F2C2C"/>
    <w:rsid w:val="007051AD"/>
    <w:rsid w:val="00706004"/>
    <w:rsid w:val="00731335"/>
    <w:rsid w:val="00750772"/>
    <w:rsid w:val="00757166"/>
    <w:rsid w:val="007606B4"/>
    <w:rsid w:val="00773F94"/>
    <w:rsid w:val="00775B36"/>
    <w:rsid w:val="007B0DDD"/>
    <w:rsid w:val="007C47DC"/>
    <w:rsid w:val="007D6360"/>
    <w:rsid w:val="008001EA"/>
    <w:rsid w:val="00820327"/>
    <w:rsid w:val="008367FB"/>
    <w:rsid w:val="00852694"/>
    <w:rsid w:val="008544F9"/>
    <w:rsid w:val="008B2036"/>
    <w:rsid w:val="00907631"/>
    <w:rsid w:val="009261BD"/>
    <w:rsid w:val="00930C5E"/>
    <w:rsid w:val="00946A0A"/>
    <w:rsid w:val="009471A8"/>
    <w:rsid w:val="009556CE"/>
    <w:rsid w:val="00957DEC"/>
    <w:rsid w:val="00966EB8"/>
    <w:rsid w:val="0097024F"/>
    <w:rsid w:val="009726E8"/>
    <w:rsid w:val="00975E47"/>
    <w:rsid w:val="0098061B"/>
    <w:rsid w:val="00987402"/>
    <w:rsid w:val="0099167A"/>
    <w:rsid w:val="00994C7F"/>
    <w:rsid w:val="009973B4"/>
    <w:rsid w:val="009979AA"/>
    <w:rsid w:val="009A0398"/>
    <w:rsid w:val="009A6391"/>
    <w:rsid w:val="009F23F6"/>
    <w:rsid w:val="00A07A25"/>
    <w:rsid w:val="00A07AA2"/>
    <w:rsid w:val="00A268DB"/>
    <w:rsid w:val="00A4208C"/>
    <w:rsid w:val="00A47B1F"/>
    <w:rsid w:val="00A637B3"/>
    <w:rsid w:val="00A713B7"/>
    <w:rsid w:val="00A91217"/>
    <w:rsid w:val="00AC215D"/>
    <w:rsid w:val="00AD0CA5"/>
    <w:rsid w:val="00AF299C"/>
    <w:rsid w:val="00AF46A7"/>
    <w:rsid w:val="00B30865"/>
    <w:rsid w:val="00B400F8"/>
    <w:rsid w:val="00B526DB"/>
    <w:rsid w:val="00B90D2F"/>
    <w:rsid w:val="00B96A28"/>
    <w:rsid w:val="00BC1511"/>
    <w:rsid w:val="00BC5728"/>
    <w:rsid w:val="00BC6A9D"/>
    <w:rsid w:val="00BD212D"/>
    <w:rsid w:val="00BD2E12"/>
    <w:rsid w:val="00BD5898"/>
    <w:rsid w:val="00BE08BC"/>
    <w:rsid w:val="00BE5EFC"/>
    <w:rsid w:val="00BF1737"/>
    <w:rsid w:val="00BF56B2"/>
    <w:rsid w:val="00C03121"/>
    <w:rsid w:val="00C116F7"/>
    <w:rsid w:val="00C15554"/>
    <w:rsid w:val="00C170A5"/>
    <w:rsid w:val="00C265AE"/>
    <w:rsid w:val="00C32638"/>
    <w:rsid w:val="00C41259"/>
    <w:rsid w:val="00C42D35"/>
    <w:rsid w:val="00C43B9D"/>
    <w:rsid w:val="00C720DB"/>
    <w:rsid w:val="00C72668"/>
    <w:rsid w:val="00CC4095"/>
    <w:rsid w:val="00CC5667"/>
    <w:rsid w:val="00CC611D"/>
    <w:rsid w:val="00CE3ABC"/>
    <w:rsid w:val="00CE69C4"/>
    <w:rsid w:val="00CF027A"/>
    <w:rsid w:val="00CF3B6F"/>
    <w:rsid w:val="00D207E4"/>
    <w:rsid w:val="00D26A2D"/>
    <w:rsid w:val="00D4169A"/>
    <w:rsid w:val="00D54350"/>
    <w:rsid w:val="00D62D40"/>
    <w:rsid w:val="00D967FB"/>
    <w:rsid w:val="00DA3E31"/>
    <w:rsid w:val="00DD0D6C"/>
    <w:rsid w:val="00DD6EE2"/>
    <w:rsid w:val="00DE0DB4"/>
    <w:rsid w:val="00DF0007"/>
    <w:rsid w:val="00E0345E"/>
    <w:rsid w:val="00E04D38"/>
    <w:rsid w:val="00E245EB"/>
    <w:rsid w:val="00E57B3D"/>
    <w:rsid w:val="00E62D5A"/>
    <w:rsid w:val="00E67D75"/>
    <w:rsid w:val="00E67F52"/>
    <w:rsid w:val="00E80C71"/>
    <w:rsid w:val="00EA6309"/>
    <w:rsid w:val="00EB4096"/>
    <w:rsid w:val="00EB77AF"/>
    <w:rsid w:val="00EE5F4C"/>
    <w:rsid w:val="00EE7279"/>
    <w:rsid w:val="00EF5257"/>
    <w:rsid w:val="00F4738D"/>
    <w:rsid w:val="00F61241"/>
    <w:rsid w:val="00F76FC6"/>
    <w:rsid w:val="00F83CF3"/>
    <w:rsid w:val="00FB475A"/>
    <w:rsid w:val="00FB5F79"/>
    <w:rsid w:val="00FC6F56"/>
    <w:rsid w:val="00FE4675"/>
    <w:rsid w:val="0E5B1F5C"/>
    <w:rsid w:val="120F5049"/>
    <w:rsid w:val="127010B1"/>
    <w:rsid w:val="1AEE0300"/>
    <w:rsid w:val="1DA97880"/>
    <w:rsid w:val="1E11594E"/>
    <w:rsid w:val="20602175"/>
    <w:rsid w:val="215F663E"/>
    <w:rsid w:val="22571F1A"/>
    <w:rsid w:val="245540B8"/>
    <w:rsid w:val="261A3E68"/>
    <w:rsid w:val="32A21B76"/>
    <w:rsid w:val="38DA7293"/>
    <w:rsid w:val="3A55019D"/>
    <w:rsid w:val="3DF6233D"/>
    <w:rsid w:val="3EBE4304"/>
    <w:rsid w:val="3F735E35"/>
    <w:rsid w:val="42520820"/>
    <w:rsid w:val="45DF6B8B"/>
    <w:rsid w:val="4A586196"/>
    <w:rsid w:val="4B205658"/>
    <w:rsid w:val="4DC13CBC"/>
    <w:rsid w:val="55CE1F23"/>
    <w:rsid w:val="595021C7"/>
    <w:rsid w:val="5A907BB2"/>
    <w:rsid w:val="5BB90364"/>
    <w:rsid w:val="5FB15DE1"/>
    <w:rsid w:val="61910FAB"/>
    <w:rsid w:val="679244E1"/>
    <w:rsid w:val="6ABB77B9"/>
    <w:rsid w:val="73637B0C"/>
    <w:rsid w:val="7EB36E1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qFormat/>
    <w:uiPriority w:val="22"/>
    <w:rPr>
      <w:b/>
      <w:bCs/>
    </w:rPr>
  </w:style>
  <w:style w:type="character" w:customStyle="1" w:styleId="9">
    <w:name w:val="批注框文本 Char"/>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24&#24180;&#23450;&#25253;&#65288;&#24314;&#31569;&#19994;&#65289;\2024&#24180;&#23450;&#25253;\C-&#25552;&#20379;&#25968;&#25454;\&#23545;&#22806;&#25552;&#20379;&#25968;&#25454;\A-&#22806;&#32593;&#21457;&#24067;\&#22270;&#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19050" cap="rnd">
              <a:solidFill>
                <a:srgbClr val="000000"/>
              </a:solidFill>
              <a:round/>
            </a:ln>
            <a:effectLst/>
          </c:spPr>
          <c:marker>
            <c:symbol val="none"/>
          </c:marker>
          <c:dLbls>
            <c:delete val="1"/>
          </c:dLbls>
          <c:cat>
            <c:strRef>
              <c:f>[图表.xls]Sheet1!$A$43:$A$49</c:f>
              <c:strCache>
                <c:ptCount val="7"/>
                <c:pt idx="0">
                  <c:v>2023年1季度</c:v>
                </c:pt>
                <c:pt idx="1">
                  <c:v>2023年1-2季度</c:v>
                </c:pt>
                <c:pt idx="2">
                  <c:v>2023年1-3季度</c:v>
                </c:pt>
                <c:pt idx="3">
                  <c:v>2023年1-4季度</c:v>
                </c:pt>
                <c:pt idx="4">
                  <c:v>2024年1季度</c:v>
                </c:pt>
                <c:pt idx="5">
                  <c:v>2024年1-2季度</c:v>
                </c:pt>
                <c:pt idx="6">
                  <c:v>2024年1-3季度</c:v>
                </c:pt>
              </c:strCache>
            </c:strRef>
          </c:cat>
          <c:val>
            <c:numRef>
              <c:f>[图表.xls]Sheet1!$B$43:$B$49</c:f>
              <c:numCache>
                <c:formatCode>General</c:formatCode>
                <c:ptCount val="7"/>
                <c:pt idx="0">
                  <c:v>6.9</c:v>
                </c:pt>
                <c:pt idx="1">
                  <c:v>7.4</c:v>
                </c:pt>
                <c:pt idx="2">
                  <c:v>7.4</c:v>
                </c:pt>
                <c:pt idx="3">
                  <c:v>4.9</c:v>
                </c:pt>
                <c:pt idx="4">
                  <c:v>25.2</c:v>
                </c:pt>
                <c:pt idx="5" c:formatCode="0.0_ ">
                  <c:v>3</c:v>
                </c:pt>
                <c:pt idx="6">
                  <c:v>1.4</c:v>
                </c:pt>
              </c:numCache>
            </c:numRef>
          </c:val>
          <c:smooth val="0"/>
        </c:ser>
        <c:dLbls>
          <c:showLegendKey val="0"/>
          <c:showVal val="0"/>
          <c:showCatName val="0"/>
          <c:showSerName val="0"/>
          <c:showPercent val="0"/>
          <c:showBubbleSize val="0"/>
        </c:dLbls>
        <c:marker val="0"/>
        <c:smooth val="0"/>
        <c:axId val="967575100"/>
        <c:axId val="682715836"/>
      </c:lineChart>
      <c:catAx>
        <c:axId val="9675751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2715836"/>
        <c:crosses val="autoZero"/>
        <c:auto val="1"/>
        <c:lblAlgn val="ctr"/>
        <c:lblOffset val="100"/>
        <c:noMultiLvlLbl val="0"/>
      </c:catAx>
      <c:valAx>
        <c:axId val="6827158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75751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3</Pages>
  <Words>131</Words>
  <Characters>751</Characters>
  <Lines>6</Lines>
  <Paragraphs>1</Paragraphs>
  <ScaleCrop>false</ScaleCrop>
  <LinksUpToDate>false</LinksUpToDate>
  <CharactersWithSpaces>881</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2020-04-20T07:59:00Z</dcterms:created>
  <dc:creator>user</dc:creator>
  <cp:lastModifiedBy>闫菲</cp:lastModifiedBy>
  <cp:lastPrinted>2024-10-22T01:11:00Z</cp:lastPrinted>
  <dcterms:modified xsi:type="dcterms:W3CDTF">2024-10-23T03:23:45Z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