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1DFCA">
      <w:pPr>
        <w:spacing w:line="44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kern w:val="0"/>
          <w:sz w:val="36"/>
          <w:szCs w:val="36"/>
          <w:lang w:bidi="ar"/>
        </w:rPr>
        <w:t>（区司法局）2025年市政府工作报告重点工作落实情况表（第</w:t>
      </w:r>
      <w:r>
        <w:rPr>
          <w:rFonts w:hint="eastAsia" w:ascii="方正小标宋简体" w:hAnsi="方正小标宋简体" w:eastAsia="方正小标宋简体" w:cs="方正小标宋简体"/>
          <w:color w:val="000000"/>
          <w:kern w:val="0"/>
          <w:sz w:val="36"/>
          <w:szCs w:val="36"/>
          <w:lang w:eastAsia="zh-CN" w:bidi="ar"/>
        </w:rPr>
        <w:t>四</w:t>
      </w:r>
      <w:bookmarkStart w:id="0" w:name="_GoBack"/>
      <w:bookmarkEnd w:id="0"/>
      <w:r>
        <w:rPr>
          <w:rFonts w:hint="eastAsia" w:ascii="方正小标宋简体" w:hAnsi="方正小标宋简体" w:eastAsia="方正小标宋简体" w:cs="方正小标宋简体"/>
          <w:color w:val="000000"/>
          <w:kern w:val="0"/>
          <w:sz w:val="36"/>
          <w:szCs w:val="36"/>
          <w:lang w:bidi="ar"/>
        </w:rPr>
        <w:t>季度）</w:t>
      </w:r>
    </w:p>
    <w:tbl>
      <w:tblPr>
        <w:tblStyle w:val="6"/>
        <w:tblW w:w="13246"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04"/>
        <w:gridCol w:w="2746"/>
        <w:gridCol w:w="2908"/>
        <w:gridCol w:w="4892"/>
      </w:tblGrid>
      <w:tr w14:paraId="6A3F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A8C24D5">
            <w:pPr>
              <w:widowControl/>
              <w:jc w:val="center"/>
              <w:textAlignment w:val="center"/>
            </w:pPr>
            <w:r>
              <w:rPr>
                <w:rFonts w:hint="eastAsia" w:ascii="黑体" w:hAnsi="宋体" w:eastAsia="黑体" w:cs="黑体"/>
                <w:color w:val="000000"/>
                <w:kern w:val="0"/>
                <w:sz w:val="24"/>
                <w:lang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E8FA1E">
            <w:pPr>
              <w:widowControl/>
              <w:jc w:val="center"/>
              <w:textAlignment w:val="center"/>
            </w:pPr>
            <w:r>
              <w:rPr>
                <w:rFonts w:hint="eastAsia" w:ascii="黑体" w:hAnsi="宋体" w:eastAsia="黑体" w:cs="黑体"/>
                <w:color w:val="000000"/>
                <w:kern w:val="0"/>
                <w:sz w:val="24"/>
                <w:lang w:bidi="ar"/>
              </w:rPr>
              <w:t>任务来源</w:t>
            </w:r>
          </w:p>
        </w:tc>
        <w:tc>
          <w:tcPr>
            <w:tcW w:w="274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CD763CD">
            <w:pPr>
              <w:widowControl/>
              <w:jc w:val="center"/>
              <w:textAlignment w:val="center"/>
            </w:pPr>
            <w:r>
              <w:rPr>
                <w:rFonts w:hint="eastAsia" w:ascii="黑体" w:hAnsi="宋体" w:eastAsia="黑体" w:cs="黑体"/>
                <w:color w:val="000000"/>
                <w:kern w:val="0"/>
                <w:sz w:val="24"/>
                <w:lang w:bidi="ar"/>
              </w:rPr>
              <w:t>市级任务内容</w:t>
            </w:r>
          </w:p>
        </w:tc>
        <w:tc>
          <w:tcPr>
            <w:tcW w:w="290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6078DE">
            <w:pPr>
              <w:widowControl/>
              <w:jc w:val="center"/>
              <w:textAlignment w:val="center"/>
            </w:pPr>
            <w:r>
              <w:rPr>
                <w:rFonts w:hint="eastAsia" w:ascii="黑体" w:hAnsi="宋体" w:eastAsia="黑体" w:cs="黑体"/>
                <w:color w:val="000000"/>
                <w:kern w:val="0"/>
                <w:sz w:val="24"/>
                <w:lang w:bidi="ar"/>
              </w:rPr>
              <w:t>区级责任部门</w:t>
            </w:r>
          </w:p>
        </w:tc>
        <w:tc>
          <w:tcPr>
            <w:tcW w:w="489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60A5FD">
            <w:pPr>
              <w:widowControl/>
              <w:jc w:val="center"/>
              <w:textAlignment w:val="center"/>
            </w:pPr>
            <w:r>
              <w:rPr>
                <w:rFonts w:hint="eastAsia" w:ascii="黑体" w:hAnsi="宋体" w:eastAsia="黑体" w:cs="黑体"/>
                <w:color w:val="000000"/>
                <w:kern w:val="0"/>
                <w:sz w:val="24"/>
                <w:lang w:bidi="ar"/>
              </w:rPr>
              <w:t>进展情况</w:t>
            </w:r>
          </w:p>
        </w:tc>
      </w:tr>
      <w:tr w14:paraId="5CF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4" w:space="0"/>
              <w:bottom w:val="single" w:color="000000" w:sz="4" w:space="0"/>
              <w:right w:val="single" w:color="000000" w:sz="4" w:space="0"/>
            </w:tcBorders>
            <w:vAlign w:val="center"/>
          </w:tcPr>
          <w:p w14:paraId="38F34AD6">
            <w:pPr>
              <w:widowControl/>
              <w:jc w:val="center"/>
              <w:textAlignment w:val="center"/>
            </w:pPr>
            <w:r>
              <w:rPr>
                <w:rFonts w:eastAsia="仿宋_GB2312"/>
                <w:color w:val="000000"/>
                <w:kern w:val="0"/>
                <w:sz w:val="24"/>
                <w:lang w:bidi="ar"/>
              </w:rPr>
              <w:t>1</w:t>
            </w:r>
          </w:p>
        </w:tc>
        <w:tc>
          <w:tcPr>
            <w:tcW w:w="1904" w:type="dxa"/>
            <w:tcBorders>
              <w:top w:val="single" w:color="000000" w:sz="4" w:space="0"/>
              <w:left w:val="single" w:color="000000" w:sz="4" w:space="0"/>
              <w:bottom w:val="single" w:color="000000" w:sz="4" w:space="0"/>
              <w:right w:val="single" w:color="000000" w:sz="4" w:space="0"/>
            </w:tcBorders>
            <w:vAlign w:val="center"/>
          </w:tcPr>
          <w:p w14:paraId="210CD729">
            <w:pPr>
              <w:widowControl/>
              <w:jc w:val="center"/>
              <w:textAlignment w:val="center"/>
            </w:pPr>
            <w:r>
              <w:rPr>
                <w:rFonts w:hint="eastAsia" w:ascii="仿宋_GB2312" w:hAnsi="Arial" w:eastAsia="仿宋_GB2312" w:cs="仿宋_GB2312"/>
                <w:color w:val="000000"/>
                <w:kern w:val="0"/>
                <w:sz w:val="24"/>
                <w:lang w:bidi="ar"/>
              </w:rPr>
              <w:t>市折子第287项</w:t>
            </w:r>
          </w:p>
        </w:tc>
        <w:tc>
          <w:tcPr>
            <w:tcW w:w="2746" w:type="dxa"/>
            <w:tcBorders>
              <w:top w:val="single" w:color="000000" w:sz="4" w:space="0"/>
              <w:left w:val="single" w:color="000000" w:sz="4" w:space="0"/>
              <w:bottom w:val="single" w:color="000000" w:sz="4" w:space="0"/>
              <w:right w:val="single" w:color="000000" w:sz="4" w:space="0"/>
            </w:tcBorders>
            <w:vAlign w:val="center"/>
          </w:tcPr>
          <w:p w14:paraId="2CF8447F">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深入贯彻习近平法治思想,始终坚持在法治轨道上开展各项工作,自觉运用法治思维和法治方式解决问题、推动发展,不断提升依法行政水平。坚持科学民主依法决策,严格履行重大决策法定程序,持续加强行政决策、行政规范性文件、行政协议等合法性审核。</w:t>
            </w:r>
          </w:p>
        </w:tc>
        <w:tc>
          <w:tcPr>
            <w:tcW w:w="2908" w:type="dxa"/>
            <w:tcBorders>
              <w:top w:val="single" w:color="000000" w:sz="4" w:space="0"/>
              <w:left w:val="single" w:color="000000" w:sz="4" w:space="0"/>
              <w:bottom w:val="single" w:color="000000" w:sz="4" w:space="0"/>
              <w:right w:val="single" w:color="000000" w:sz="4" w:space="0"/>
            </w:tcBorders>
            <w:vAlign w:val="center"/>
          </w:tcPr>
          <w:p w14:paraId="545BEA2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区司法局</w:t>
            </w:r>
          </w:p>
        </w:tc>
        <w:tc>
          <w:tcPr>
            <w:tcW w:w="4892" w:type="dxa"/>
            <w:tcBorders>
              <w:top w:val="single" w:color="000000" w:sz="4" w:space="0"/>
              <w:left w:val="single" w:color="000000" w:sz="4" w:space="0"/>
              <w:bottom w:val="single" w:color="000000" w:sz="4" w:space="0"/>
              <w:right w:val="single" w:color="000000" w:sz="4" w:space="0"/>
            </w:tcBorders>
            <w:vAlign w:val="center"/>
          </w:tcPr>
          <w:p w14:paraId="10244F32">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1.组织开展四次区政府常务会会前学法，已完成全年会前学法任务。</w:t>
            </w:r>
          </w:p>
          <w:p w14:paraId="536F3AFB">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严格落实重大行政决策和行政规范性文件相关制度要求并完成全年工作总结。共对55件决策、文件和协议草案进行合法性审核，提出审查意见290余条；向市政府和区人大常委会备案区政府（区政府办）制发文件1件；对部门备案的14件文件进行备案审查，制发备案审查意见书、建议书等书面函件共5份。</w:t>
            </w:r>
          </w:p>
        </w:tc>
      </w:tr>
      <w:tr w14:paraId="7228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96" w:type="dxa"/>
            <w:tcBorders>
              <w:top w:val="single" w:color="000000" w:sz="4" w:space="0"/>
              <w:left w:val="single" w:color="000000" w:sz="4" w:space="0"/>
              <w:bottom w:val="single" w:color="000000" w:sz="4" w:space="0"/>
              <w:right w:val="single" w:color="000000" w:sz="4" w:space="0"/>
            </w:tcBorders>
            <w:vAlign w:val="center"/>
          </w:tcPr>
          <w:p w14:paraId="1EB056D0">
            <w:pPr>
              <w:widowControl/>
              <w:jc w:val="center"/>
              <w:textAlignment w:val="center"/>
              <w:rPr>
                <w:rFonts w:eastAsia="仿宋_GB2312"/>
                <w:color w:val="000000"/>
                <w:kern w:val="0"/>
                <w:sz w:val="24"/>
                <w:lang w:bidi="ar"/>
              </w:rPr>
            </w:pPr>
            <w:r>
              <w:rPr>
                <w:rFonts w:hint="eastAsia" w:eastAsia="仿宋_GB2312"/>
                <w:color w:val="000000"/>
                <w:kern w:val="0"/>
                <w:sz w:val="24"/>
                <w:lang w:bidi="ar"/>
              </w:rPr>
              <w:t>2</w:t>
            </w:r>
          </w:p>
        </w:tc>
        <w:tc>
          <w:tcPr>
            <w:tcW w:w="1904" w:type="dxa"/>
            <w:tcBorders>
              <w:top w:val="single" w:color="000000" w:sz="4" w:space="0"/>
              <w:left w:val="single" w:color="000000" w:sz="4" w:space="0"/>
              <w:bottom w:val="single" w:color="000000" w:sz="4" w:space="0"/>
              <w:right w:val="single" w:color="000000" w:sz="4" w:space="0"/>
            </w:tcBorders>
            <w:vAlign w:val="center"/>
          </w:tcPr>
          <w:p w14:paraId="6FC62183">
            <w:pPr>
              <w:widowControl/>
              <w:jc w:val="center"/>
              <w:textAlignment w:val="center"/>
              <w:rPr>
                <w:rFonts w:ascii="仿宋_GB2312" w:hAnsi="Arial" w:eastAsia="仿宋_GB2312" w:cs="仿宋_GB2312"/>
                <w:color w:val="000000"/>
                <w:kern w:val="0"/>
                <w:sz w:val="24"/>
                <w:lang w:bidi="ar"/>
              </w:rPr>
            </w:pPr>
            <w:r>
              <w:rPr>
                <w:rFonts w:hint="eastAsia" w:ascii="仿宋_GB2312" w:hAnsi="Arial" w:eastAsia="仿宋_GB2312" w:cs="仿宋_GB2312"/>
                <w:color w:val="000000"/>
                <w:kern w:val="0"/>
                <w:sz w:val="24"/>
                <w:lang w:bidi="ar"/>
              </w:rPr>
              <w:t>市折子第291项</w:t>
            </w:r>
          </w:p>
        </w:tc>
        <w:tc>
          <w:tcPr>
            <w:tcW w:w="2746" w:type="dxa"/>
            <w:tcBorders>
              <w:top w:val="single" w:color="000000" w:sz="4" w:space="0"/>
              <w:left w:val="single" w:color="000000" w:sz="4" w:space="0"/>
              <w:bottom w:val="single" w:color="000000" w:sz="4" w:space="0"/>
              <w:right w:val="single" w:color="000000" w:sz="4" w:space="0"/>
            </w:tcBorders>
            <w:vAlign w:val="center"/>
          </w:tcPr>
          <w:p w14:paraId="355155C2">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深入落实全面依法治市规划和法治政府建设实施意见,推动各级政府主要负责人切实履行推进法治建设第一责任人职责,开展落实法治政府建设任务情况评估验收,积极参与全国法治政府建设示范创建活动,深化“法治明白人”“法治帮扶”工程,推进全市法治政府建设均衡发展。</w:t>
            </w:r>
          </w:p>
        </w:tc>
        <w:tc>
          <w:tcPr>
            <w:tcW w:w="2908" w:type="dxa"/>
            <w:tcBorders>
              <w:top w:val="single" w:color="000000" w:sz="4" w:space="0"/>
              <w:left w:val="single" w:color="000000" w:sz="4" w:space="0"/>
              <w:bottom w:val="single" w:color="000000" w:sz="4" w:space="0"/>
              <w:right w:val="single" w:color="000000" w:sz="4" w:space="0"/>
            </w:tcBorders>
            <w:vAlign w:val="center"/>
          </w:tcPr>
          <w:p w14:paraId="10A32863">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区司法局</w:t>
            </w:r>
          </w:p>
        </w:tc>
        <w:tc>
          <w:tcPr>
            <w:tcW w:w="4892" w:type="dxa"/>
            <w:tcBorders>
              <w:top w:val="single" w:color="000000" w:sz="4" w:space="0"/>
              <w:left w:val="single" w:color="000000" w:sz="4" w:space="0"/>
              <w:bottom w:val="single" w:color="000000" w:sz="4" w:space="0"/>
              <w:right w:val="single" w:color="000000" w:sz="4" w:space="0"/>
            </w:tcBorders>
            <w:vAlign w:val="center"/>
          </w:tcPr>
          <w:p w14:paraId="38DBAF45">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1.按要求完成十五五时期依法治区规划报告初稿并上报发改委。</w:t>
            </w:r>
          </w:p>
          <w:p w14:paraId="3E99612E">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2.2024年朝阳区政府、各街乡、各执法单位法治政府建设评估工作已完成，评估报告发各单位，要求对照报告改进提升。</w:t>
            </w:r>
          </w:p>
          <w:p w14:paraId="04180BF2">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3.完成全国法治政府建设示范创建答辩工作，我区“以实质性化解行政争议为导向，加快推进行政复议主渠道建设”项目被评为全国法治政府建设示范项目。</w:t>
            </w:r>
          </w:p>
          <w:p w14:paraId="1FA62549">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4.已收集、汇总各单位党政第一责任人2025年履行法治政府建设职责情况，做好全年总结准备。</w:t>
            </w:r>
          </w:p>
          <w:p w14:paraId="2E165294">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深化法治帮扶机制，印发街乡司法行政业务通报4期；召开行政规范性文件评估监督工作座谈会4次；开展相关业务培训4次；开展业务指导2677次；针对行政复议案件中需要提示的内容下发意见书18份，依法行政培训授课1次。</w:t>
            </w:r>
          </w:p>
        </w:tc>
      </w:tr>
      <w:tr w14:paraId="10A0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4" w:space="0"/>
              <w:bottom w:val="single" w:color="000000" w:sz="4" w:space="0"/>
              <w:right w:val="single" w:color="000000" w:sz="4" w:space="0"/>
            </w:tcBorders>
            <w:vAlign w:val="center"/>
          </w:tcPr>
          <w:p w14:paraId="75927543">
            <w:pPr>
              <w:widowControl/>
              <w:jc w:val="center"/>
              <w:textAlignment w:val="center"/>
              <w:rPr>
                <w:rFonts w:eastAsia="仿宋_GB2312"/>
                <w:color w:val="000000"/>
                <w:kern w:val="0"/>
                <w:sz w:val="24"/>
                <w:lang w:bidi="ar"/>
              </w:rPr>
            </w:pPr>
            <w:r>
              <w:rPr>
                <w:rFonts w:hint="eastAsia" w:eastAsia="仿宋_GB2312"/>
                <w:color w:val="000000"/>
                <w:kern w:val="0"/>
                <w:sz w:val="24"/>
                <w:lang w:bidi="ar"/>
              </w:rPr>
              <w:t>3</w:t>
            </w:r>
          </w:p>
        </w:tc>
        <w:tc>
          <w:tcPr>
            <w:tcW w:w="1904" w:type="dxa"/>
            <w:tcBorders>
              <w:top w:val="single" w:color="000000" w:sz="4" w:space="0"/>
              <w:left w:val="single" w:color="000000" w:sz="4" w:space="0"/>
              <w:bottom w:val="single" w:color="000000" w:sz="4" w:space="0"/>
              <w:right w:val="single" w:color="000000" w:sz="4" w:space="0"/>
            </w:tcBorders>
            <w:vAlign w:val="center"/>
          </w:tcPr>
          <w:p w14:paraId="1E5D5006">
            <w:pPr>
              <w:widowControl/>
              <w:jc w:val="center"/>
              <w:textAlignment w:val="center"/>
              <w:rPr>
                <w:rFonts w:ascii="仿宋_GB2312" w:hAnsi="Arial" w:eastAsia="仿宋_GB2312" w:cs="仿宋_GB2312"/>
                <w:b/>
                <w:bCs/>
                <w:color w:val="000000"/>
                <w:kern w:val="0"/>
                <w:sz w:val="24"/>
                <w:lang w:bidi="ar"/>
              </w:rPr>
            </w:pPr>
            <w:r>
              <w:rPr>
                <w:rFonts w:hint="eastAsia" w:ascii="仿宋_GB2312" w:hAnsi="Arial" w:eastAsia="仿宋_GB2312" w:cs="仿宋_GB2312"/>
                <w:color w:val="000000"/>
                <w:kern w:val="0"/>
                <w:sz w:val="24"/>
                <w:lang w:bidi="ar"/>
              </w:rPr>
              <w:t>市折子第303项</w:t>
            </w:r>
          </w:p>
        </w:tc>
        <w:tc>
          <w:tcPr>
            <w:tcW w:w="2746" w:type="dxa"/>
            <w:tcBorders>
              <w:top w:val="single" w:color="000000" w:sz="4" w:space="0"/>
              <w:left w:val="single" w:color="000000" w:sz="4" w:space="0"/>
              <w:bottom w:val="single" w:color="000000" w:sz="4" w:space="0"/>
              <w:right w:val="single" w:color="000000" w:sz="4" w:space="0"/>
            </w:tcBorders>
            <w:vAlign w:val="center"/>
          </w:tcPr>
          <w:p w14:paraId="57324A0D">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更好发挥司法监督职能作用,优化府院联动工作机制,严格落实行政机关负责人出庭应诉制度。</w:t>
            </w:r>
          </w:p>
        </w:tc>
        <w:tc>
          <w:tcPr>
            <w:tcW w:w="2908" w:type="dxa"/>
            <w:tcBorders>
              <w:top w:val="single" w:color="000000" w:sz="4" w:space="0"/>
              <w:left w:val="single" w:color="000000" w:sz="4" w:space="0"/>
              <w:bottom w:val="single" w:color="000000" w:sz="4" w:space="0"/>
              <w:right w:val="single" w:color="000000" w:sz="4" w:space="0"/>
            </w:tcBorders>
            <w:vAlign w:val="center"/>
          </w:tcPr>
          <w:p w14:paraId="75ED697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区司法局</w:t>
            </w:r>
          </w:p>
        </w:tc>
        <w:tc>
          <w:tcPr>
            <w:tcW w:w="4892" w:type="dxa"/>
            <w:tcBorders>
              <w:top w:val="single" w:color="000000" w:sz="4" w:space="0"/>
              <w:left w:val="single" w:color="000000" w:sz="4" w:space="0"/>
              <w:bottom w:val="single" w:color="000000" w:sz="4" w:space="0"/>
              <w:right w:val="single" w:color="000000" w:sz="4" w:space="0"/>
            </w:tcBorders>
            <w:vAlign w:val="center"/>
          </w:tcPr>
          <w:p w14:paraId="2399538F">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4月22日，朝阳法院通过互联网庭审系统公开开庭审理了涉及工伤认定决定及区政府行政复议决定案，尹圆副区长作为区政府行政负责人出庭应诉。</w:t>
            </w:r>
          </w:p>
          <w:p w14:paraId="26C48485">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4月24日，朝阳法院通过互联网庭审系统公开开庭合并审理了两起政府信息公开答复及行政复议“双被告”案件，陈黛副区长作为朝阳区政府行政负责人出庭应诉。</w:t>
            </w:r>
          </w:p>
          <w:p w14:paraId="6B623AAA">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12月4日，北京四中院公开开庭审理一起涉及房屋征收项目案件，刘福泽副区长作为朝阳区政府行政负责人出庭应诉。已完成全年进度。</w:t>
            </w:r>
          </w:p>
        </w:tc>
      </w:tr>
    </w:tbl>
    <w:p w14:paraId="7A08EC3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50EFD"/>
    <w:rsid w:val="00410E38"/>
    <w:rsid w:val="00486131"/>
    <w:rsid w:val="00567FFE"/>
    <w:rsid w:val="00AB4033"/>
    <w:rsid w:val="00BA04C4"/>
    <w:rsid w:val="00BB1CAA"/>
    <w:rsid w:val="00D11493"/>
    <w:rsid w:val="03550EFD"/>
    <w:rsid w:val="0CC343F8"/>
    <w:rsid w:val="47A97E3B"/>
    <w:rsid w:val="4FF46F30"/>
    <w:rsid w:val="6845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1018</Words>
  <Characters>1052</Characters>
  <Lines>8</Lines>
  <Paragraphs>2</Paragraphs>
  <TotalTime>36</TotalTime>
  <ScaleCrop>false</ScaleCrop>
  <LinksUpToDate>false</LinksUpToDate>
  <CharactersWithSpaces>1052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2025-04-15T01:50:00Z</dcterms:created>
  <dc:creator>XYSD</dc:creator>
  <cp:lastModifiedBy>XYSD</cp:lastModifiedBy>
  <dcterms:modified xsi:type="dcterms:W3CDTF">2025-12-15T09:14:05Z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B65BDCF6656E496AA530B71C947A6932_11</vt:lpwstr>
  </property>
  <property fmtid="{D5CDD505-2E9C-101B-9397-08002B2CF9AE}" pid="4" name="KSOTemplateDocerSaveRecord">
    <vt:lpwstr>eyJoZGlkIjoiZjBhMWJkMTk5Y2Y5MWI4OGExODQ5NTdiZmQ4NzJhZWQifQ==</vt:lpwstr>
  </property>
</Properties>
</file>