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37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rPr>
          <w:rFonts w:hint="eastAsia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附件</w:t>
      </w:r>
      <w:r>
        <w:rPr>
          <w:rFonts w:hint="eastAsia" w:eastAsia="黑体"/>
          <w:sz w:val="32"/>
          <w:szCs w:val="32"/>
          <w:highlight w:val="none"/>
          <w:lang w:val="en-US" w:eastAsia="zh-CN"/>
        </w:rPr>
        <w:t>2</w:t>
      </w:r>
    </w:p>
    <w:p w14:paraId="7B6356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rPr>
          <w:rFonts w:hint="eastAsia"/>
          <w:lang w:eastAsia="zh-CN"/>
        </w:rPr>
      </w:pPr>
    </w:p>
    <w:p w14:paraId="1C234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团区委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  <w:lang w:val="en-US" w:eastAsia="zh-CN"/>
        </w:rPr>
        <w:t>2024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年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整体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支出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绩效评价报告</w:t>
      </w:r>
    </w:p>
    <w:p w14:paraId="78A3F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</w:p>
    <w:p w14:paraId="6C3C8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both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一、部门概况</w:t>
      </w:r>
    </w:p>
    <w:p w14:paraId="18402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（一）机构设置及职责工作任务情况</w:t>
      </w:r>
    </w:p>
    <w:p w14:paraId="4A22C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团区委下设“一室、三部”，分别是：机关办公室、基层组织部、全媒体宣传部、人才统战部，下设全额拨款事业单位</w:t>
      </w:r>
      <w:r>
        <w:rPr>
          <w:rFonts w:ascii="Times New Roman" w:hAnsi="Times New Roman" w:eastAsia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，名称为北京市朝阳区青少年指导服务中心。主要职责:紧密围绕本区的中心任务开展团的工作，完成区委、区政府和团市委部署的以青少年为主体的各项工作;负责指导并组织实施本区青少年的思想理论教育和文化宣传活动，积极引导青少年树立正确的世界观、人生观、价值观；负责全区青年人才的选拔、培养和青年人力资源开发工作;承担区委、区政府交办的青少年事务、参与协调处理与青少年利益相关的工作；探索新形势下共青团工作的新思路、新方法、加强基层团组织建设；向区委、区政府及团市委及时反映本区青少年思想状况，为上级领导机关的决策提供依据；负责本区青年统战工作和青年志愿者工作、指导区青联、区少先队工作委员会的工作；指导基层团建工作，促进基层团组织的联系与合作；指导区域内非公有制经济组织和社会中介组织、社会力量举办学校团的工作；负责指导和推动全区团组织开展青少年志愿服务活动；负责全区青少年社会组织的培育、引导、联系和服务工作；负责青少年权益维护工作。承办区委、区政府交办的其他事项。</w:t>
      </w:r>
    </w:p>
    <w:p w14:paraId="0D1F3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（二）部门整体绩效目标设立情况</w:t>
      </w:r>
    </w:p>
    <w:p w14:paraId="39388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按照市、区考核指标，严守团区委财务规章制度，科学、合理编制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202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年度部门整体绩效目标，确保重点支出安排，推行厉行节约规范使用。</w:t>
      </w:r>
    </w:p>
    <w:p w14:paraId="5DD0C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预算执行情况</w:t>
      </w:r>
    </w:p>
    <w:p w14:paraId="0D143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全年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2693.20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其中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，基本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789.59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项目支出预算数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1903.61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万元，其他支出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资金总体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2623.11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万元，其中，基本支出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749.55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万元，项目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1873.56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万元，其他支出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</w:t>
      </w:r>
      <w:r>
        <w:rPr>
          <w:rFonts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执行率为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97.40</w:t>
      </w:r>
      <w:r>
        <w:rPr>
          <w:rFonts w:hint="eastAsia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%。</w:t>
      </w:r>
    </w:p>
    <w:p w14:paraId="28739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、整体绩效目标实现情况</w:t>
      </w:r>
    </w:p>
    <w:p w14:paraId="64E86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（一）产出完成情况分析</w:t>
      </w:r>
    </w:p>
    <w:p w14:paraId="525B9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.产出数量</w:t>
      </w:r>
    </w:p>
    <w:p w14:paraId="61A36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</w:pPr>
      <w:r>
        <w:rPr>
          <w:rFonts w:hint="eastAsia" w:eastAsia="仿宋_GB2312"/>
          <w:color w:val="auto"/>
          <w:sz w:val="32"/>
          <w:szCs w:val="32"/>
          <w:highlight w:val="none"/>
        </w:rPr>
        <w:t>坚持不懈用习近平新时代中国特色社会主义思想凝心铸魂，</w:t>
      </w:r>
      <w:r>
        <w:rPr>
          <w:rFonts w:eastAsia="仿宋_GB2312"/>
          <w:color w:val="auto"/>
          <w:sz w:val="32"/>
          <w:highlight w:val="none"/>
        </w:rPr>
        <w:t>研发</w:t>
      </w:r>
      <w:r>
        <w:rPr>
          <w:rFonts w:hint="eastAsia" w:eastAsia="仿宋_GB2312"/>
          <w:color w:val="auto"/>
          <w:sz w:val="32"/>
          <w:highlight w:val="none"/>
        </w:rPr>
        <w:t>“</w:t>
      </w:r>
      <w:r>
        <w:rPr>
          <w:rFonts w:eastAsia="仿宋_GB2312"/>
          <w:color w:val="auto"/>
          <w:sz w:val="32"/>
          <w:highlight w:val="none"/>
        </w:rPr>
        <w:t>青春路标</w:t>
      </w:r>
      <w:r>
        <w:rPr>
          <w:rFonts w:hint="eastAsia" w:eastAsia="仿宋_GB2312"/>
          <w:color w:val="auto"/>
          <w:sz w:val="32"/>
          <w:highlight w:val="none"/>
        </w:rPr>
        <w:t>——</w:t>
      </w:r>
      <w:r>
        <w:rPr>
          <w:rFonts w:eastAsia="仿宋_GB2312"/>
          <w:color w:val="auto"/>
          <w:sz w:val="32"/>
          <w:highlight w:val="none"/>
        </w:rPr>
        <w:t>思维导图带你学习党的二十届三中全会精神</w:t>
      </w:r>
      <w:r>
        <w:rPr>
          <w:rFonts w:hint="eastAsia" w:eastAsia="仿宋_GB2312"/>
          <w:color w:val="auto"/>
          <w:sz w:val="32"/>
          <w:highlight w:val="none"/>
        </w:rPr>
        <w:t>”</w:t>
      </w:r>
      <w:r>
        <w:rPr>
          <w:rFonts w:eastAsia="仿宋_GB2312"/>
          <w:color w:val="auto"/>
          <w:sz w:val="32"/>
          <w:highlight w:val="none"/>
        </w:rPr>
        <w:t>等系列产品，推出《朝阳群众》国家安全主题剧本，开展各类思想引领类活动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highlight w:val="none"/>
        </w:rPr>
        <w:t>592</w:t>
      </w:r>
      <w:r>
        <w:rPr>
          <w:rFonts w:eastAsia="仿宋_GB2312"/>
          <w:color w:val="auto"/>
          <w:sz w:val="32"/>
          <w:highlight w:val="none"/>
        </w:rPr>
        <w:t>场，</w:t>
      </w:r>
      <w:r>
        <w:rPr>
          <w:rFonts w:hint="eastAsia" w:eastAsia="仿宋_GB2312"/>
          <w:color w:val="auto"/>
          <w:sz w:val="32"/>
          <w:highlight w:val="none"/>
          <w:lang w:val="en-US" w:eastAsia="zh-CN"/>
        </w:rPr>
        <w:t>每月发布宣传信息50条，</w:t>
      </w:r>
      <w:r>
        <w:rPr>
          <w:rFonts w:eastAsia="仿宋_GB2312"/>
          <w:color w:val="auto"/>
          <w:sz w:val="32"/>
          <w:highlight w:val="none"/>
        </w:rPr>
        <w:t>覆盖青年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highlight w:val="none"/>
        </w:rPr>
        <w:t>1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highlight w:val="none"/>
        </w:rPr>
        <w:t>2</w:t>
      </w:r>
      <w:r>
        <w:rPr>
          <w:rFonts w:hint="eastAsia" w:ascii="Times New Roman Regular" w:hAnsi="Times New Roman Regular" w:eastAsia="仿宋_GB2312" w:cs="Times New Roman Regular"/>
          <w:color w:val="auto"/>
          <w:sz w:val="32"/>
          <w:szCs w:val="32"/>
          <w:highlight w:val="none"/>
        </w:rPr>
        <w:t>万</w:t>
      </w:r>
      <w:r>
        <w:rPr>
          <w:rFonts w:eastAsia="仿宋_GB2312"/>
          <w:color w:val="auto"/>
          <w:sz w:val="32"/>
          <w:highlight w:val="none"/>
        </w:rPr>
        <w:t>余人次。</w:t>
      </w:r>
      <w:r>
        <w:rPr>
          <w:rFonts w:hint="eastAsia" w:eastAsia="仿宋_GB2312"/>
          <w:color w:val="auto"/>
          <w:sz w:val="32"/>
          <w:highlight w:val="none"/>
        </w:rPr>
        <w:t>强化榜样引领，</w:t>
      </w:r>
      <w:r>
        <w:rPr>
          <w:rFonts w:eastAsia="仿宋_GB2312"/>
          <w:color w:val="auto"/>
          <w:sz w:val="32"/>
          <w:highlight w:val="none"/>
        </w:rPr>
        <w:t>完成中国青年五四奖章、</w:t>
      </w:r>
      <w:r>
        <w:rPr>
          <w:rFonts w:hint="eastAsia" w:eastAsia="仿宋_GB2312"/>
          <w:color w:val="auto"/>
          <w:sz w:val="32"/>
          <w:highlight w:val="none"/>
        </w:rPr>
        <w:t>“</w:t>
      </w:r>
      <w:r>
        <w:rPr>
          <w:rFonts w:eastAsia="仿宋_GB2312"/>
          <w:color w:val="auto"/>
          <w:sz w:val="32"/>
          <w:highlight w:val="none"/>
        </w:rPr>
        <w:t>两红两优三优秀</w:t>
      </w:r>
      <w:r>
        <w:rPr>
          <w:rFonts w:hint="eastAsia" w:eastAsia="仿宋_GB2312"/>
          <w:color w:val="auto"/>
          <w:sz w:val="32"/>
          <w:highlight w:val="none"/>
        </w:rPr>
        <w:t>”</w:t>
      </w:r>
      <w:r>
        <w:rPr>
          <w:rFonts w:eastAsia="仿宋_GB2312"/>
          <w:color w:val="auto"/>
          <w:sz w:val="32"/>
          <w:highlight w:val="none"/>
        </w:rPr>
        <w:t>等榜样推选工作</w:t>
      </w:r>
      <w:r>
        <w:rPr>
          <w:rFonts w:hint="eastAsia" w:eastAsia="仿宋_GB2312"/>
          <w:color w:val="auto"/>
          <w:sz w:val="32"/>
          <w:highlight w:val="none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highlight w:val="none"/>
        </w:rPr>
        <w:t>68</w:t>
      </w:r>
      <w:r>
        <w:rPr>
          <w:rFonts w:eastAsia="仿宋_GB2312"/>
          <w:color w:val="auto"/>
          <w:sz w:val="32"/>
          <w:highlight w:val="none"/>
        </w:rPr>
        <w:t>个集体</w:t>
      </w:r>
      <w:r>
        <w:rPr>
          <w:rFonts w:hint="eastAsia" w:eastAsia="仿宋_GB2312"/>
          <w:color w:val="auto"/>
          <w:sz w:val="32"/>
          <w:highlight w:val="none"/>
        </w:rPr>
        <w:t>及个</w:t>
      </w:r>
      <w:r>
        <w:rPr>
          <w:rFonts w:eastAsia="仿宋_GB2312"/>
          <w:color w:val="auto"/>
          <w:sz w:val="32"/>
          <w:highlight w:val="none"/>
        </w:rPr>
        <w:t>人被认定北京市</w:t>
      </w:r>
      <w:r>
        <w:rPr>
          <w:rFonts w:ascii="Times New Roman" w:hAnsi="Times New Roman" w:eastAsia="仿宋_GB2312"/>
          <w:color w:val="auto"/>
          <w:sz w:val="32"/>
          <w:highlight w:val="none"/>
        </w:rPr>
        <w:t>2024</w:t>
      </w:r>
      <w:r>
        <w:rPr>
          <w:rFonts w:eastAsia="仿宋_GB2312"/>
          <w:color w:val="auto"/>
          <w:sz w:val="32"/>
          <w:highlight w:val="none"/>
        </w:rPr>
        <w:t>年</w:t>
      </w:r>
      <w:r>
        <w:rPr>
          <w:rFonts w:hint="eastAsia" w:eastAsia="仿宋_GB2312"/>
          <w:color w:val="auto"/>
          <w:sz w:val="32"/>
          <w:highlight w:val="none"/>
        </w:rPr>
        <w:t>“</w:t>
      </w:r>
      <w:r>
        <w:rPr>
          <w:rFonts w:eastAsia="仿宋_GB2312"/>
          <w:color w:val="auto"/>
          <w:sz w:val="32"/>
          <w:highlight w:val="none"/>
        </w:rPr>
        <w:t>两红两优三优秀</w:t>
      </w:r>
      <w:r>
        <w:rPr>
          <w:rFonts w:hint="eastAsia" w:eastAsia="仿宋_GB2312"/>
          <w:color w:val="auto"/>
          <w:sz w:val="32"/>
          <w:highlight w:val="none"/>
        </w:rPr>
        <w:t>”</w:t>
      </w:r>
      <w:r>
        <w:rPr>
          <w:rFonts w:eastAsia="仿宋_GB2312"/>
          <w:color w:val="auto"/>
          <w:sz w:val="32"/>
          <w:highlight w:val="none"/>
        </w:rPr>
        <w:t>。</w:t>
      </w:r>
      <w:r>
        <w:rPr>
          <w:rFonts w:eastAsia="仿宋_GB2312"/>
          <w:color w:val="auto"/>
          <w:kern w:val="0"/>
          <w:sz w:val="32"/>
          <w:highlight w:val="none"/>
          <w:lang w:eastAsia="zh-Hans"/>
        </w:rPr>
        <w:t>促进青年高质量充分就业，</w:t>
      </w:r>
      <w:r>
        <w:rPr>
          <w:rFonts w:hint="eastAsia" w:eastAsia="仿宋_GB2312"/>
          <w:color w:val="auto"/>
          <w:kern w:val="0"/>
          <w:sz w:val="32"/>
          <w:highlight w:val="none"/>
        </w:rPr>
        <w:t>加强就业创业实习基地建设，</w:t>
      </w:r>
      <w:r>
        <w:rPr>
          <w:rFonts w:hint="eastAsia" w:ascii="Times New Roman" w:hAnsi="Times New Roman" w:eastAsia="仿宋_GB2312" w:cs="Times New Roman"/>
          <w:color w:val="000000"/>
          <w:sz w:val="32"/>
          <w:highlight w:val="none"/>
          <w:lang w:val="en-US" w:eastAsia="zh-CN"/>
        </w:rPr>
        <w:t>全年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为在校大学生提供实习</w:t>
      </w:r>
      <w:r>
        <w:rPr>
          <w:rFonts w:hint="eastAsia" w:ascii="Times New Roman" w:hAnsi="Times New Roman" w:eastAsia="仿宋_GB2312" w:cs="Times New Roman"/>
          <w:color w:val="000000"/>
          <w:sz w:val="32"/>
          <w:highlight w:val="none"/>
          <w:lang w:val="en-US" w:eastAsia="zh-CN"/>
        </w:rPr>
        <w:t>岗位2173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人次</w:t>
      </w:r>
      <w:r>
        <w:rPr>
          <w:rFonts w:hint="eastAsia" w:ascii="Times New Roman" w:hAnsi="Times New Roman" w:eastAsia="仿宋_GB2312" w:cs="Times New Roman"/>
          <w:color w:val="000000"/>
          <w:sz w:val="32"/>
          <w:highlight w:val="none"/>
          <w:lang w:eastAsia="zh-CN"/>
        </w:rPr>
        <w:t>，</w:t>
      </w:r>
      <w:r>
        <w:rPr>
          <w:rFonts w:hint="eastAsia" w:eastAsia="仿宋_GB2312"/>
          <w:color w:val="auto"/>
          <w:kern w:val="0"/>
          <w:sz w:val="32"/>
          <w:highlight w:val="none"/>
        </w:rPr>
        <w:t>开展</w:t>
      </w:r>
      <w:r>
        <w:rPr>
          <w:rFonts w:hint="eastAsia" w:eastAsia="仿宋_GB2312"/>
          <w:color w:val="auto"/>
          <w:sz w:val="32"/>
          <w:szCs w:val="32"/>
          <w:highlight w:val="none"/>
        </w:rPr>
        <w:t>“</w:t>
      </w:r>
      <w:r>
        <w:rPr>
          <w:rFonts w:hint="eastAsia" w:eastAsia="仿宋_GB2312"/>
          <w:color w:val="auto"/>
          <w:sz w:val="32"/>
          <w:szCs w:val="40"/>
          <w:highlight w:val="none"/>
        </w:rPr>
        <w:t>Young创未来”港澳青年来京实习项目、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  <w:lang w:eastAsia="zh-Hans"/>
        </w:rPr>
        <w:t>“大学生实习扬帆计划”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</w:rPr>
        <w:t>实习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  <w:lang w:eastAsia="zh-Hans"/>
        </w:rPr>
        <w:t>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  <w:lang w:eastAsia="zh-Hans"/>
        </w:rPr>
        <w:t>，</w:t>
      </w:r>
      <w:r>
        <w:rPr>
          <w:rFonts w:eastAsia="仿宋_GB2312"/>
          <w:color w:val="auto"/>
          <w:kern w:val="0"/>
          <w:sz w:val="32"/>
          <w:highlight w:val="none"/>
          <w:lang w:eastAsia="zh-Hans"/>
        </w:rPr>
        <w:t>覆盖青年</w:t>
      </w:r>
      <w:r>
        <w:rPr>
          <w:rFonts w:ascii="Times New Roman" w:hAnsi="Times New Roman" w:eastAsia="仿宋_GB2312"/>
          <w:color w:val="auto"/>
          <w:kern w:val="0"/>
          <w:sz w:val="32"/>
          <w:highlight w:val="none"/>
          <w:lang w:eastAsia="zh-Hans"/>
        </w:rPr>
        <w:t>3</w:t>
      </w:r>
      <w:r>
        <w:rPr>
          <w:rFonts w:eastAsia="仿宋_GB2312"/>
          <w:color w:val="auto"/>
          <w:kern w:val="0"/>
          <w:sz w:val="32"/>
          <w:highlight w:val="none"/>
          <w:lang w:eastAsia="zh-Hans"/>
        </w:rPr>
        <w:t>.</w:t>
      </w:r>
      <w:r>
        <w:rPr>
          <w:rFonts w:ascii="Times New Roman" w:hAnsi="Times New Roman" w:eastAsia="仿宋_GB2312"/>
          <w:color w:val="auto"/>
          <w:kern w:val="0"/>
          <w:sz w:val="32"/>
          <w:highlight w:val="none"/>
          <w:lang w:eastAsia="zh-Hans"/>
        </w:rPr>
        <w:t>4</w:t>
      </w:r>
      <w:r>
        <w:rPr>
          <w:rFonts w:eastAsia="仿宋_GB2312"/>
          <w:color w:val="auto"/>
          <w:kern w:val="0"/>
          <w:sz w:val="32"/>
          <w:highlight w:val="none"/>
          <w:lang w:eastAsia="zh-Hans"/>
        </w:rPr>
        <w:t>万余人次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  <w:r>
        <w:rPr>
          <w:rFonts w:hint="eastAsia" w:eastAsia="仿宋_GB2312"/>
          <w:color w:val="auto"/>
          <w:kern w:val="0"/>
          <w:sz w:val="32"/>
          <w:highlight w:val="none"/>
        </w:rPr>
        <w:t>聚焦</w:t>
      </w:r>
      <w:r>
        <w:rPr>
          <w:rFonts w:eastAsia="仿宋_GB2312"/>
          <w:color w:val="auto"/>
          <w:kern w:val="0"/>
          <w:sz w:val="32"/>
          <w:highlight w:val="none"/>
          <w:lang w:eastAsia="zh-Hans"/>
        </w:rPr>
        <w:t>青年</w:t>
      </w:r>
      <w:r>
        <w:rPr>
          <w:rFonts w:hint="eastAsia" w:eastAsia="仿宋_GB2312"/>
          <w:color w:val="auto"/>
          <w:kern w:val="0"/>
          <w:sz w:val="32"/>
          <w:highlight w:val="none"/>
        </w:rPr>
        <w:t>多元需求，建立区青少年情绪舒缓中心，开办“朝阳青年夜校”“少年军校”“红领巾成长营”等服务项目，累计服务青少年</w:t>
      </w:r>
      <w:r>
        <w:rPr>
          <w:rFonts w:hint="eastAsia" w:ascii="Times New Roman" w:hAnsi="Times New Roman" w:eastAsia="仿宋_GB2312"/>
          <w:color w:val="auto"/>
          <w:kern w:val="0"/>
          <w:sz w:val="32"/>
          <w:highlight w:val="none"/>
        </w:rPr>
        <w:t>7600</w:t>
      </w:r>
      <w:r>
        <w:rPr>
          <w:rFonts w:hint="eastAsia" w:eastAsia="仿宋_GB2312"/>
          <w:color w:val="auto"/>
          <w:kern w:val="0"/>
          <w:sz w:val="32"/>
          <w:highlight w:val="none"/>
        </w:rPr>
        <w:t>余人次</w:t>
      </w:r>
      <w:r>
        <w:rPr>
          <w:rFonts w:hint="eastAsia" w:eastAsia="仿宋_GB2312"/>
          <w:color w:val="auto"/>
          <w:kern w:val="0"/>
          <w:sz w:val="32"/>
          <w:highlight w:val="none"/>
          <w:lang w:eastAsia="zh-CN"/>
        </w:rPr>
        <w:t>。</w:t>
      </w:r>
      <w:r>
        <w:rPr>
          <w:rFonts w:hint="eastAsia" w:eastAsia="仿宋_GB2312"/>
          <w:bCs/>
          <w:color w:val="auto"/>
          <w:sz w:val="32"/>
          <w:szCs w:val="32"/>
          <w:highlight w:val="none"/>
          <w:lang w:eastAsia="zh-CN"/>
        </w:rPr>
        <w:t>擦亮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“小哥加油站”品牌，形成区级示范阵地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</w:rPr>
        <w:t>6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个、街乡级服务阵地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</w:rPr>
        <w:t>77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个，实现街乡全覆盖，推动以“小哥加油站”为代表的基层治理个案“盆景”变为共建共治共享的新时代城市发展“风景”。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面向全区二级团组织举办团干部调训班，累计培训</w:t>
      </w:r>
      <w:r>
        <w:rPr>
          <w:rFonts w:hint="eastAsia" w:ascii="Times New Roman" w:hAnsi="Times New Roman" w:eastAsia="仿宋_GB2312" w:cs="Times New Roman"/>
          <w:color w:val="000000"/>
          <w:sz w:val="32"/>
          <w:highlight w:val="none"/>
          <w:lang w:val="en-US" w:eastAsia="zh-CN"/>
        </w:rPr>
        <w:t>104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人。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做好</w:t>
      </w:r>
      <w:r>
        <w:rPr>
          <w:rFonts w:hint="eastAsia" w:eastAsia="仿宋_GB2312"/>
          <w:bCs/>
          <w:color w:val="auto"/>
          <w:kern w:val="0"/>
          <w:sz w:val="32"/>
          <w:szCs w:val="32"/>
          <w:lang w:val="en-US" w:eastAsia="zh-CN"/>
        </w:rPr>
        <w:t>297名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区青联</w:t>
      </w:r>
      <w:r>
        <w:rPr>
          <w:rFonts w:hint="eastAsia" w:eastAsia="仿宋_GB2312"/>
          <w:bCs/>
          <w:color w:val="auto"/>
          <w:kern w:val="0"/>
          <w:sz w:val="32"/>
          <w:szCs w:val="32"/>
          <w:lang w:val="en-US" w:eastAsia="zh-CN"/>
        </w:rPr>
        <w:t>委员日常管理服务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，推动青联改革向纵深发展。</w:t>
      </w:r>
      <w:r>
        <w:rPr>
          <w:rFonts w:hint="eastAsia" w:eastAsia="仿宋_GB2312"/>
          <w:bCs/>
          <w:color w:val="auto"/>
          <w:kern w:val="0"/>
          <w:sz w:val="32"/>
          <w:szCs w:val="32"/>
          <w:lang w:val="en-US" w:eastAsia="zh-CN"/>
        </w:rPr>
        <w:t>定期发布志愿活动，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常态化运营3个蓝立方城市志愿服务岗亭。</w:t>
      </w:r>
      <w:r>
        <w:rPr>
          <w:rFonts w:hint="eastAsia" w:eastAsia="仿宋_GB2312"/>
          <w:bCs/>
          <w:color w:val="auto"/>
          <w:kern w:val="0"/>
          <w:sz w:val="32"/>
          <w:szCs w:val="32"/>
          <w:lang w:val="en-US" w:eastAsia="zh-CN"/>
        </w:rPr>
        <w:t>按时开展困境青少年精准帮扶项目，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</w:rPr>
        <w:t>全年帮扶困境青少年800人次</w:t>
      </w:r>
      <w:r>
        <w:rPr>
          <w:rFonts w:hint="default" w:ascii="Times New Roman" w:hAnsi="Times New Roman" w:eastAsia="仿宋_GB2312" w:cs="Times New Roman"/>
          <w:color w:val="000000"/>
          <w:sz w:val="32"/>
          <w:highlight w:val="none"/>
          <w:lang w:eastAsia="zh-CN"/>
        </w:rPr>
        <w:t>。</w:t>
      </w:r>
    </w:p>
    <w:p w14:paraId="01D8E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.产出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质量</w:t>
      </w:r>
    </w:p>
    <w:p w14:paraId="377FE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eastAsia="仿宋_GB2312"/>
          <w:color w:val="auto"/>
          <w:kern w:val="0"/>
          <w:sz w:val="32"/>
          <w:highlight w:val="none"/>
        </w:rPr>
        <w:t>聚焦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highlight w:val="none"/>
        </w:rPr>
        <w:t>“五宜”朝阳建设目标，充分发挥生力军和突击队作用。</w:t>
      </w:r>
      <w:r>
        <w:rPr>
          <w:rFonts w:hint="eastAsia" w:eastAsia="仿宋_GB2312"/>
          <w:color w:val="auto"/>
          <w:kern w:val="0"/>
          <w:sz w:val="32"/>
          <w:highlight w:val="none"/>
        </w:rPr>
        <w:t>完成</w:t>
      </w:r>
      <w:r>
        <w:rPr>
          <w:rFonts w:ascii="Times New Roman" w:hAnsi="Times New Roman" w:eastAsia="仿宋_GB2312"/>
          <w:color w:val="auto"/>
          <w:kern w:val="0"/>
          <w:sz w:val="32"/>
          <w:highlight w:val="none"/>
        </w:rPr>
        <w:t>2024</w:t>
      </w:r>
      <w:r>
        <w:rPr>
          <w:rFonts w:eastAsia="仿宋_GB2312"/>
          <w:color w:val="auto"/>
          <w:kern w:val="0"/>
          <w:sz w:val="32"/>
          <w:highlight w:val="none"/>
        </w:rPr>
        <w:t>年中非合作论坛峰会、北京文化论坛</w:t>
      </w:r>
      <w:r>
        <w:rPr>
          <w:rFonts w:hint="eastAsia" w:eastAsia="仿宋_GB2312"/>
          <w:color w:val="auto"/>
          <w:kern w:val="0"/>
          <w:sz w:val="32"/>
          <w:highlight w:val="none"/>
        </w:rPr>
        <w:t>等</w:t>
      </w:r>
      <w:r>
        <w:rPr>
          <w:rFonts w:eastAsia="仿宋_GB2312"/>
          <w:color w:val="auto"/>
          <w:kern w:val="0"/>
          <w:sz w:val="32"/>
          <w:highlight w:val="none"/>
        </w:rPr>
        <w:t>服务保障工作，</w:t>
      </w:r>
      <w:r>
        <w:rPr>
          <w:rFonts w:eastAsia="仿宋_GB2312"/>
          <w:bCs/>
          <w:color w:val="auto"/>
          <w:sz w:val="32"/>
          <w:szCs w:val="32"/>
          <w:highlight w:val="none"/>
        </w:rPr>
        <w:t>接待国际青年企业家协会联盟及中国</w:t>
      </w:r>
      <w:r>
        <w:rPr>
          <w:rFonts w:ascii="仿宋_GB2312" w:hAnsi="仿宋_GB2312" w:eastAsia="仿宋_GB2312" w:cs="仿宋_GB2312"/>
          <w:color w:val="auto"/>
          <w:sz w:val="32"/>
          <w:highlight w:val="none"/>
        </w:rPr>
        <w:t>-</w:t>
      </w:r>
      <w:r>
        <w:rPr>
          <w:rFonts w:eastAsia="仿宋_GB2312"/>
          <w:bCs/>
          <w:color w:val="auto"/>
          <w:sz w:val="32"/>
          <w:szCs w:val="32"/>
          <w:highlight w:val="none"/>
        </w:rPr>
        <w:t>东盟青年企业家协会代表在朝阳参访并组织商务洽谈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，助力首都国际交往中心建设</w:t>
      </w:r>
      <w:r>
        <w:rPr>
          <w:rFonts w:eastAsia="仿宋_GB2312"/>
          <w:color w:val="auto"/>
          <w:kern w:val="0"/>
          <w:sz w:val="32"/>
          <w:highlight w:val="none"/>
        </w:rPr>
        <w:t>。</w:t>
      </w:r>
      <w:r>
        <w:rPr>
          <w:rFonts w:eastAsia="仿宋_GB2312"/>
          <w:color w:val="auto"/>
          <w:sz w:val="32"/>
          <w:highlight w:val="none"/>
        </w:rPr>
        <w:t>举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办“朝阳青年说：一起走在前”主</w:t>
      </w:r>
      <w:r>
        <w:rPr>
          <w:rFonts w:eastAsia="仿宋_GB2312"/>
          <w:color w:val="auto"/>
          <w:sz w:val="32"/>
          <w:highlight w:val="none"/>
        </w:rPr>
        <w:t>题宣讲活动，</w:t>
      </w:r>
      <w:r>
        <w:rPr>
          <w:rFonts w:hint="eastAsia" w:eastAsia="仿宋_GB2312"/>
          <w:color w:val="auto"/>
          <w:sz w:val="32"/>
          <w:highlight w:val="none"/>
        </w:rPr>
        <w:t>激发</w:t>
      </w:r>
      <w:r>
        <w:rPr>
          <w:rFonts w:eastAsia="仿宋_GB2312"/>
          <w:color w:val="auto"/>
          <w:sz w:val="32"/>
          <w:highlight w:val="none"/>
        </w:rPr>
        <w:t>青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“创新、活力、开放、自信、走在前”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的精气</w:t>
      </w:r>
      <w:r>
        <w:rPr>
          <w:rFonts w:hint="eastAsia" w:eastAsia="仿宋_GB2312"/>
          <w:color w:val="auto"/>
          <w:sz w:val="32"/>
          <w:highlight w:val="none"/>
        </w:rPr>
        <w:t>神</w:t>
      </w:r>
      <w:r>
        <w:rPr>
          <w:rFonts w:eastAsia="仿宋_GB2312"/>
          <w:color w:val="auto"/>
          <w:sz w:val="32"/>
          <w:highlight w:val="none"/>
        </w:rPr>
        <w:t>。</w:t>
      </w:r>
      <w:r>
        <w:rPr>
          <w:rFonts w:hint="eastAsia" w:eastAsia="仿宋_GB2312"/>
          <w:color w:val="auto"/>
          <w:kern w:val="0"/>
          <w:sz w:val="32"/>
          <w:highlight w:val="none"/>
        </w:rPr>
        <w:t>持续推进朝阳国际创投青年人才会客厅、国际文化原创青年</w:t>
      </w:r>
      <w:r>
        <w:rPr>
          <w:rFonts w:hint="eastAsia" w:eastAsia="仿宋_GB2312"/>
          <w:color w:val="auto"/>
          <w:kern w:val="0"/>
          <w:sz w:val="32"/>
          <w:highlight w:val="none"/>
          <w:lang w:val="en-US" w:eastAsia="zh-CN"/>
        </w:rPr>
        <w:t>人才</w:t>
      </w:r>
      <w:r>
        <w:rPr>
          <w:rFonts w:hint="eastAsia" w:eastAsia="仿宋_GB2312"/>
          <w:color w:val="auto"/>
          <w:kern w:val="0"/>
          <w:sz w:val="32"/>
          <w:highlight w:val="none"/>
        </w:rPr>
        <w:t>会客厅建设，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成立</w:t>
      </w:r>
      <w:r>
        <w:rPr>
          <w:rFonts w:hint="eastAsia" w:eastAsia="仿宋_GB2312"/>
          <w:bCs/>
          <w:color w:val="auto"/>
          <w:sz w:val="32"/>
          <w:szCs w:val="32"/>
          <w:highlight w:val="none"/>
          <w:lang w:val="en-US" w:eastAsia="zh-CN"/>
        </w:rPr>
        <w:t>朝阳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中医药青年人才会客厅，</w:t>
      </w:r>
      <w:r>
        <w:rPr>
          <w:rFonts w:hint="eastAsia" w:eastAsia="仿宋_GB2312"/>
          <w:color w:val="auto"/>
          <w:kern w:val="0"/>
          <w:sz w:val="32"/>
          <w:highlight w:val="none"/>
        </w:rPr>
        <w:t>为新质生产力发展注入人才动能。</w:t>
      </w:r>
      <w:r>
        <w:rPr>
          <w:rFonts w:hint="eastAsia" w:eastAsia="仿宋_GB2312"/>
          <w:color w:val="auto"/>
          <w:sz w:val="32"/>
          <w:szCs w:val="32"/>
          <w:highlight w:val="none"/>
        </w:rPr>
        <w:t>不断提</w:t>
      </w:r>
      <w:bookmarkStart w:id="0" w:name="_GoBack"/>
      <w:r>
        <w:rPr>
          <w:rFonts w:hint="eastAsia" w:eastAsia="仿宋_GB2312"/>
          <w:color w:val="auto"/>
          <w:sz w:val="32"/>
          <w:szCs w:val="32"/>
          <w:highlight w:val="none"/>
        </w:rPr>
        <w:t>升</w:t>
      </w:r>
      <w:bookmarkEnd w:id="0"/>
      <w:r>
        <w:rPr>
          <w:rFonts w:hint="eastAsia" w:eastAsia="仿宋_GB2312"/>
          <w:color w:val="auto"/>
          <w:sz w:val="32"/>
          <w:szCs w:val="32"/>
          <w:highlight w:val="none"/>
        </w:rPr>
        <w:t>“青春朝阳”网络宣传阵地</w:t>
      </w:r>
      <w:r>
        <w:rPr>
          <w:rFonts w:eastAsia="仿宋_GB2312"/>
          <w:color w:val="auto"/>
          <w:sz w:val="32"/>
          <w:szCs w:val="32"/>
          <w:highlight w:val="none"/>
        </w:rPr>
        <w:t>影响力</w:t>
      </w:r>
      <w:r>
        <w:rPr>
          <w:rFonts w:hint="eastAsia" w:eastAsia="仿宋_GB2312"/>
          <w:color w:val="auto"/>
          <w:sz w:val="32"/>
          <w:szCs w:val="32"/>
          <w:highlight w:val="none"/>
        </w:rPr>
        <w:t>，筑牢青年思想舆论阵地</w:t>
      </w:r>
      <w:r>
        <w:rPr>
          <w:rFonts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着力提高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团干部服务能力，通过系统化培训与服务机制优化，团干部服务青年的专业性与实效性持续提升。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发挥共青团主责为党育人职责，按时发布及核查、发放实习生岗位补贴，实习人员、实习基地单位满意率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F1EC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.产出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进度</w:t>
      </w:r>
    </w:p>
    <w:p w14:paraId="5B610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Times New Roman Regular" w:hAnsi="Times New Roman Regular" w:eastAsia="仿宋_GB2312" w:cs="Times New Roman Regular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坚持以改革增动力，促进共青团工作提质增效。</w:t>
      </w:r>
      <w:r>
        <w:rPr>
          <w:rFonts w:eastAsia="仿宋_GB2312"/>
          <w:color w:val="auto"/>
          <w:sz w:val="32"/>
          <w:szCs w:val="32"/>
        </w:rPr>
        <w:t>深入实施《朝阳共青团基层组织建设三年行动计划》</w:t>
      </w:r>
      <w:r>
        <w:rPr>
          <w:rFonts w:hint="eastAsia" w:eastAsia="仿宋_GB2312"/>
          <w:color w:val="auto"/>
          <w:sz w:val="32"/>
          <w:szCs w:val="32"/>
        </w:rPr>
        <w:t>，团</w:t>
      </w:r>
      <w:r>
        <w:rPr>
          <w:rFonts w:eastAsia="仿宋_GB2312"/>
          <w:color w:val="auto"/>
          <w:sz w:val="32"/>
          <w:szCs w:val="32"/>
        </w:rPr>
        <w:t>的组织力稳步提升。</w:t>
      </w:r>
      <w:r>
        <w:rPr>
          <w:rFonts w:hint="eastAsia" w:eastAsia="仿宋_GB2312"/>
          <w:color w:val="auto"/>
          <w:sz w:val="32"/>
          <w:szCs w:val="32"/>
        </w:rPr>
        <w:t>高标准开展党纪学习教育，进一步提升干部工作作风与干事热情。深化青联改革，加强委员履职考核，巩固新时代青年爱国统一战线。夯实全团带队职责，推进团员发展和分批入队工作，成功召开区第六次少代会。</w:t>
      </w:r>
    </w:p>
    <w:p w14:paraId="4FE96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4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产出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成本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 xml:space="preserve">   </w:t>
      </w:r>
    </w:p>
    <w:p w14:paraId="5AD1E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 xml:space="preserve">严格执行团区委财务制度，按照经费使用标准，厉行节约，规范使用。                                  </w:t>
      </w:r>
    </w:p>
    <w:p w14:paraId="499E2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（二）效果</w:t>
      </w:r>
      <w:r>
        <w:rPr>
          <w:rFonts w:ascii="楷体_GB2312" w:eastAsia="楷体_GB2312"/>
          <w:b/>
          <w:bCs/>
          <w:sz w:val="32"/>
          <w:szCs w:val="32"/>
          <w:highlight w:val="none"/>
        </w:rPr>
        <w:t>实现情况分析</w:t>
      </w:r>
    </w:p>
    <w:p w14:paraId="22E6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.经济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效益</w:t>
      </w:r>
    </w:p>
    <w:p w14:paraId="3C495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高质量完成全年工作，按时完成考核指标，节约活动等成本，确保顺利开展全年工作的基础上，降本增效。</w:t>
      </w:r>
    </w:p>
    <w:p w14:paraId="636E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.社会效益</w:t>
      </w:r>
    </w:p>
    <w:p w14:paraId="6CE23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充分发挥共青团组织动员优势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传递党和政府的关怀、团组织的关心、社会各界的温暖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。紧盯全区发展大局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切实履行好引领凝聚青年、组织动员青年、联系服务青年的职责使命,找准工作切入点、结合点、着力点。提升引领力、组织力、服务力与服务大局的贡献度。</w:t>
      </w:r>
    </w:p>
    <w:p w14:paraId="399E3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.环境效益</w:t>
      </w:r>
    </w:p>
    <w:p w14:paraId="455EC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</w:rPr>
        <w:t>深化</w:t>
      </w:r>
      <w:r>
        <w:rPr>
          <w:rFonts w:hint="eastAsia" w:eastAsia="仿宋_GB2312" w:cs="Times New Roman"/>
          <w:sz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</w:rPr>
        <w:t>美好朝阳骑士</w:t>
      </w:r>
      <w:r>
        <w:rPr>
          <w:rFonts w:hint="eastAsia" w:eastAsia="仿宋_GB2312" w:cs="Times New Roman"/>
          <w:sz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</w:rPr>
        <w:t>小河长</w:t>
      </w:r>
      <w:r>
        <w:rPr>
          <w:rFonts w:hint="eastAsia" w:eastAsia="仿宋_GB2312" w:cs="Times New Roman"/>
          <w:sz w:val="32"/>
          <w:lang w:eastAsia="zh-CN"/>
        </w:rPr>
        <w:t>”“小田长”</w:t>
      </w:r>
      <w:r>
        <w:rPr>
          <w:rFonts w:hint="default" w:ascii="Times New Roman" w:hAnsi="Times New Roman" w:eastAsia="仿宋_GB2312" w:cs="Times New Roman"/>
          <w:sz w:val="32"/>
        </w:rPr>
        <w:t>等品牌项目，组织青年有序参与超大城市治理。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 xml:space="preserve"> </w:t>
      </w:r>
    </w:p>
    <w:p w14:paraId="3CE85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4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.可持续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性影响</w:t>
      </w:r>
    </w:p>
    <w:p w14:paraId="1CF7D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积极服务青年成长发展，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持续关注青年发展、主动关心青年需求、真诚关爱青年成长，系统构建服务青年长效机制，助力青年群体实现个人价值与社会进步的统一，推动青年工作实现持久、深远的积极影响。</w:t>
      </w:r>
    </w:p>
    <w:p w14:paraId="4E2D8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5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.服务对象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满意度</w:t>
      </w:r>
    </w:p>
    <w:p w14:paraId="3E69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基层团组织、青少年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对项目的平均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满意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率</w:t>
      </w:r>
      <w:r>
        <w:rPr>
          <w:rFonts w:hint="eastAsia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达90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</w:p>
    <w:p w14:paraId="1EDC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  <w:t>析</w:t>
      </w:r>
    </w:p>
    <w:p w14:paraId="6D03A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（一）财务管理</w:t>
      </w:r>
    </w:p>
    <w:p w14:paraId="1C07C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.财务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管理制度健全性</w:t>
      </w:r>
    </w:p>
    <w:p w14:paraId="739D3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系统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市区各项财务法律、法规、制度，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严格落实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团区委财务制度，进一步提升机关、事业单位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规范化建设水平，使财务工作运转更加科学、有序。</w:t>
      </w:r>
    </w:p>
    <w:p w14:paraId="6F20F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.资金使用合规性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和安全性</w:t>
      </w:r>
    </w:p>
    <w:p w14:paraId="377F0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严格执行区财政局预算批复金额、标准，依据项目专项资金使用规定，无挤占挪用、扩大开支范围等问题。</w:t>
      </w:r>
    </w:p>
    <w:p w14:paraId="3039B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</w:pPr>
      <w:r>
        <w:rPr>
          <w:rFonts w:ascii="Times New Roman" w:hAnsi="Times New Roman" w:eastAsia="仿宋_GB2312" w:cs="宋体"/>
          <w:b/>
          <w:bCs/>
          <w:color w:val="000000"/>
          <w:kern w:val="0"/>
          <w:sz w:val="32"/>
          <w:szCs w:val="32"/>
          <w:highlight w:val="none"/>
        </w:rPr>
        <w:t>3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会计</w:t>
      </w:r>
      <w:r>
        <w:rPr>
          <w:rFonts w:ascii="仿宋_GB2312" w:hAnsi="宋体" w:eastAsia="仿宋_GB2312" w:cs="宋体"/>
          <w:b/>
          <w:bCs/>
          <w:color w:val="000000"/>
          <w:kern w:val="0"/>
          <w:sz w:val="32"/>
          <w:szCs w:val="32"/>
          <w:highlight w:val="none"/>
        </w:rPr>
        <w:t>基础信息完善性</w:t>
      </w:r>
    </w:p>
    <w:p w14:paraId="1131B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按照《会计基础工作规范》要求，配备专职会计、出纳人员，明确各岗位的职责，完善财务人员管理制度，大力支持财务人员培训，综合提升财务工作人员的素质，依法依规独立完成相应的财务工作。</w:t>
      </w:r>
    </w:p>
    <w:p w14:paraId="1C7B6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（二）资产管理</w:t>
      </w:r>
    </w:p>
    <w:p w14:paraId="4B7BE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楷体_GB2312" w:eastAsia="楷体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设立完整的固定资产总账、明细账，及时调整资产增减，每月进行固定资产折旧，每年对固定资产盘点，做到账实相符。</w:t>
      </w:r>
    </w:p>
    <w:p w14:paraId="71C46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（三）绩效</w:t>
      </w:r>
      <w:r>
        <w:rPr>
          <w:rFonts w:ascii="楷体_GB2312" w:eastAsia="楷体_GB2312"/>
          <w:b/>
          <w:bCs/>
          <w:sz w:val="32"/>
          <w:szCs w:val="32"/>
          <w:highlight w:val="none"/>
        </w:rPr>
        <w:t>管理</w:t>
      </w:r>
    </w:p>
    <w:p w14:paraId="40681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" w:leftChars="50" w:firstLine="480" w:firstLineChars="150"/>
        <w:textAlignment w:val="auto"/>
        <w:rPr>
          <w:rFonts w:ascii="楷体_GB2312" w:eastAsia="楷体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</w:t>
      </w:r>
      <w:r>
        <w:rPr>
          <w:rFonts w:hint="eastAsia" w:ascii="Times New Roman" w:hAnsi="Times New Roman" w:eastAsia="方正仿宋_GB2312" w:cs="Times New Roman"/>
          <w:b w:val="0"/>
          <w:bCs/>
          <w:kern w:val="2"/>
          <w:sz w:val="32"/>
          <w:szCs w:val="32"/>
          <w:highlight w:val="none"/>
          <w:lang w:val="en-US" w:eastAsia="zh-CN" w:bidi="ar-SA"/>
        </w:rPr>
        <w:t>主动加强绩效管理，对开展项目进行绩效评估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63362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（四）结转结余率</w:t>
      </w:r>
    </w:p>
    <w:p w14:paraId="1D9CE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楷体_GB2312" w:eastAsia="楷体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本年度无结转结余项目、资金。</w:t>
      </w:r>
    </w:p>
    <w:p w14:paraId="71E62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color w:val="ED0000"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（五）部门</w:t>
      </w:r>
      <w:r>
        <w:rPr>
          <w:rFonts w:ascii="楷体_GB2312" w:eastAsia="楷体_GB2312"/>
          <w:b/>
          <w:bCs/>
          <w:sz w:val="32"/>
          <w:szCs w:val="32"/>
          <w:highlight w:val="none"/>
        </w:rPr>
        <w:t>预决算差异率</w:t>
      </w:r>
    </w:p>
    <w:p w14:paraId="2B2F9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 w:cs="Times New Roman"/>
          <w:b w:val="0"/>
          <w:bCs/>
          <w:kern w:val="2"/>
          <w:sz w:val="32"/>
          <w:szCs w:val="32"/>
          <w:highlight w:val="none"/>
          <w:lang w:val="en-US" w:eastAsia="zh-CN" w:bidi="ar-SA"/>
        </w:rPr>
        <w:t>本部门预决算差异率为2.</w:t>
      </w:r>
      <w:r>
        <w:rPr>
          <w:rFonts w:hint="eastAsia" w:eastAsia="方正仿宋_GB2312" w:cs="Times New Roman"/>
          <w:b w:val="0"/>
          <w:bCs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Times New Roman" w:hAnsi="Times New Roman" w:eastAsia="方正仿宋_GB2312" w:cs="Times New Roman"/>
          <w:b w:val="0"/>
          <w:bCs/>
          <w:kern w:val="2"/>
          <w:sz w:val="32"/>
          <w:szCs w:val="32"/>
          <w:highlight w:val="none"/>
          <w:lang w:val="en-US" w:eastAsia="zh-CN" w:bidi="ar-SA"/>
        </w:rPr>
        <w:t>%，差异率符合财政要求，决算已通过区财政局审核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</w:rPr>
        <w:t>。</w:t>
      </w:r>
    </w:p>
    <w:p w14:paraId="38321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五、总体</w:t>
      </w:r>
      <w:r>
        <w:rPr>
          <w:rFonts w:ascii="黑体" w:hAnsi="黑体" w:eastAsia="黑体"/>
          <w:sz w:val="32"/>
          <w:szCs w:val="32"/>
          <w:highlight w:val="none"/>
        </w:rPr>
        <w:t>评价结论</w:t>
      </w:r>
    </w:p>
    <w:p w14:paraId="4E5F8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（一）评价</w:t>
      </w:r>
      <w:r>
        <w:rPr>
          <w:rFonts w:ascii="楷体_GB2312" w:eastAsia="楷体_GB2312"/>
          <w:b/>
          <w:bCs/>
          <w:sz w:val="32"/>
          <w:szCs w:val="32"/>
          <w:highlight w:val="none"/>
        </w:rPr>
        <w:t>得分</w:t>
      </w: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情况</w:t>
      </w:r>
    </w:p>
    <w:p w14:paraId="4B333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ascii="楷体_GB2312" w:eastAsia="楷体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严格执行部门绩效整体目标，按照目标制定的数量、质量、时效、成本、社会效益、服务对象满意度等方面，综合评定得分为优。</w:t>
      </w:r>
    </w:p>
    <w:p w14:paraId="00A49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2" w:firstLineChars="150"/>
        <w:rPr>
          <w:rFonts w:ascii="楷体_GB2312" w:eastAsia="楷体_GB2312"/>
          <w:b/>
          <w:bCs/>
          <w:sz w:val="32"/>
          <w:szCs w:val="32"/>
          <w:highlight w:val="none"/>
        </w:rPr>
      </w:pPr>
      <w:r>
        <w:rPr>
          <w:rFonts w:hint="eastAsia" w:ascii="楷体_GB2312" w:eastAsia="楷体_GB2312"/>
          <w:b/>
          <w:bCs/>
          <w:sz w:val="32"/>
          <w:szCs w:val="32"/>
          <w:highlight w:val="none"/>
        </w:rPr>
        <w:t>（二）存在的问题及原因分析</w:t>
      </w:r>
    </w:p>
    <w:p w14:paraId="73E2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eastAsia="仿宋_GB2312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/>
          <w:sz w:val="32"/>
          <w:szCs w:val="32"/>
          <w:highlight w:val="none"/>
        </w:rPr>
        <w:t>。</w:t>
      </w:r>
    </w:p>
    <w:p w14:paraId="5DAFD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highlight w:val="none"/>
        </w:rPr>
        <w:t>六、措施建议</w:t>
      </w:r>
    </w:p>
    <w:p w14:paraId="6A9F2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105" w:leftChars="50" w:firstLine="480" w:firstLineChars="15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54736">
    <w:pPr>
      <w:pStyle w:val="6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9B0FEE">
                          <w:pPr>
                            <w:pStyle w:val="6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9B0FEE">
                    <w:pPr>
                      <w:pStyle w:val="6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25FBD1D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1D39DF"/>
    <w:rsid w:val="00032D17"/>
    <w:rsid w:val="000A416C"/>
    <w:rsid w:val="000C2184"/>
    <w:rsid w:val="000E2174"/>
    <w:rsid w:val="00117AFE"/>
    <w:rsid w:val="00141C4F"/>
    <w:rsid w:val="001C7834"/>
    <w:rsid w:val="0023434C"/>
    <w:rsid w:val="0028523F"/>
    <w:rsid w:val="003231F1"/>
    <w:rsid w:val="003C4EBE"/>
    <w:rsid w:val="0040188D"/>
    <w:rsid w:val="0040468E"/>
    <w:rsid w:val="00465181"/>
    <w:rsid w:val="00485037"/>
    <w:rsid w:val="0051511E"/>
    <w:rsid w:val="00565D12"/>
    <w:rsid w:val="0057202C"/>
    <w:rsid w:val="00577BE9"/>
    <w:rsid w:val="005C3CF5"/>
    <w:rsid w:val="005E3946"/>
    <w:rsid w:val="005F4D13"/>
    <w:rsid w:val="0060746B"/>
    <w:rsid w:val="00607FD1"/>
    <w:rsid w:val="00677BE0"/>
    <w:rsid w:val="00694016"/>
    <w:rsid w:val="006954D6"/>
    <w:rsid w:val="006A29E9"/>
    <w:rsid w:val="006B775C"/>
    <w:rsid w:val="006C1F45"/>
    <w:rsid w:val="007734A2"/>
    <w:rsid w:val="007E75D6"/>
    <w:rsid w:val="008255C8"/>
    <w:rsid w:val="00826643"/>
    <w:rsid w:val="0086397D"/>
    <w:rsid w:val="0088234F"/>
    <w:rsid w:val="008A671B"/>
    <w:rsid w:val="008B245C"/>
    <w:rsid w:val="0093537C"/>
    <w:rsid w:val="00954F6E"/>
    <w:rsid w:val="009D5A7B"/>
    <w:rsid w:val="009E0A9A"/>
    <w:rsid w:val="00AC1F21"/>
    <w:rsid w:val="00AF2C6D"/>
    <w:rsid w:val="00B03B70"/>
    <w:rsid w:val="00B05EAF"/>
    <w:rsid w:val="00B912B3"/>
    <w:rsid w:val="00B9172C"/>
    <w:rsid w:val="00BF63B8"/>
    <w:rsid w:val="00C14563"/>
    <w:rsid w:val="00CD2D14"/>
    <w:rsid w:val="00CF07EE"/>
    <w:rsid w:val="00D11394"/>
    <w:rsid w:val="00D134D6"/>
    <w:rsid w:val="00D35C06"/>
    <w:rsid w:val="00D43261"/>
    <w:rsid w:val="00D54F7D"/>
    <w:rsid w:val="00D727D0"/>
    <w:rsid w:val="00D85627"/>
    <w:rsid w:val="00DA1B83"/>
    <w:rsid w:val="00DA3AC5"/>
    <w:rsid w:val="00DA7302"/>
    <w:rsid w:val="00E52F8D"/>
    <w:rsid w:val="00E617B2"/>
    <w:rsid w:val="00EA33AD"/>
    <w:rsid w:val="00EE5981"/>
    <w:rsid w:val="00EF5489"/>
    <w:rsid w:val="00F370C0"/>
    <w:rsid w:val="00F42C33"/>
    <w:rsid w:val="00F43515"/>
    <w:rsid w:val="00F83004"/>
    <w:rsid w:val="09983CFB"/>
    <w:rsid w:val="17F35B20"/>
    <w:rsid w:val="1B3B3CBE"/>
    <w:rsid w:val="1F844EE2"/>
    <w:rsid w:val="30B37D84"/>
    <w:rsid w:val="30E97669"/>
    <w:rsid w:val="324B1493"/>
    <w:rsid w:val="33276D61"/>
    <w:rsid w:val="38136171"/>
    <w:rsid w:val="4B4B4734"/>
    <w:rsid w:val="500A4663"/>
    <w:rsid w:val="53CB1124"/>
    <w:rsid w:val="5B1D39DF"/>
    <w:rsid w:val="5B9C5154"/>
    <w:rsid w:val="5D193C88"/>
    <w:rsid w:val="6E0E5CF7"/>
    <w:rsid w:val="725E75C2"/>
    <w:rsid w:val="7C57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Body Text"/>
    <w:basedOn w:val="1"/>
    <w:next w:val="4"/>
    <w:qFormat/>
    <w:uiPriority w:val="0"/>
    <w:pPr>
      <w:adjustRightInd w:val="0"/>
      <w:spacing w:line="520" w:lineRule="exact"/>
      <w:textAlignment w:val="baseline"/>
    </w:pPr>
    <w:rPr>
      <w:rFonts w:ascii="仿宋_GB2312" w:eastAsia="仿宋_GB2312"/>
      <w:snapToGrid w:val="0"/>
      <w:kern w:val="0"/>
      <w:sz w:val="30"/>
      <w:szCs w:val="20"/>
    </w:rPr>
  </w:style>
  <w:style w:type="paragraph" w:customStyle="1" w:styleId="4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框文本 字符"/>
    <w:basedOn w:val="9"/>
    <w:link w:val="5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2697</Words>
  <Characters>2799</Characters>
  <Lines>1</Lines>
  <Paragraphs>6</Paragraphs>
  <TotalTime>5</TotalTime>
  <ScaleCrop>false</ScaleCrop>
  <LinksUpToDate>false</LinksUpToDate>
  <CharactersWithSpaces>2837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2024-03-15T03:02:00Z</dcterms:created>
  <dc:creator>Administrator</dc:creator>
  <cp:lastModifiedBy>维尼</cp:lastModifiedBy>
  <cp:lastPrinted>2025-09-09T03:16:00Z</cp:lastPrinted>
  <dcterms:modified xsi:type="dcterms:W3CDTF">2025-09-09T07:45:01Z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3981831BD7724F9D8034D54E7A56C62B_13</vt:lpwstr>
  </property>
  <property fmtid="{D5CDD505-2E9C-101B-9397-08002B2CF9AE}" pid="4" name="KSOTemplateDocerSaveRecord">
    <vt:lpwstr>eyJoZGlkIjoiOGM2Yzg2N2NhMjA4OTcxZjkzYmI5MzY4NGU3YTRhMzYiLCJ1c2VySWQiOiIyNTA1MDAzMTgifQ==</vt:lpwstr>
  </property>
</Properties>
</file>