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黑体" w:hAnsi="黑体" w:eastAsia="黑体" w:cs="黑体"/>
          <w:sz w:val="32"/>
          <w:szCs w:val="32"/>
        </w:rPr>
      </w:pPr>
    </w:p>
    <w:p>
      <w:pPr>
        <w:spacing w:line="480" w:lineRule="exact"/>
        <w:rPr>
          <w:rFonts w:ascii="方正小标宋简体" w:eastAsia="方正小标宋简体"/>
          <w:sz w:val="36"/>
          <w:szCs w:val="36"/>
        </w:rPr>
      </w:pPr>
      <w:r>
        <w:rPr>
          <w:rFonts w:hint="eastAsia" w:ascii="黑体" w:hAnsi="黑体" w:eastAsia="黑体"/>
          <w:sz w:val="32"/>
          <w:szCs w:val="32"/>
        </w:rPr>
        <w:t>附件3</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楷体_GB2312" w:eastAsia="楷体_GB2312"/>
          <w:sz w:val="32"/>
          <w:szCs w:val="32"/>
        </w:rPr>
      </w:pPr>
      <w:r>
        <w:rPr>
          <w:rFonts w:hint="eastAsia" w:ascii="仿宋_GB2312" w:hAnsi="仿宋_GB2312" w:eastAsia="仿宋_GB2312" w:cs="仿宋_GB2312"/>
          <w:b w:val="0"/>
          <w:bCs w:val="0"/>
          <w:sz w:val="32"/>
          <w:szCs w:val="32"/>
        </w:rPr>
        <w:t>我局纳入预算编制共计8个单位，其中行政机关1个，</w:t>
      </w: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b w:val="0"/>
          <w:bCs w:val="0"/>
          <w:sz w:val="32"/>
          <w:szCs w:val="32"/>
          <w:lang w:val="en-US" w:eastAsia="zh-CN"/>
        </w:rPr>
        <w:t>朝阳区体育局机关；</w:t>
      </w:r>
      <w:r>
        <w:rPr>
          <w:rFonts w:hint="eastAsia" w:ascii="仿宋_GB2312" w:hAnsi="仿宋_GB2312" w:eastAsia="仿宋_GB2312" w:cs="仿宋_GB2312"/>
          <w:b w:val="0"/>
          <w:bCs w:val="0"/>
          <w:sz w:val="32"/>
          <w:szCs w:val="32"/>
        </w:rPr>
        <w:t>全额事业单位</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个</w:t>
      </w:r>
      <w:r>
        <w:rPr>
          <w:rFonts w:hint="eastAsia" w:ascii="仿宋_GB2312" w:hAnsi="仿宋_GB2312" w:eastAsia="仿宋_GB2312" w:cs="仿宋_GB2312"/>
          <w:b w:val="0"/>
          <w:bCs w:val="0"/>
          <w:sz w:val="32"/>
          <w:szCs w:val="32"/>
          <w:lang w:eastAsia="zh-CN"/>
        </w:rPr>
        <w:t>，包括朝阳区第一少儿业余体校，朝阳区第二少儿业余体校，朝阳区第三少儿业余体校，朝阳区社会体育管理中心，朝阳区体育产业管理中心，朝阳区体育科研所；差额事业单位</w:t>
      </w:r>
      <w:r>
        <w:rPr>
          <w:rFonts w:hint="eastAsia" w:ascii="仿宋_GB2312" w:hAnsi="仿宋_GB2312" w:eastAsia="仿宋_GB2312" w:cs="仿宋_GB2312"/>
          <w:b w:val="0"/>
          <w:bCs w:val="0"/>
          <w:sz w:val="32"/>
          <w:szCs w:val="32"/>
          <w:lang w:val="en-US" w:eastAsia="zh-CN"/>
        </w:rPr>
        <w:t>1个，为朝阳区体育场馆中心</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lang w:val="en-US" w:eastAsia="zh-CN"/>
        </w:rPr>
        <w:t>2023年全局年末实有行政人员26人、工勤1人、离休人员2人，事业单位170人。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楷体_GB2312" w:eastAsia="楷体_GB2312"/>
          <w:sz w:val="32"/>
          <w:szCs w:val="32"/>
        </w:rPr>
      </w:pPr>
      <w:r>
        <w:rPr>
          <w:rFonts w:hint="eastAsia" w:eastAsia="仿宋_GB2312"/>
          <w:b w:val="0"/>
          <w:bCs w:val="0"/>
          <w:sz w:val="32"/>
          <w:szCs w:val="32"/>
          <w:lang w:eastAsia="zh-CN"/>
        </w:rPr>
        <w:t>主要职责：</w:t>
      </w:r>
      <w:r>
        <w:rPr>
          <w:rFonts w:eastAsia="仿宋_GB2312"/>
          <w:b w:val="0"/>
          <w:bCs w:val="0"/>
          <w:sz w:val="32"/>
          <w:szCs w:val="32"/>
        </w:rPr>
        <w:t>贯彻执行党和国家关于体育工作的方针、政策和法律、法规、规章，研究拟订本区体育工作制度，制定和实施本区体育事业发展规划和政策，协调本区区域性体育发展，统筹规划群众体育、推行全民健身计划，推动本区国民体质监测的建设，指导、监督管理本区公共体育设施的建设，统筹规划竞技体育业余发展训练和青少年体育发展，培育、引导和扶持本区体育产业，审批区域内全民健身指导站的设立，审批体育类民办非企业设立和高危体育运动项目经营单位的资格；组织协调以区体育局名义举办的重大体育竞赛活动，管理本区体育外事有关工作，组织本区体育领域的科技研究、调查研究和成果推广工作，负责全区性体育社会团体的资格审查和业务管理工作，对本区体育运动项目经营单位的安全生产行业实施监管、承担责任，承办区政府交办的其他事项。</w:t>
      </w:r>
    </w:p>
    <w:p>
      <w:pPr>
        <w:numPr>
          <w:ilvl w:val="0"/>
          <w:numId w:val="1"/>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部门整体绩效目标设立情况。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部门整体绩效目标：</w:t>
      </w:r>
      <w:r>
        <w:rPr>
          <w:rFonts w:hint="eastAsia" w:ascii="仿宋_GB2312" w:hAnsi="仿宋_GB2312" w:eastAsia="仿宋_GB2312" w:cs="仿宋_GB2312"/>
          <w:sz w:val="32"/>
          <w:szCs w:val="32"/>
        </w:rPr>
        <w:t xml:space="preserve">通过开展全民健身场地设施建设与管理、健身队伍打造、健身活动开展、健身培训、科学健身宣传、健身指导、健身文化普及、健身研讨、社会体育指导员培训、体育协会赛事、开展国民体质监测、体教融合、体卫融合、体旅融合、推动全民健身交流等不断满足群众多元化健身需求，不断提升公共体育服务水平，提高朝阳区群众身体素质和健康水平，推动群众体育繁荣发展，促进地区经济建设和社会发展；全面落实“健康第一”理念，深入推进体教融合创新发展，进一步加大我区青少年体育公共服务体系的政府投入力度，继续支持具备基础的项目开展区级联赛，实施“双奥朝阳”经典赛事打造计划，完善中小学体育竞赛体系，通过比赛不断提高这些项目在青少年中的影响力，以赛促练增加目标人群与运动项目之间的关联性，积极发挥青少年体育竞赛的示范引领作用，同时鼓励学校及社会团体组织各种类型的推广展示和竞赛活动，不断丰富青少年体育活动的组织形式，培养我区中小学生拥有陪伴终身的体育爱好；监督全区体育经营单位落实安全生产主体责任，组织引导体育经营单位开展应急演练、隐患排查、安全培训等工作，力争全年无安全生产责任事故发生，做好体育设施规划管理，开展法规、政策宣传培训工作，完成行政许可、对区域体育经营单位进行行业管理、监督检查等各项工作；围绕“培养体育后备人才”目标，布局多个体育项目，组织学生每年外出集训、外出参加比赛，承办、协办、组织相关赛事，为运动员正常训练及赛事所需提供线上促训、测试、康复理疗、营养保障等，进一步提高各训练项目的影响力和知名度，不断增加训练人数，全面塑造运动员健全的人格，为体育强国输送更多体育后备人才；通过朝阳区体育健身休闲公园的恢复建设，在保证现有场地继续作为国家重大活动保障场地的同时，增加体育设施建设，有效提升公园体育服务的多元化，适应各方面的体育健身需要；为加快体育产业发展、规范体育服务管理做好后勤保障，确保各项工作顺利、圆满地完成。 </w:t>
      </w:r>
    </w:p>
    <w:p>
      <w:pPr>
        <w:pStyle w:val="9"/>
        <w:keepNext w:val="0"/>
        <w:keepLines w:val="0"/>
        <w:pageBreakBefore w:val="0"/>
        <w:widowControl w:val="0"/>
        <w:kinsoku/>
        <w:wordWrap/>
        <w:overflowPunct/>
        <w:topLinePunct w:val="0"/>
        <w:autoSpaceDE/>
        <w:autoSpaceDN/>
        <w:bidi w:val="0"/>
        <w:adjustRightInd/>
        <w:snapToGrid/>
        <w:spacing w:line="360" w:lineRule="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绩效目标设立依据及合理性分析如下：</w:t>
      </w:r>
    </w:p>
    <w:p>
      <w:pPr>
        <w:pStyle w:val="9"/>
        <w:keepNext w:val="0"/>
        <w:keepLines w:val="0"/>
        <w:pageBreakBefore w:val="0"/>
        <w:widowControl w:val="0"/>
        <w:kinsoku/>
        <w:wordWrap/>
        <w:overflowPunct/>
        <w:topLinePunct w:val="0"/>
        <w:autoSpaceDE/>
        <w:autoSpaceDN/>
        <w:bidi w:val="0"/>
        <w:adjustRightInd/>
        <w:snapToGrid/>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群众体育方面，</w:t>
      </w:r>
      <w:r>
        <w:rPr>
          <w:rFonts w:hint="eastAsia" w:ascii="仿宋_GB2312" w:hAnsi="仿宋_GB2312" w:eastAsia="仿宋_GB2312" w:cs="仿宋_GB2312"/>
          <w:sz w:val="32"/>
          <w:szCs w:val="32"/>
          <w:lang w:val="en-US" w:eastAsia="zh-CN"/>
        </w:rPr>
        <w:t>根据《“健康中国2030”规划纲要》《体育强国建设纲要》等党中央、国务院对体育工作的一系列指示精神，依据《北京市“十四五”时期体育发展规划纲要》和《北京市朝阳区国民经济和社会发展第十四个五年规划和二〇三五年远景目标纲要》《北京市全民健身实施计划（2021-2025年）》，实施全民健身和推进健康中国建设的国家战略，在全区开展全民健身场地设施建设与管理、健身队伍打造、健身活动开展、健身培训、健身指导、健身文化普及、健身研讨、体旅融合等工作。坚持把补齐群众健身需求短板作为“硬指标”，充分利用区域体育资源等手段，为广大群众提供更加完善的全民健身公共服务，使群众不断受益。</w:t>
      </w:r>
      <w:r>
        <w:rPr>
          <w:rFonts w:hint="eastAsia" w:ascii="仿宋_GB2312" w:hAnsi="仿宋_GB2312" w:eastAsia="仿宋_GB2312" w:cs="仿宋_GB2312"/>
          <w:sz w:val="32"/>
          <w:szCs w:val="32"/>
        </w:rPr>
        <w:t>根据举办培训及比赛的性质、场次、人员参与情况、成本等方面设立绩效目标，培训及比赛完成后统计场次、群众的热情度与参与度并与绩效目标进行对比，来观察项目的进展情况。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sz w:val="32"/>
          <w:szCs w:val="32"/>
          <w:lang w:eastAsia="zh-CN"/>
        </w:rPr>
        <w:t>竞技体育方面，</w:t>
      </w:r>
      <w:r>
        <w:rPr>
          <w:rFonts w:hint="eastAsia" w:ascii="仿宋_GB2312" w:hAnsi="仿宋_GB2312" w:eastAsia="仿宋_GB2312" w:cs="仿宋_GB2312"/>
          <w:sz w:val="32"/>
          <w:szCs w:val="32"/>
          <w:lang w:val="en-US" w:eastAsia="zh-CN"/>
        </w:rPr>
        <w:t>为扩大重点项目的普及程度，提高青少年参与体育培训的热情，巩固我区青少年运动人口，组织各项目的区级联赛，逐渐形成朝阳区青少年专业体育培训的系列赛事品牌。</w:t>
      </w:r>
      <w:r>
        <w:rPr>
          <w:rFonts w:hint="eastAsia" w:ascii="仿宋_GB2312" w:hAnsi="仿宋_GB2312" w:eastAsia="仿宋_GB2312" w:cs="仿宋_GB2312"/>
          <w:color w:val="000000"/>
          <w:kern w:val="0"/>
          <w:sz w:val="32"/>
          <w:szCs w:val="32"/>
        </w:rPr>
        <w:t>2023年</w:t>
      </w:r>
      <w:r>
        <w:rPr>
          <w:rFonts w:hint="eastAsia" w:ascii="仿宋_GB2312" w:hAnsi="仿宋_GB2312" w:eastAsia="仿宋_GB2312" w:cs="仿宋_GB2312"/>
          <w:color w:val="000000"/>
          <w:kern w:val="0"/>
          <w:sz w:val="32"/>
          <w:szCs w:val="32"/>
          <w:lang w:eastAsia="zh-CN"/>
        </w:rPr>
        <w:t>体</w:t>
      </w:r>
      <w:r>
        <w:rPr>
          <w:rFonts w:hint="eastAsia" w:ascii="仿宋_GB2312" w:hAnsi="仿宋_GB2312" w:eastAsia="仿宋_GB2312" w:cs="仿宋_GB2312"/>
          <w:color w:val="000000"/>
          <w:kern w:val="0"/>
          <w:sz w:val="32"/>
          <w:szCs w:val="32"/>
        </w:rPr>
        <w:t>校不断深化体教融合,采取多方式的训练形式,不断提高</w:t>
      </w:r>
      <w:r>
        <w:rPr>
          <w:rFonts w:hint="eastAsia" w:ascii="仿宋_GB2312" w:hAnsi="仿宋_GB2312" w:eastAsia="仿宋_GB2312" w:cs="仿宋_GB2312"/>
          <w:color w:val="000000"/>
          <w:kern w:val="0"/>
          <w:sz w:val="32"/>
          <w:szCs w:val="32"/>
          <w:lang w:eastAsia="zh-CN"/>
        </w:rPr>
        <w:t>体校</w:t>
      </w:r>
      <w:r>
        <w:rPr>
          <w:rFonts w:hint="eastAsia" w:ascii="仿宋_GB2312" w:hAnsi="仿宋_GB2312" w:eastAsia="仿宋_GB2312" w:cs="仿宋_GB2312"/>
          <w:color w:val="000000"/>
          <w:kern w:val="0"/>
          <w:sz w:val="32"/>
          <w:szCs w:val="32"/>
        </w:rPr>
        <w:t>青少年运动员的竞技水平</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紧紧围绕</w:t>
      </w:r>
      <w:r>
        <w:rPr>
          <w:rFonts w:hint="eastAsia" w:ascii="仿宋_GB2312" w:hAnsi="仿宋_GB2312" w:eastAsia="仿宋_GB2312" w:cs="仿宋_GB2312"/>
          <w:color w:val="000000"/>
          <w:kern w:val="0"/>
          <w:sz w:val="32"/>
          <w:szCs w:val="32"/>
          <w:lang w:eastAsia="zh-CN"/>
        </w:rPr>
        <w:t>体校</w:t>
      </w:r>
      <w:r>
        <w:rPr>
          <w:rFonts w:hint="eastAsia" w:ascii="仿宋_GB2312" w:hAnsi="仿宋_GB2312" w:eastAsia="仿宋_GB2312" w:cs="仿宋_GB2312"/>
          <w:color w:val="000000"/>
          <w:kern w:val="0"/>
          <w:sz w:val="32"/>
          <w:szCs w:val="32"/>
        </w:rPr>
        <w:t>职能职责、培养体育后备人才这一中心来设立整体绩效目标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完善各项目管理制度，抓管理，明纪律，组织好各项目2023年全年的日常训练、比赛及外出集训工作，组织教练员培训，提高教练员综合能力素质。逐步建立年龄层次衔接、训练规模合理的后备人才队伍，全力</w:t>
      </w:r>
      <w:r>
        <w:rPr>
          <w:rFonts w:hint="eastAsia" w:ascii="仿宋_GB2312" w:hAnsi="仿宋_GB2312" w:eastAsia="仿宋_GB2312" w:cs="仿宋_GB2312"/>
          <w:color w:val="000000"/>
          <w:kern w:val="0"/>
          <w:sz w:val="32"/>
          <w:szCs w:val="32"/>
        </w:rPr>
        <w:t>备战第一届学青会和2023年北京市锦标赛、北京市第二届冬运会</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rPr>
        <w:t>相关工作。</w:t>
      </w:r>
      <w:r>
        <w:rPr>
          <w:rFonts w:hint="eastAsia" w:ascii="仿宋_GB2312" w:hAnsi="仿宋_GB2312" w:eastAsia="仿宋_GB2312" w:cs="仿宋_GB2312"/>
          <w:color w:val="000000"/>
          <w:kern w:val="0"/>
          <w:sz w:val="32"/>
          <w:szCs w:val="32"/>
          <w:lang w:eastAsia="zh-CN"/>
        </w:rPr>
        <w:t>科研所</w:t>
      </w:r>
      <w:r>
        <w:rPr>
          <w:rFonts w:hint="eastAsia" w:ascii="仿宋_GB2312" w:hAnsi="仿宋_GB2312" w:eastAsia="仿宋_GB2312" w:cs="仿宋_GB2312"/>
          <w:sz w:val="32"/>
          <w:szCs w:val="32"/>
        </w:rPr>
        <w:t>根据三所体校在日常训练以及各项比赛中，对测试、康复、选材等需求设立绩效目标，并在服务完成后及时与三所体校进行沟通，了解教练员、运动员的满意度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体育市场方面，</w:t>
      </w:r>
      <w:r>
        <w:rPr>
          <w:rFonts w:hint="eastAsia" w:ascii="仿宋_GB2312" w:hAnsi="仿宋_GB2312" w:eastAsia="仿宋_GB2312" w:cs="仿宋_GB2312"/>
          <w:color w:val="000000"/>
          <w:kern w:val="0"/>
          <w:sz w:val="32"/>
          <w:szCs w:val="32"/>
          <w:lang w:val="en-US" w:eastAsia="zh-CN"/>
        </w:rPr>
        <w:t>2023年度</w:t>
      </w:r>
      <w:r>
        <w:rPr>
          <w:rFonts w:hint="eastAsia" w:ascii="仿宋_GB2312" w:hAnsi="仿宋_GB2312" w:eastAsia="仿宋_GB2312" w:cs="仿宋_GB2312"/>
          <w:color w:val="000000"/>
          <w:kern w:val="0"/>
          <w:sz w:val="32"/>
          <w:szCs w:val="32"/>
        </w:rPr>
        <w:t>体育市场管理工作</w:t>
      </w:r>
      <w:r>
        <w:rPr>
          <w:rFonts w:hint="eastAsia" w:ascii="仿宋_GB2312" w:hAnsi="仿宋_GB2312" w:eastAsia="仿宋_GB2312" w:cs="仿宋_GB2312"/>
          <w:color w:val="000000"/>
          <w:kern w:val="0"/>
          <w:sz w:val="32"/>
          <w:szCs w:val="32"/>
          <w:lang w:eastAsia="zh-CN"/>
        </w:rPr>
        <w:t>包括</w:t>
      </w:r>
      <w:r>
        <w:rPr>
          <w:rFonts w:hint="eastAsia" w:ascii="仿宋_GB2312" w:hAnsi="仿宋_GB2312" w:eastAsia="仿宋_GB2312" w:cs="仿宋_GB2312"/>
          <w:color w:val="000000"/>
          <w:kern w:val="0"/>
          <w:sz w:val="32"/>
          <w:szCs w:val="32"/>
        </w:rPr>
        <w:t>区域内体育设施的管理、登记注册</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对区域内体育经营项目、经营单位实施监督管理</w:t>
      </w:r>
      <w:r>
        <w:rPr>
          <w:rFonts w:hint="eastAsia" w:ascii="仿宋_GB2312" w:hAnsi="仿宋_GB2312" w:eastAsia="仿宋_GB2312" w:cs="仿宋_GB2312"/>
          <w:color w:val="000000"/>
          <w:kern w:val="0"/>
          <w:sz w:val="32"/>
          <w:szCs w:val="32"/>
          <w:lang w:eastAsia="zh-CN"/>
        </w:rPr>
        <w:t>，对</w:t>
      </w:r>
      <w:r>
        <w:rPr>
          <w:rFonts w:hint="eastAsia" w:ascii="仿宋_GB2312" w:hAnsi="仿宋_GB2312" w:eastAsia="仿宋_GB2312" w:cs="仿宋_GB2312"/>
          <w:color w:val="000000"/>
          <w:kern w:val="0"/>
          <w:sz w:val="32"/>
          <w:szCs w:val="32"/>
        </w:rPr>
        <w:t>高危险性体育运动项目经营单位</w:t>
      </w:r>
      <w:r>
        <w:rPr>
          <w:rFonts w:hint="eastAsia" w:ascii="仿宋_GB2312" w:hAnsi="仿宋_GB2312" w:eastAsia="仿宋_GB2312" w:cs="仿宋_GB2312"/>
          <w:color w:val="000000"/>
          <w:kern w:val="0"/>
          <w:sz w:val="32"/>
          <w:szCs w:val="32"/>
          <w:lang w:eastAsia="zh-CN"/>
        </w:rPr>
        <w:t>进行</w:t>
      </w:r>
      <w:r>
        <w:rPr>
          <w:rFonts w:hint="eastAsia" w:ascii="仿宋_GB2312" w:hAnsi="仿宋_GB2312" w:eastAsia="仿宋_GB2312" w:cs="仿宋_GB2312"/>
          <w:color w:val="000000"/>
          <w:kern w:val="0"/>
          <w:sz w:val="32"/>
          <w:szCs w:val="32"/>
        </w:rPr>
        <w:t>审批</w:t>
      </w:r>
      <w:r>
        <w:rPr>
          <w:rFonts w:hint="eastAsia" w:ascii="仿宋_GB2312" w:hAnsi="仿宋_GB2312" w:eastAsia="仿宋_GB2312" w:cs="仿宋_GB2312"/>
          <w:color w:val="000000"/>
          <w:kern w:val="0"/>
          <w:sz w:val="32"/>
          <w:szCs w:val="32"/>
          <w:lang w:eastAsia="zh-CN"/>
        </w:rPr>
        <w:t>和</w:t>
      </w:r>
      <w:r>
        <w:rPr>
          <w:rFonts w:hint="eastAsia" w:ascii="仿宋_GB2312" w:hAnsi="仿宋_GB2312" w:eastAsia="仿宋_GB2312" w:cs="仿宋_GB2312"/>
          <w:color w:val="000000"/>
          <w:kern w:val="0"/>
          <w:sz w:val="32"/>
          <w:szCs w:val="32"/>
        </w:rPr>
        <w:t>监督检查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培育、引导和扶持本区体育产业规范体育服务管理。重大项目前期谋划经费依据重大项目</w:t>
      </w:r>
      <w:r>
        <w:rPr>
          <w:rFonts w:hint="eastAsia" w:ascii="仿宋_GB2312" w:hAnsi="仿宋_GB2312" w:eastAsia="仿宋_GB2312" w:cs="仿宋_GB2312"/>
          <w:color w:val="000000"/>
          <w:kern w:val="0"/>
          <w:sz w:val="32"/>
          <w:szCs w:val="32"/>
          <w:lang w:eastAsia="zh-CN"/>
        </w:rPr>
        <w:t>经费预算</w:t>
      </w:r>
      <w:r>
        <w:rPr>
          <w:rFonts w:hint="eastAsia" w:ascii="仿宋_GB2312" w:hAnsi="仿宋_GB2312" w:eastAsia="仿宋_GB2312" w:cs="仿宋_GB2312"/>
          <w:color w:val="000000"/>
          <w:kern w:val="0"/>
          <w:sz w:val="32"/>
          <w:szCs w:val="32"/>
        </w:rPr>
        <w:t>政策，大力推进全民健身，全力提升竞技体育发展水平,到2025年，建设一所集小学、初中、高中为一体的全日制体育运动学校的工作目标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青少年校外体育培训机构网上管理信评系统</w:t>
      </w:r>
      <w:r>
        <w:rPr>
          <w:rFonts w:hint="eastAsia" w:ascii="仿宋_GB2312" w:hAnsi="仿宋_GB2312" w:eastAsia="仿宋_GB2312" w:cs="仿宋_GB2312"/>
          <w:color w:val="000000"/>
          <w:kern w:val="0"/>
          <w:sz w:val="32"/>
          <w:szCs w:val="32"/>
          <w:lang w:eastAsia="zh-CN"/>
        </w:rPr>
        <w:t>经费</w:t>
      </w:r>
      <w:r>
        <w:rPr>
          <w:rFonts w:hint="eastAsia" w:ascii="仿宋_GB2312" w:hAnsi="仿宋_GB2312" w:eastAsia="仿宋_GB2312" w:cs="仿宋_GB2312"/>
          <w:color w:val="000000"/>
          <w:kern w:val="0"/>
          <w:sz w:val="32"/>
          <w:szCs w:val="32"/>
        </w:rPr>
        <w:t>依据青少年校外体育培训</w:t>
      </w:r>
      <w:r>
        <w:rPr>
          <w:rFonts w:hint="eastAsia" w:ascii="仿宋_GB2312" w:hAnsi="仿宋_GB2312" w:eastAsia="仿宋_GB2312" w:cs="仿宋_GB2312"/>
          <w:color w:val="000000"/>
          <w:kern w:val="0"/>
          <w:sz w:val="32"/>
          <w:szCs w:val="32"/>
          <w:lang w:eastAsia="zh-CN"/>
        </w:rPr>
        <w:t>前置审查经费预算</w:t>
      </w:r>
      <w:r>
        <w:rPr>
          <w:rFonts w:hint="eastAsia" w:ascii="仿宋_GB2312" w:hAnsi="仿宋_GB2312" w:eastAsia="仿宋_GB2312" w:cs="仿宋_GB2312"/>
          <w:color w:val="000000"/>
          <w:kern w:val="0"/>
          <w:sz w:val="32"/>
          <w:szCs w:val="32"/>
        </w:rPr>
        <w:t>政策，</w:t>
      </w:r>
      <w:r>
        <w:rPr>
          <w:rFonts w:hint="eastAsia" w:ascii="仿宋_GB2312" w:hAnsi="仿宋_GB2312" w:eastAsia="仿宋_GB2312" w:cs="仿宋_GB2312"/>
          <w:color w:val="000000"/>
          <w:kern w:val="0"/>
          <w:sz w:val="32"/>
          <w:szCs w:val="32"/>
          <w:lang w:eastAsia="zh-CN"/>
        </w:rPr>
        <w:t>严格通过</w:t>
      </w:r>
      <w:r>
        <w:rPr>
          <w:rFonts w:hint="eastAsia" w:ascii="仿宋_GB2312" w:hAnsi="仿宋_GB2312" w:eastAsia="仿宋_GB2312" w:cs="仿宋_GB2312"/>
          <w:color w:val="000000"/>
          <w:kern w:val="0"/>
          <w:sz w:val="32"/>
          <w:szCs w:val="32"/>
        </w:rPr>
        <w:t>网上管理信评系统</w:t>
      </w:r>
      <w:r>
        <w:rPr>
          <w:rFonts w:hint="eastAsia" w:ascii="仿宋_GB2312" w:hAnsi="仿宋_GB2312" w:eastAsia="仿宋_GB2312" w:cs="仿宋_GB2312"/>
          <w:color w:val="000000"/>
          <w:kern w:val="0"/>
          <w:sz w:val="32"/>
          <w:szCs w:val="32"/>
          <w:lang w:eastAsia="zh-CN"/>
        </w:rPr>
        <w:t>做好</w:t>
      </w:r>
      <w:r>
        <w:rPr>
          <w:rFonts w:hint="eastAsia" w:ascii="仿宋_GB2312" w:hAnsi="仿宋_GB2312" w:eastAsia="仿宋_GB2312" w:cs="仿宋_GB2312"/>
          <w:color w:val="000000"/>
          <w:kern w:val="0"/>
          <w:sz w:val="32"/>
          <w:szCs w:val="32"/>
        </w:rPr>
        <w:t>青少年校外体育培训</w:t>
      </w:r>
      <w:r>
        <w:rPr>
          <w:rFonts w:hint="eastAsia" w:ascii="仿宋_GB2312" w:hAnsi="仿宋_GB2312" w:eastAsia="仿宋_GB2312" w:cs="仿宋_GB2312"/>
          <w:color w:val="000000"/>
          <w:kern w:val="0"/>
          <w:sz w:val="32"/>
          <w:szCs w:val="32"/>
          <w:lang w:eastAsia="zh-CN"/>
        </w:rPr>
        <w:t>监督和管理工作。</w:t>
      </w:r>
      <w:r>
        <w:rPr>
          <w:rFonts w:hint="eastAsia" w:ascii="仿宋_GB2312" w:hAnsi="仿宋_GB2312" w:eastAsia="仿宋_GB2312" w:cs="仿宋_GB2312"/>
          <w:sz w:val="32"/>
          <w:szCs w:val="32"/>
        </w:rPr>
        <w:t>按照《朝阳区关于健全完善接诉即办工作机制的实施意见》、《2022年度北京市接诉即办考核办法》，完成体育行业行政监管范围内群众合理诉求的处置工作，同时对预付式消费类市场监管纠纷积极介入调处，履行行业维稳责任。根据接诉即办工作实际情况，通过政府购买服务，要求第三方在配合我局承投诉案件时，派出13名工作人员，完成工单签收、分派、受理、调解、反馈等工作，达到快速及时办理的标准，提供全年24小时*7天不间断响应，通过各项服务的开展，切实有效提升我局三率指标。</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体育产业方面，</w:t>
      </w:r>
      <w:r>
        <w:rPr>
          <w:rFonts w:hint="eastAsia" w:ascii="仿宋_GB2312" w:hAnsi="仿宋_GB2312" w:eastAsia="仿宋_GB2312" w:cs="仿宋_GB2312"/>
          <w:sz w:val="32"/>
          <w:szCs w:val="32"/>
        </w:rPr>
        <w:t>根据相关工作精神，为加快体育产业发展，规范体育服务管理，做好后勤保障，确保各项工作顺利、圆满的完成，保障体育产业管理中心正常运营保障等工作要求设立绩效目标</w:t>
      </w:r>
      <w:r>
        <w:rPr>
          <w:rFonts w:hint="eastAsia" w:ascii="仿宋_GB2312" w:hAnsi="仿宋_GB2312" w:eastAsia="仿宋_GB2312" w:cs="仿宋_GB2312"/>
          <w:sz w:val="32"/>
          <w:szCs w:val="32"/>
          <w:lang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体育场馆方面，</w:t>
      </w:r>
      <w:r>
        <w:rPr>
          <w:rFonts w:hint="eastAsia" w:ascii="仿宋_GB2312" w:hAnsi="仿宋_GB2312" w:eastAsia="仿宋_GB2312" w:cs="仿宋_GB2312"/>
          <w:sz w:val="32"/>
          <w:szCs w:val="32"/>
          <w:lang w:val="en-US" w:eastAsia="zh-CN"/>
        </w:rPr>
        <w:t>根据《北京市园林绿化局关于进一步加强森林督查工作的通知》京绿办发〔2020〕76号、《北京市朝阳区园林绿化局关于督办2020年国家森林督查整改的函》朝绿函〔2023〕37号（附件1）文件要求，北侧区域拆除硬化路面，恢复林地植被及喷灌系统。通过朝阳区体育健身休闲公园的恢复建设，</w:t>
      </w:r>
      <w:bookmarkStart w:id="0" w:name="_GoBack"/>
      <w:bookmarkEnd w:id="0"/>
      <w:r>
        <w:rPr>
          <w:rFonts w:hint="eastAsia" w:ascii="仿宋_GB2312" w:hAnsi="仿宋_GB2312" w:eastAsia="仿宋_GB2312" w:cs="仿宋_GB2312"/>
          <w:sz w:val="32"/>
          <w:szCs w:val="32"/>
          <w:lang w:val="en-US" w:eastAsia="zh-CN"/>
        </w:rPr>
        <w:t>在保证现有场地继续作为国家重大活动保障场地的同时，增加体育设施建设，有效提升公园体育服务的多元化，适应各方面的体育健身需要。用于场馆日常维护、能源费用、公益性体育活动举办、设施设备更新、运营环境改善等。</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17420.11</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8935.85</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hint="eastAsia" w:ascii="仿宋_GB2312" w:hAnsi="宋体" w:eastAsia="仿宋_GB2312" w:cs="宋体"/>
          <w:color w:val="000000"/>
          <w:kern w:val="0"/>
          <w:sz w:val="32"/>
          <w:szCs w:val="32"/>
          <w:lang w:val="en-US" w:eastAsia="zh-CN"/>
        </w:rPr>
        <w:t>8484.27</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0.00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17420.11</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lang w:val="en-US" w:eastAsia="zh-CN"/>
        </w:rPr>
        <w:t>8935.85</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8484.27</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lang w:val="en-US" w:eastAsia="zh-CN"/>
        </w:rPr>
        <w:t>0.00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100%</w:t>
      </w:r>
      <w:r>
        <w:rPr>
          <w:rFonts w:hint="eastAsia" w:ascii="仿宋_GB2312" w:hAnsi="宋体" w:eastAsia="仿宋_GB2312" w:cs="宋体"/>
          <w:color w:val="000000"/>
          <w:kern w:val="0"/>
          <w:sz w:val="32"/>
          <w:szCs w:val="32"/>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1.产出数量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为提高日常工作效率，加强新闻宣传、加强日常工作法律意识、保障办公设备使用、针对体育局工作业务的开展进度保障全局各科室工作有序推进</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体育工作运行保障项目完成6项以上保障工作，分别为食堂供餐保障工作、报刊订阅、内控内审、循环泵及配电箱维修</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rPr>
        <w:t>更换消防器项目采购安装更新消防设备共计4000件以上设备。朝阳区体育局及下属单位网络和终端运维服务项目服务方提供1名常驻人员，能及时处理体育局网络故障、视频会议保障工作。</w:t>
      </w:r>
      <w:r>
        <w:rPr>
          <w:rFonts w:hint="eastAsia" w:ascii="仿宋_GB2312" w:hAnsi="仿宋_GB2312" w:eastAsia="仿宋_GB2312" w:cs="仿宋_GB2312"/>
          <w:color w:val="000000"/>
          <w:kern w:val="0"/>
          <w:sz w:val="32"/>
          <w:szCs w:val="32"/>
          <w:lang w:eastAsia="zh-CN"/>
        </w:rPr>
        <w:t>举办人才培养培训</w:t>
      </w:r>
      <w:r>
        <w:rPr>
          <w:rFonts w:hint="eastAsia" w:ascii="仿宋_GB2312" w:hAnsi="仿宋_GB2312" w:eastAsia="仿宋_GB2312" w:cs="仿宋_GB2312"/>
          <w:color w:val="000000"/>
          <w:kern w:val="0"/>
          <w:sz w:val="32"/>
          <w:szCs w:val="32"/>
          <w:lang w:val="en-US" w:eastAsia="zh-CN"/>
        </w:rPr>
        <w:t>10次、青年干部培训等，按计划支付平房乡土地补偿金，对下属7家基层单位开展内控内审检查工作。</w:t>
      </w:r>
    </w:p>
    <w:p>
      <w:pPr>
        <w:keepNext w:val="0"/>
        <w:keepLines w:val="0"/>
        <w:pageBreakBefore w:val="0"/>
        <w:widowControl w:val="0"/>
        <w:kinsoku/>
        <w:wordWrap/>
        <w:overflowPunct/>
        <w:topLinePunct w:val="0"/>
        <w:autoSpaceDE/>
        <w:autoSpaceDN/>
        <w:bidi w:val="0"/>
        <w:adjustRightInd w:val="0"/>
        <w:snapToGrid w:val="0"/>
        <w:spacing w:line="360" w:lineRule="auto"/>
        <w:ind w:left="105" w:leftChars="50" w:firstLine="480"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群众体育方面，</w:t>
      </w:r>
      <w:r>
        <w:rPr>
          <w:rStyle w:val="12"/>
          <w:rFonts w:hint="eastAsia" w:ascii="仿宋_GB2312" w:hAnsi="仿宋_GB2312" w:eastAsia="仿宋_GB2312" w:cs="仿宋_GB2312"/>
          <w:b w:val="0"/>
          <w:i w:val="0"/>
          <w:caps w:val="0"/>
          <w:spacing w:val="0"/>
          <w:w w:val="100"/>
          <w:kern w:val="2"/>
          <w:sz w:val="32"/>
          <w:szCs w:val="32"/>
          <w:lang w:val="en-US" w:eastAsia="zh-CN" w:bidi="ar-SA"/>
        </w:rPr>
        <w:t>2023年开展全民健身场地巡查维护2轮，覆盖43个街乡，巡检点位2938处 ，249572件体育器材。全民健身场地设施建设321件、创建北京市全民健身示范街道和北京市体育特色乡镇10个、科学健身推广宣传48余场、全民健身信息化电子地图开发手机端、开展全民健身线上大讲堂10场、网球特色区进公园进社区、网球青少年比赛等全民健身赛事活动14项，步道表示标志划线项目42条，总面积达44万平方米以上。</w:t>
      </w:r>
      <w:r>
        <w:rPr>
          <w:rFonts w:hint="eastAsia" w:ascii="仿宋_GB2312" w:hAnsi="仿宋_GB2312" w:eastAsia="仿宋_GB2312" w:cs="仿宋_GB2312"/>
          <w:color w:val="auto"/>
          <w:sz w:val="32"/>
          <w:szCs w:val="32"/>
          <w:lang w:val="en-US" w:eastAsia="zh-CN"/>
        </w:rPr>
        <w:t>培训活动2项，分别是2023年朝阳区传统优秀健身项目推广活动和“科学健身、精准健身 ”2023年朝阳区全民健身培训。</w:t>
      </w:r>
      <w:r>
        <w:rPr>
          <w:rFonts w:hint="eastAsia" w:ascii="仿宋_GB2312" w:hAnsi="仿宋_GB2312" w:eastAsia="仿宋_GB2312" w:cs="仿宋_GB2312"/>
          <w:color w:val="000000"/>
          <w:kern w:val="0"/>
          <w:sz w:val="32"/>
          <w:szCs w:val="32"/>
        </w:rPr>
        <w:t>社体中心共完成4项社会体育指导员项目推广活动，6项体育协会赛事和5项市运会群众组的比赛。</w:t>
      </w:r>
    </w:p>
    <w:p>
      <w:pPr>
        <w:keepNext w:val="0"/>
        <w:keepLines w:val="0"/>
        <w:pageBreakBefore w:val="0"/>
        <w:widowControl w:val="0"/>
        <w:kinsoku/>
        <w:wordWrap/>
        <w:overflowPunct/>
        <w:topLinePunct w:val="0"/>
        <w:autoSpaceDE/>
        <w:autoSpaceDN/>
        <w:bidi w:val="0"/>
        <w:adjustRightInd w:val="0"/>
        <w:snapToGrid w:val="0"/>
        <w:spacing w:line="360" w:lineRule="auto"/>
        <w:ind w:left="105" w:leftChars="50" w:firstLine="480" w:firstLineChars="15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体育市场方面，</w:t>
      </w:r>
      <w:r>
        <w:rPr>
          <w:rFonts w:hint="eastAsia" w:ascii="仿宋_GB2312" w:hAnsi="仿宋_GB2312" w:eastAsia="仿宋_GB2312" w:cs="仿宋_GB2312"/>
          <w:color w:val="000000"/>
          <w:kern w:val="0"/>
          <w:sz w:val="32"/>
          <w:szCs w:val="32"/>
        </w:rPr>
        <w:t>完成1500家体育经营单位全年检查，实现全年监督检查覆盖率100％。</w:t>
      </w:r>
      <w:r>
        <w:rPr>
          <w:rFonts w:hint="eastAsia" w:ascii="仿宋_GB2312" w:hAnsi="仿宋_GB2312" w:eastAsia="仿宋_GB2312" w:cs="仿宋_GB2312"/>
          <w:b w:val="0"/>
          <w:bCs w:val="0"/>
          <w:color w:val="000000"/>
          <w:kern w:val="0"/>
          <w:sz w:val="32"/>
          <w:szCs w:val="32"/>
        </w:rPr>
        <w:t>重大项目</w:t>
      </w:r>
      <w:r>
        <w:rPr>
          <w:rFonts w:hint="eastAsia" w:ascii="仿宋_GB2312" w:hAnsi="仿宋_GB2312" w:eastAsia="仿宋_GB2312" w:cs="仿宋_GB2312"/>
          <w:b w:val="0"/>
          <w:bCs w:val="0"/>
          <w:color w:val="000000"/>
          <w:kern w:val="0"/>
          <w:sz w:val="32"/>
          <w:szCs w:val="32"/>
          <w:lang w:eastAsia="zh-CN"/>
        </w:rPr>
        <w:t>前期</w:t>
      </w:r>
      <w:r>
        <w:rPr>
          <w:rFonts w:hint="eastAsia" w:ascii="仿宋_GB2312" w:hAnsi="仿宋_GB2312" w:eastAsia="仿宋_GB2312" w:cs="仿宋_GB2312"/>
          <w:b w:val="0"/>
          <w:bCs w:val="0"/>
          <w:color w:val="000000"/>
          <w:kern w:val="0"/>
          <w:sz w:val="32"/>
          <w:szCs w:val="32"/>
        </w:rPr>
        <w:t>谋划</w:t>
      </w:r>
      <w:r>
        <w:rPr>
          <w:rFonts w:hint="eastAsia" w:ascii="仿宋_GB2312" w:hAnsi="仿宋_GB2312" w:eastAsia="仿宋_GB2312" w:cs="仿宋_GB2312"/>
          <w:color w:val="000000"/>
          <w:kern w:val="0"/>
          <w:sz w:val="32"/>
          <w:szCs w:val="32"/>
        </w:rPr>
        <w:t>在全区筛选、推动重大项目谋划工作，并会同第三方在将台、小红门、来广营、平房等区域进行现场调研，最终初步草拟了朝阳区颐堤港体育公园、朝阳区第一少儿业余体校、来广营体育公园建设项目规划谋划论证报告，为后期重大项目、体校建设等工作奠定基础。</w:t>
      </w:r>
      <w:r>
        <w:rPr>
          <w:rFonts w:hint="eastAsia" w:ascii="仿宋_GB2312" w:hAnsi="仿宋_GB2312" w:eastAsia="仿宋_GB2312" w:cs="仿宋_GB2312"/>
          <w:b w:val="0"/>
          <w:bCs w:val="0"/>
          <w:color w:val="000000"/>
          <w:kern w:val="0"/>
          <w:sz w:val="32"/>
          <w:szCs w:val="32"/>
        </w:rPr>
        <w:t>青少年校外体育培训机构网上管理信评系统</w:t>
      </w:r>
      <w:r>
        <w:rPr>
          <w:rFonts w:hint="eastAsia" w:ascii="仿宋_GB2312" w:hAnsi="仿宋_GB2312" w:eastAsia="仿宋_GB2312" w:cs="仿宋_GB2312"/>
          <w:b w:val="0"/>
          <w:bCs w:val="0"/>
          <w:color w:val="000000"/>
          <w:kern w:val="0"/>
          <w:sz w:val="32"/>
          <w:szCs w:val="32"/>
          <w:lang w:eastAsia="zh-CN"/>
        </w:rPr>
        <w:t>在全区进行青少年</w:t>
      </w:r>
      <w:r>
        <w:rPr>
          <w:rFonts w:hint="eastAsia" w:ascii="仿宋_GB2312" w:hAnsi="仿宋_GB2312" w:eastAsia="仿宋_GB2312" w:cs="仿宋_GB2312"/>
          <w:color w:val="000000"/>
          <w:kern w:val="0"/>
          <w:sz w:val="32"/>
          <w:szCs w:val="32"/>
        </w:rPr>
        <w:t>校外体育培训机构</w:t>
      </w:r>
      <w:r>
        <w:rPr>
          <w:rFonts w:hint="eastAsia" w:ascii="仿宋_GB2312" w:hAnsi="仿宋_GB2312" w:eastAsia="仿宋_GB2312" w:cs="仿宋_GB2312"/>
          <w:color w:val="000000"/>
          <w:kern w:val="0"/>
          <w:sz w:val="32"/>
          <w:szCs w:val="32"/>
          <w:lang w:eastAsia="zh-CN"/>
        </w:rPr>
        <w:t>审查、监督，完成</w:t>
      </w:r>
      <w:r>
        <w:rPr>
          <w:rFonts w:hint="eastAsia" w:ascii="仿宋_GB2312" w:hAnsi="仿宋_GB2312" w:eastAsia="仿宋_GB2312" w:cs="仿宋_GB2312"/>
          <w:color w:val="000000"/>
          <w:kern w:val="0"/>
          <w:sz w:val="32"/>
          <w:szCs w:val="32"/>
          <w:lang w:val="en-US" w:eastAsia="zh-CN"/>
        </w:rPr>
        <w:t>现有青少年校外培训机构资格审查和网上监管工作。</w:t>
      </w:r>
      <w:r>
        <w:rPr>
          <w:rFonts w:hint="eastAsia" w:ascii="仿宋_GB2312" w:hAnsi="仿宋_GB2312" w:eastAsia="仿宋_GB2312" w:cs="仿宋_GB2312"/>
          <w:b w:val="0"/>
          <w:color w:val="auto"/>
          <w:kern w:val="2"/>
          <w:sz w:val="32"/>
          <w:szCs w:val="32"/>
          <w:lang w:val="en-US" w:eastAsia="zh-CN" w:bidi="ar"/>
        </w:rPr>
        <w:t>截止</w:t>
      </w:r>
      <w:r>
        <w:rPr>
          <w:rFonts w:hint="eastAsia" w:ascii="仿宋_GB2312" w:hAnsi="仿宋_GB2312" w:eastAsia="仿宋_GB2312" w:cs="仿宋_GB2312"/>
          <w:kern w:val="2"/>
          <w:sz w:val="32"/>
          <w:szCs w:val="20"/>
          <w:lang w:val="en-US" w:eastAsia="zh-CN" w:bidi="ar-SA"/>
        </w:rPr>
        <w:t>202</w:t>
      </w:r>
      <w:r>
        <w:rPr>
          <w:rFonts w:hint="eastAsia" w:ascii="仿宋_GB2312" w:hAnsi="仿宋_GB2312" w:eastAsia="仿宋_GB2312" w:cs="仿宋_GB2312"/>
          <w:kern w:val="2"/>
          <w:sz w:val="32"/>
          <w:szCs w:val="20"/>
          <w:lang w:val="en" w:eastAsia="zh-CN" w:bidi="ar-SA"/>
        </w:rPr>
        <w:t>3</w:t>
      </w:r>
      <w:r>
        <w:rPr>
          <w:rFonts w:hint="eastAsia" w:ascii="仿宋_GB2312" w:hAnsi="仿宋_GB2312" w:eastAsia="仿宋_GB2312" w:cs="仿宋_GB2312"/>
          <w:b w:val="0"/>
          <w:color w:val="auto"/>
          <w:kern w:val="2"/>
          <w:sz w:val="32"/>
          <w:szCs w:val="32"/>
          <w:lang w:val="en-US" w:eastAsia="zh-CN" w:bidi="ar"/>
        </w:rPr>
        <w:t>年</w:t>
      </w:r>
      <w:r>
        <w:rPr>
          <w:rFonts w:hint="eastAsia" w:ascii="仿宋_GB2312" w:hAnsi="仿宋_GB2312" w:eastAsia="仿宋_GB2312" w:cs="仿宋_GB2312"/>
          <w:kern w:val="2"/>
          <w:sz w:val="32"/>
          <w:szCs w:val="20"/>
          <w:lang w:val="en-US" w:eastAsia="zh-CN" w:bidi="ar-SA"/>
        </w:rPr>
        <w:t>12</w:t>
      </w:r>
      <w:r>
        <w:rPr>
          <w:rFonts w:hint="eastAsia" w:ascii="仿宋_GB2312" w:hAnsi="仿宋_GB2312" w:eastAsia="仿宋_GB2312" w:cs="仿宋_GB2312"/>
          <w:b w:val="0"/>
          <w:color w:val="auto"/>
          <w:kern w:val="2"/>
          <w:sz w:val="32"/>
          <w:szCs w:val="32"/>
          <w:lang w:val="en-US" w:eastAsia="zh-CN" w:bidi="ar"/>
        </w:rPr>
        <w:t>月</w:t>
      </w:r>
      <w:r>
        <w:rPr>
          <w:rFonts w:hint="eastAsia" w:ascii="仿宋_GB2312" w:hAnsi="仿宋_GB2312" w:eastAsia="仿宋_GB2312" w:cs="仿宋_GB2312"/>
          <w:kern w:val="2"/>
          <w:sz w:val="32"/>
          <w:szCs w:val="20"/>
          <w:lang w:val="en-US" w:eastAsia="zh-CN" w:bidi="ar-SA"/>
        </w:rPr>
        <w:t>31</w:t>
      </w:r>
      <w:r>
        <w:rPr>
          <w:rFonts w:hint="eastAsia" w:ascii="仿宋_GB2312" w:hAnsi="仿宋_GB2312" w:eastAsia="仿宋_GB2312" w:cs="仿宋_GB2312"/>
          <w:b w:val="0"/>
          <w:color w:val="auto"/>
          <w:kern w:val="2"/>
          <w:sz w:val="32"/>
          <w:szCs w:val="32"/>
          <w:lang w:val="en-US" w:eastAsia="zh-CN" w:bidi="ar"/>
        </w:rPr>
        <w:t>日，体育局</w:t>
      </w:r>
      <w:r>
        <w:rPr>
          <w:rFonts w:hint="eastAsia" w:ascii="仿宋_GB2312" w:hAnsi="仿宋_GB2312" w:eastAsia="仿宋_GB2312" w:cs="仿宋_GB2312"/>
          <w:kern w:val="2"/>
          <w:sz w:val="32"/>
          <w:szCs w:val="20"/>
          <w:lang w:val="en-US" w:eastAsia="zh-CN" w:bidi="ar-SA"/>
        </w:rPr>
        <w:t>本年度</w:t>
      </w:r>
      <w:r>
        <w:rPr>
          <w:rFonts w:hint="eastAsia" w:ascii="仿宋_GB2312" w:hAnsi="仿宋_GB2312" w:eastAsia="仿宋_GB2312" w:cs="仿宋_GB2312"/>
          <w:b w:val="0"/>
          <w:color w:val="auto"/>
          <w:kern w:val="2"/>
          <w:sz w:val="32"/>
          <w:szCs w:val="32"/>
          <w:lang w:val="en-US" w:eastAsia="zh-CN" w:bidi="ar"/>
        </w:rPr>
        <w:t>累计受理接诉即办案件</w:t>
      </w:r>
      <w:r>
        <w:rPr>
          <w:rFonts w:hint="eastAsia" w:ascii="仿宋_GB2312" w:hAnsi="仿宋_GB2312" w:eastAsia="仿宋_GB2312" w:cs="仿宋_GB2312"/>
          <w:kern w:val="2"/>
          <w:sz w:val="32"/>
          <w:szCs w:val="20"/>
          <w:lang w:val="en-US" w:eastAsia="zh-CN" w:bidi="ar-SA"/>
        </w:rPr>
        <w:t>33607</w:t>
      </w:r>
      <w:r>
        <w:rPr>
          <w:rFonts w:hint="eastAsia" w:ascii="仿宋_GB2312" w:hAnsi="仿宋_GB2312" w:eastAsia="仿宋_GB2312" w:cs="仿宋_GB2312"/>
          <w:b w:val="0"/>
          <w:color w:val="auto"/>
          <w:kern w:val="2"/>
          <w:sz w:val="32"/>
          <w:szCs w:val="32"/>
          <w:lang w:val="en" w:eastAsia="zh-CN" w:bidi="ar"/>
        </w:rPr>
        <w:t>件</w:t>
      </w:r>
      <w:r>
        <w:rPr>
          <w:rFonts w:hint="eastAsia" w:ascii="仿宋_GB2312" w:hAnsi="仿宋_GB2312" w:eastAsia="仿宋_GB2312" w:cs="仿宋_GB2312"/>
          <w:b w:val="0"/>
          <w:color w:val="auto"/>
          <w:kern w:val="2"/>
          <w:sz w:val="32"/>
          <w:szCs w:val="32"/>
          <w:lang w:val="en-US" w:eastAsia="zh-CN" w:bidi="ar"/>
        </w:rPr>
        <w:t>，平均每月受理案件2800件。联合科室上门检查</w:t>
      </w:r>
      <w:r>
        <w:rPr>
          <w:rFonts w:hint="eastAsia" w:ascii="仿宋_GB2312" w:hAnsi="仿宋_GB2312" w:eastAsia="仿宋_GB2312" w:cs="仿宋_GB2312"/>
          <w:kern w:val="2"/>
          <w:sz w:val="32"/>
          <w:szCs w:val="20"/>
          <w:shd w:val="clear" w:color="auto" w:fill="auto"/>
          <w:lang w:val="en-US" w:eastAsia="zh-CN" w:bidi="ar-SA"/>
        </w:rPr>
        <w:t>128</w:t>
      </w:r>
      <w:r>
        <w:rPr>
          <w:rFonts w:hint="eastAsia" w:ascii="仿宋_GB2312" w:hAnsi="仿宋_GB2312" w:eastAsia="仿宋_GB2312" w:cs="仿宋_GB2312"/>
          <w:b w:val="0"/>
          <w:color w:val="auto"/>
          <w:kern w:val="2"/>
          <w:sz w:val="32"/>
          <w:szCs w:val="32"/>
          <w:lang w:val="en-US" w:eastAsia="zh-CN" w:bidi="ar"/>
        </w:rPr>
        <w:t>次，启动“吹哨报到”机制</w:t>
      </w:r>
      <w:r>
        <w:rPr>
          <w:rFonts w:hint="eastAsia" w:ascii="仿宋_GB2312" w:hAnsi="仿宋_GB2312" w:eastAsia="仿宋_GB2312" w:cs="仿宋_GB2312"/>
          <w:kern w:val="2"/>
          <w:sz w:val="32"/>
          <w:szCs w:val="20"/>
          <w:lang w:val="en-US" w:eastAsia="zh-CN" w:bidi="ar-SA"/>
        </w:rPr>
        <w:t>53</w:t>
      </w:r>
      <w:r>
        <w:rPr>
          <w:rFonts w:hint="eastAsia" w:ascii="仿宋_GB2312" w:hAnsi="仿宋_GB2312" w:eastAsia="仿宋_GB2312" w:cs="仿宋_GB2312"/>
          <w:b w:val="0"/>
          <w:color w:val="auto"/>
          <w:kern w:val="2"/>
          <w:sz w:val="32"/>
          <w:szCs w:val="32"/>
          <w:lang w:val="en-US" w:eastAsia="zh-CN" w:bidi="ar"/>
        </w:rPr>
        <w:t>次，处理群诉</w:t>
      </w:r>
      <w:r>
        <w:rPr>
          <w:rFonts w:hint="eastAsia" w:ascii="仿宋_GB2312" w:hAnsi="仿宋_GB2312" w:eastAsia="仿宋_GB2312" w:cs="仿宋_GB2312"/>
          <w:kern w:val="2"/>
          <w:sz w:val="32"/>
          <w:szCs w:val="20"/>
          <w:lang w:val="en-US" w:eastAsia="zh-CN" w:bidi="ar-SA"/>
        </w:rPr>
        <w:t>32</w:t>
      </w:r>
      <w:r>
        <w:rPr>
          <w:rFonts w:hint="eastAsia" w:ascii="仿宋_GB2312" w:hAnsi="仿宋_GB2312" w:eastAsia="仿宋_GB2312" w:cs="仿宋_GB2312"/>
          <w:b w:val="0"/>
          <w:color w:val="auto"/>
          <w:kern w:val="2"/>
          <w:sz w:val="32"/>
          <w:szCs w:val="32"/>
          <w:lang w:val="en-US" w:eastAsia="zh-CN" w:bidi="ar"/>
        </w:rPr>
        <w:t>起、群体性事件</w:t>
      </w:r>
      <w:r>
        <w:rPr>
          <w:rFonts w:hint="eastAsia" w:ascii="仿宋_GB2312" w:hAnsi="仿宋_GB2312" w:eastAsia="仿宋_GB2312" w:cs="仿宋_GB2312"/>
          <w:kern w:val="2"/>
          <w:sz w:val="32"/>
          <w:szCs w:val="20"/>
          <w:lang w:val="en-US" w:eastAsia="zh-CN" w:bidi="ar-SA"/>
        </w:rPr>
        <w:t>33</w:t>
      </w:r>
      <w:r>
        <w:rPr>
          <w:rFonts w:hint="eastAsia" w:ascii="仿宋_GB2312" w:hAnsi="仿宋_GB2312" w:eastAsia="仿宋_GB2312" w:cs="仿宋_GB2312"/>
          <w:b w:val="0"/>
          <w:color w:val="auto"/>
          <w:kern w:val="2"/>
          <w:sz w:val="32"/>
          <w:szCs w:val="32"/>
          <w:lang w:val="en-US" w:eastAsia="zh-CN" w:bidi="ar"/>
        </w:rPr>
        <w:t>件，处理信访件</w:t>
      </w:r>
      <w:r>
        <w:rPr>
          <w:rFonts w:hint="eastAsia" w:ascii="仿宋_GB2312" w:hAnsi="仿宋_GB2312" w:eastAsia="仿宋_GB2312" w:cs="仿宋_GB2312"/>
          <w:kern w:val="2"/>
          <w:sz w:val="32"/>
          <w:szCs w:val="20"/>
          <w:lang w:val="en-US" w:eastAsia="zh-CN" w:bidi="ar-SA"/>
        </w:rPr>
        <w:t>197</w:t>
      </w:r>
      <w:r>
        <w:rPr>
          <w:rFonts w:hint="eastAsia" w:ascii="仿宋_GB2312" w:hAnsi="仿宋_GB2312" w:eastAsia="仿宋_GB2312" w:cs="仿宋_GB2312"/>
          <w:b w:val="0"/>
          <w:color w:val="auto"/>
          <w:kern w:val="2"/>
          <w:sz w:val="32"/>
          <w:szCs w:val="32"/>
          <w:lang w:val="en-US" w:eastAsia="zh-CN" w:bidi="ar"/>
        </w:rPr>
        <w:t>件，接待上访群众</w:t>
      </w:r>
      <w:r>
        <w:rPr>
          <w:rFonts w:hint="eastAsia" w:ascii="仿宋_GB2312" w:hAnsi="仿宋_GB2312" w:eastAsia="仿宋_GB2312" w:cs="仿宋_GB2312"/>
          <w:kern w:val="2"/>
          <w:sz w:val="32"/>
          <w:szCs w:val="20"/>
          <w:lang w:val="en-US" w:eastAsia="zh-CN" w:bidi="ar-SA"/>
        </w:rPr>
        <w:t>32</w:t>
      </w:r>
      <w:r>
        <w:rPr>
          <w:rFonts w:hint="eastAsia" w:ascii="仿宋_GB2312" w:hAnsi="仿宋_GB2312" w:eastAsia="仿宋_GB2312" w:cs="仿宋_GB2312"/>
          <w:b w:val="0"/>
          <w:color w:val="auto"/>
          <w:kern w:val="2"/>
          <w:sz w:val="32"/>
          <w:szCs w:val="32"/>
          <w:lang w:val="en-US" w:eastAsia="zh-CN" w:bidi="ar"/>
        </w:rPr>
        <w:t>人，处理网络舆情案件</w:t>
      </w:r>
      <w:r>
        <w:rPr>
          <w:rFonts w:hint="eastAsia" w:ascii="仿宋_GB2312" w:hAnsi="仿宋_GB2312" w:eastAsia="仿宋_GB2312" w:cs="仿宋_GB2312"/>
          <w:kern w:val="2"/>
          <w:sz w:val="32"/>
          <w:szCs w:val="20"/>
          <w:lang w:val="en-US" w:eastAsia="zh-CN" w:bidi="ar-SA"/>
        </w:rPr>
        <w:t>33</w:t>
      </w:r>
      <w:r>
        <w:rPr>
          <w:rFonts w:hint="eastAsia" w:ascii="仿宋_GB2312" w:hAnsi="仿宋_GB2312" w:eastAsia="仿宋_GB2312" w:cs="仿宋_GB2312"/>
          <w:b w:val="0"/>
          <w:color w:val="auto"/>
          <w:kern w:val="2"/>
          <w:sz w:val="32"/>
          <w:szCs w:val="32"/>
          <w:lang w:val="en-US" w:eastAsia="zh-CN" w:bidi="ar"/>
        </w:rPr>
        <w:t>起，接听对外“热线电话”</w:t>
      </w:r>
      <w:r>
        <w:rPr>
          <w:rFonts w:hint="eastAsia" w:ascii="仿宋_GB2312" w:hAnsi="仿宋_GB2312" w:eastAsia="仿宋_GB2312" w:cs="仿宋_GB2312"/>
          <w:kern w:val="2"/>
          <w:sz w:val="32"/>
          <w:szCs w:val="20"/>
          <w:lang w:val="en-US" w:eastAsia="zh-CN" w:bidi="ar-SA"/>
        </w:rPr>
        <w:t>1881</w:t>
      </w:r>
      <w:r>
        <w:rPr>
          <w:rFonts w:hint="eastAsia" w:ascii="仿宋_GB2312" w:hAnsi="仿宋_GB2312" w:eastAsia="仿宋_GB2312" w:cs="仿宋_GB2312"/>
          <w:b w:val="0"/>
          <w:color w:val="auto"/>
          <w:kern w:val="2"/>
          <w:sz w:val="32"/>
          <w:szCs w:val="32"/>
          <w:lang w:val="en-US" w:eastAsia="zh-CN" w:bidi="ar"/>
        </w:rPr>
        <w:t>次，召开“提质降量”企业工作会</w:t>
      </w:r>
      <w:r>
        <w:rPr>
          <w:rFonts w:hint="eastAsia" w:ascii="仿宋_GB2312" w:hAnsi="仿宋_GB2312" w:eastAsia="仿宋_GB2312" w:cs="仿宋_GB2312"/>
          <w:kern w:val="2"/>
          <w:sz w:val="32"/>
          <w:szCs w:val="20"/>
          <w:lang w:val="en-US" w:eastAsia="zh-CN" w:bidi="ar-SA"/>
        </w:rPr>
        <w:t>6</w:t>
      </w:r>
      <w:r>
        <w:rPr>
          <w:rFonts w:hint="eastAsia" w:ascii="仿宋_GB2312" w:hAnsi="仿宋_GB2312" w:eastAsia="仿宋_GB2312" w:cs="仿宋_GB2312"/>
          <w:b w:val="0"/>
          <w:color w:val="auto"/>
          <w:kern w:val="2"/>
          <w:sz w:val="32"/>
          <w:szCs w:val="32"/>
          <w:lang w:val="en-US" w:eastAsia="zh-CN" w:bidi="ar"/>
        </w:rPr>
        <w:t>次，涉及企业</w:t>
      </w:r>
      <w:r>
        <w:rPr>
          <w:rFonts w:hint="eastAsia" w:ascii="仿宋_GB2312" w:hAnsi="仿宋_GB2312" w:eastAsia="仿宋_GB2312" w:cs="仿宋_GB2312"/>
          <w:kern w:val="2"/>
          <w:sz w:val="32"/>
          <w:szCs w:val="20"/>
          <w:lang w:val="en-US" w:eastAsia="zh-CN" w:bidi="ar-SA"/>
        </w:rPr>
        <w:t>74</w:t>
      </w:r>
      <w:r>
        <w:rPr>
          <w:rFonts w:hint="eastAsia" w:ascii="仿宋_GB2312" w:hAnsi="仿宋_GB2312" w:eastAsia="仿宋_GB2312" w:cs="仿宋_GB2312"/>
          <w:b w:val="0"/>
          <w:color w:val="auto"/>
          <w:kern w:val="2"/>
          <w:sz w:val="32"/>
          <w:szCs w:val="32"/>
          <w:lang w:val="en-US" w:eastAsia="zh-CN" w:bidi="ar"/>
        </w:rPr>
        <w:t>家。</w:t>
      </w:r>
    </w:p>
    <w:p>
      <w:pPr>
        <w:pStyle w:val="9"/>
        <w:keepNext w:val="0"/>
        <w:keepLines w:val="0"/>
        <w:pageBreakBefore w:val="0"/>
        <w:widowControl w:val="0"/>
        <w:kinsoku/>
        <w:wordWrap/>
        <w:overflowPunct/>
        <w:topLinePunct w:val="0"/>
        <w:autoSpaceDE/>
        <w:autoSpaceDN/>
        <w:bidi w:val="0"/>
        <w:adjustRightInd w:val="0"/>
        <w:snapToGrid w:val="0"/>
        <w:spacing w:line="360" w:lineRule="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竞技体育方面，</w:t>
      </w:r>
      <w:r>
        <w:rPr>
          <w:rFonts w:hint="eastAsia" w:ascii="仿宋_GB2312" w:hAnsi="仿宋_GB2312" w:eastAsia="仿宋_GB2312" w:cs="仿宋_GB2312"/>
          <w:color w:val="000000"/>
          <w:kern w:val="0"/>
          <w:sz w:val="32"/>
          <w:szCs w:val="32"/>
          <w:lang w:val="en-US" w:eastAsia="zh-CN"/>
        </w:rPr>
        <w:t>2023年体育局青少科共组织夏季项目区级比赛4项，冬季项目区级比赛3项，组织工作人员保障朝阳区代表团6个项目的运动队参加第一届全国学生(青年)运动会(公开组)比赛。</w:t>
      </w:r>
      <w:r>
        <w:rPr>
          <w:rFonts w:hint="eastAsia" w:ascii="仿宋_GB2312" w:hAnsi="仿宋_GB2312" w:eastAsia="仿宋_GB2312" w:cs="仿宋_GB2312"/>
          <w:sz w:val="32"/>
          <w:szCs w:val="32"/>
          <w:lang w:eastAsia="zh-CN"/>
        </w:rPr>
        <w:t>体校</w:t>
      </w:r>
      <w:r>
        <w:rPr>
          <w:rFonts w:hint="eastAsia" w:ascii="仿宋_GB2312" w:hAnsi="仿宋_GB2312" w:eastAsia="仿宋_GB2312" w:cs="仿宋_GB2312"/>
          <w:sz w:val="32"/>
          <w:szCs w:val="32"/>
        </w:rPr>
        <w:t>积极开展各项目工作，训练相关后勤保障工作到位，体校训练设备设施与日常维护工作、安保工作等同步开展。多方面促进体育发展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围绕“三亿人参与冰雪”目标，让更多的青少年参与其中，组建完善的朝阳区冬季项目后备人才梯队，为北京和国家培养输送更多的青少年体育后备人才，让更多的青少年，有机会体验冰雪，感受冬奥。</w:t>
      </w:r>
      <w:r>
        <w:rPr>
          <w:rFonts w:hint="eastAsia" w:ascii="仿宋_GB2312" w:hAnsi="仿宋_GB2312" w:eastAsia="仿宋_GB2312" w:cs="仿宋_GB2312"/>
          <w:sz w:val="32"/>
          <w:szCs w:val="32"/>
          <w:lang w:eastAsia="zh-CN"/>
        </w:rPr>
        <w:t>参加学青会、全国中学生</w:t>
      </w:r>
      <w:r>
        <w:rPr>
          <w:rFonts w:hint="eastAsia" w:ascii="仿宋_GB2312" w:hAnsi="仿宋_GB2312" w:eastAsia="仿宋_GB2312" w:cs="仿宋_GB2312"/>
          <w:bCs/>
          <w:color w:val="000000"/>
          <w:sz w:val="32"/>
          <w:szCs w:val="32"/>
        </w:rPr>
        <w:t>柔道精英赛暨世界中学生夏季运动会选拔赛</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北京市青少年锦标赛</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北京市U系列比赛</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sz w:val="32"/>
          <w:szCs w:val="32"/>
        </w:rPr>
        <w:t>在此次第一届全国学生（青年）运动会比赛中，学生运动员们取得成绩优异，更有部分学生成绩突出</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color w:val="000000"/>
          <w:kern w:val="0"/>
          <w:sz w:val="32"/>
          <w:szCs w:val="32"/>
          <w:lang w:eastAsia="zh-CN"/>
        </w:rPr>
        <w:t>一体校</w:t>
      </w:r>
      <w:r>
        <w:rPr>
          <w:rFonts w:hint="eastAsia" w:ascii="仿宋_GB2312" w:hAnsi="仿宋_GB2312" w:eastAsia="仿宋_GB2312" w:cs="仿宋_GB2312"/>
          <w:color w:val="000000"/>
          <w:kern w:val="0"/>
          <w:sz w:val="32"/>
          <w:szCs w:val="32"/>
        </w:rPr>
        <w:t>布局各体育项目22个,全年覆盖22个项目,全年参赛次数不少于8次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二体校</w:t>
      </w:r>
      <w:r>
        <w:rPr>
          <w:rFonts w:hint="eastAsia" w:ascii="仿宋_GB2312" w:hAnsi="仿宋_GB2312" w:eastAsia="仿宋_GB2312" w:cs="仿宋_GB2312"/>
          <w:sz w:val="32"/>
          <w:szCs w:val="32"/>
        </w:rPr>
        <w:t>在训练和各项比赛中，保障训练器材的充足、保证学生运动员训练的相关需求，其中购置训练器材等质量符合标准，使用器材、受益学生超过百人，为学生运动员训练做好一切保障工作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三体校现有游泳、篮球、橄榄球、手球、皮划艇、赛艇、跳水、花样游泳8个夏季项目，2023年夏季项目注册运动员1625人、签约租赁场地6个</w:t>
      </w:r>
      <w:r>
        <w:rPr>
          <w:rFonts w:hint="eastAsia" w:ascii="仿宋_GB2312" w:hAnsi="仿宋_GB2312" w:eastAsia="仿宋_GB2312" w:cs="仿宋_GB2312"/>
          <w:color w:val="000000"/>
          <w:kern w:val="0"/>
          <w:sz w:val="32"/>
          <w:szCs w:val="32"/>
        </w:rPr>
        <w:t>，与5个俱乐部签订合作协议。冬季项目共有短道速滑、花样滑冰、冰壶、冰球、单板滑雪、高山滑雪6个项目，2023年注册运动员493人、签约训练场集训地6个。</w:t>
      </w:r>
      <w:r>
        <w:rPr>
          <w:rFonts w:hint="eastAsia" w:ascii="仿宋_GB2312" w:hAnsi="仿宋_GB2312" w:eastAsia="仿宋_GB2312" w:cs="仿宋_GB2312"/>
          <w:sz w:val="32"/>
          <w:szCs w:val="32"/>
          <w:lang w:eastAsia="zh-CN"/>
        </w:rPr>
        <w:t>科研所维修</w:t>
      </w:r>
      <w:r>
        <w:rPr>
          <w:rFonts w:hint="eastAsia" w:ascii="仿宋_GB2312" w:hAnsi="仿宋_GB2312" w:eastAsia="仿宋_GB2312" w:cs="仿宋_GB2312"/>
          <w:sz w:val="32"/>
          <w:szCs w:val="32"/>
          <w:lang w:val="en-US" w:eastAsia="zh-CN"/>
        </w:rPr>
        <w:t>6种</w:t>
      </w:r>
      <w:r>
        <w:rPr>
          <w:rFonts w:hint="eastAsia" w:ascii="仿宋_GB2312" w:hAnsi="仿宋_GB2312" w:eastAsia="仿宋_GB2312" w:cs="仿宋_GB2312"/>
          <w:color w:val="000000"/>
          <w:kern w:val="0"/>
          <w:sz w:val="32"/>
          <w:szCs w:val="32"/>
        </w:rPr>
        <w:t>精密仪器</w:t>
      </w:r>
      <w:r>
        <w:rPr>
          <w:rFonts w:hint="eastAsia" w:ascii="仿宋_GB2312" w:hAnsi="仿宋_GB2312" w:eastAsia="仿宋_GB2312" w:cs="仿宋_GB2312"/>
          <w:color w:val="000000"/>
          <w:kern w:val="0"/>
          <w:sz w:val="32"/>
          <w:szCs w:val="32"/>
          <w:lang w:eastAsia="zh-CN"/>
        </w:rPr>
        <w:t>，购买</w:t>
      </w:r>
      <w:r>
        <w:rPr>
          <w:rFonts w:hint="eastAsia" w:ascii="仿宋_GB2312" w:hAnsi="仿宋_GB2312" w:eastAsia="仿宋_GB2312" w:cs="仿宋_GB2312"/>
          <w:color w:val="000000"/>
          <w:kern w:val="0"/>
          <w:sz w:val="32"/>
          <w:szCs w:val="32"/>
          <w:lang w:val="en-US" w:eastAsia="zh-CN"/>
        </w:rPr>
        <w:t>6种</w:t>
      </w:r>
      <w:r>
        <w:rPr>
          <w:rFonts w:hint="eastAsia" w:ascii="仿宋_GB2312" w:hAnsi="仿宋_GB2312" w:eastAsia="仿宋_GB2312" w:cs="仿宋_GB2312"/>
          <w:color w:val="000000"/>
          <w:kern w:val="0"/>
          <w:sz w:val="32"/>
          <w:szCs w:val="32"/>
          <w:lang w:eastAsia="zh-CN"/>
        </w:rPr>
        <w:t>生理生化耗材、</w:t>
      </w:r>
      <w:r>
        <w:rPr>
          <w:rFonts w:hint="eastAsia" w:ascii="仿宋_GB2312" w:hAnsi="仿宋_GB2312" w:eastAsia="仿宋_GB2312" w:cs="仿宋_GB2312"/>
          <w:color w:val="000000"/>
          <w:kern w:val="0"/>
          <w:sz w:val="32"/>
          <w:szCs w:val="32"/>
          <w:lang w:val="en-US" w:eastAsia="zh-CN"/>
        </w:rPr>
        <w:t>19种</w:t>
      </w:r>
      <w:r>
        <w:rPr>
          <w:rFonts w:hint="eastAsia" w:ascii="仿宋_GB2312" w:hAnsi="仿宋_GB2312" w:eastAsia="仿宋_GB2312" w:cs="仿宋_GB2312"/>
          <w:color w:val="000000"/>
          <w:kern w:val="0"/>
          <w:sz w:val="32"/>
          <w:szCs w:val="32"/>
          <w:lang w:eastAsia="zh-CN"/>
        </w:rPr>
        <w:t>康复医疗耗材，购买</w:t>
      </w:r>
      <w:r>
        <w:rPr>
          <w:rFonts w:hint="eastAsia" w:ascii="仿宋_GB2312" w:hAnsi="仿宋_GB2312" w:eastAsia="仿宋_GB2312" w:cs="仿宋_GB2312"/>
          <w:color w:val="000000"/>
          <w:kern w:val="0"/>
          <w:sz w:val="32"/>
          <w:szCs w:val="32"/>
          <w:lang w:val="en-US" w:eastAsia="zh-CN"/>
        </w:rPr>
        <w:t>11种</w:t>
      </w:r>
      <w:r>
        <w:rPr>
          <w:rFonts w:hint="eastAsia" w:ascii="仿宋_GB2312" w:hAnsi="仿宋_GB2312" w:eastAsia="仿宋_GB2312" w:cs="仿宋_GB2312"/>
          <w:color w:val="000000"/>
          <w:kern w:val="0"/>
          <w:sz w:val="32"/>
          <w:szCs w:val="32"/>
          <w:lang w:eastAsia="zh-CN"/>
        </w:rPr>
        <w:t>运动员体能服务保证及耗材，购买</w:t>
      </w:r>
      <w:r>
        <w:rPr>
          <w:rFonts w:hint="eastAsia" w:ascii="仿宋_GB2312" w:hAnsi="仿宋_GB2312" w:eastAsia="仿宋_GB2312" w:cs="仿宋_GB2312"/>
          <w:color w:val="000000"/>
          <w:kern w:val="0"/>
          <w:sz w:val="32"/>
          <w:szCs w:val="32"/>
          <w:lang w:val="en-US" w:eastAsia="zh-CN"/>
        </w:rPr>
        <w:t>8种</w:t>
      </w:r>
      <w:r>
        <w:rPr>
          <w:rFonts w:hint="eastAsia" w:ascii="仿宋_GB2312" w:hAnsi="仿宋_GB2312" w:eastAsia="仿宋_GB2312" w:cs="仿宋_GB2312"/>
          <w:color w:val="000000"/>
          <w:kern w:val="0"/>
          <w:sz w:val="32"/>
          <w:szCs w:val="32"/>
        </w:rPr>
        <w:t>运动员营养供给</w:t>
      </w:r>
      <w:r>
        <w:rPr>
          <w:rFonts w:hint="eastAsia" w:ascii="仿宋_GB2312" w:hAnsi="仿宋_GB2312" w:eastAsia="仿宋_GB2312" w:cs="仿宋_GB2312"/>
          <w:color w:val="000000"/>
          <w:kern w:val="0"/>
          <w:sz w:val="32"/>
          <w:szCs w:val="32"/>
          <w:lang w:eastAsia="zh-CN"/>
        </w:rPr>
        <w:t>，完成</w:t>
      </w:r>
      <w:r>
        <w:rPr>
          <w:rFonts w:hint="eastAsia" w:ascii="仿宋_GB2312" w:hAnsi="仿宋_GB2312" w:eastAsia="仿宋_GB2312" w:cs="仿宋_GB2312"/>
          <w:color w:val="000000"/>
          <w:kern w:val="0"/>
          <w:sz w:val="32"/>
          <w:szCs w:val="32"/>
        </w:rPr>
        <w:t>5675人次国民体质测试</w:t>
      </w:r>
      <w:r>
        <w:rPr>
          <w:rFonts w:hint="eastAsia" w:ascii="仿宋_GB2312" w:hAnsi="仿宋_GB2312" w:eastAsia="仿宋_GB2312" w:cs="仿宋_GB2312"/>
          <w:color w:val="000000"/>
          <w:kern w:val="0"/>
          <w:sz w:val="32"/>
          <w:szCs w:val="32"/>
          <w:lang w:eastAsia="zh-CN"/>
        </w:rPr>
        <w:t>，购置</w:t>
      </w:r>
      <w:r>
        <w:rPr>
          <w:rFonts w:hint="eastAsia" w:ascii="仿宋_GB2312" w:hAnsi="仿宋_GB2312" w:eastAsia="仿宋_GB2312" w:cs="仿宋_GB2312"/>
          <w:color w:val="000000"/>
          <w:kern w:val="0"/>
          <w:sz w:val="32"/>
          <w:szCs w:val="32"/>
          <w:lang w:val="en-US" w:eastAsia="zh-CN"/>
        </w:rPr>
        <w:t>5种实验室仪器。</w:t>
      </w:r>
    </w:p>
    <w:p>
      <w:pPr>
        <w:pStyle w:val="9"/>
        <w:keepNext w:val="0"/>
        <w:keepLines w:val="0"/>
        <w:pageBreakBefore w:val="0"/>
        <w:widowControl w:val="0"/>
        <w:kinsoku/>
        <w:wordWrap/>
        <w:overflowPunct/>
        <w:topLinePunct w:val="0"/>
        <w:autoSpaceDE/>
        <w:autoSpaceDN/>
        <w:bidi w:val="0"/>
        <w:adjustRightInd w:val="0"/>
        <w:snapToGrid w:val="0"/>
        <w:spacing w:line="360" w:lineRule="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体育产业方面，</w:t>
      </w:r>
      <w:r>
        <w:rPr>
          <w:rFonts w:hint="eastAsia" w:ascii="仿宋_GB2312" w:hAnsi="仿宋_GB2312" w:eastAsia="仿宋_GB2312" w:cs="仿宋_GB2312"/>
          <w:sz w:val="32"/>
          <w:szCs w:val="32"/>
        </w:rPr>
        <w:t>顺利完成了促进消费活动、体育产业交流、朝阳区体育产业高质量发展的若干措施政策研究等工作，促进了朝阳区体育产业高发展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eastAsia="zh-CN"/>
        </w:rPr>
        <w:t>体育场馆方面，</w:t>
      </w:r>
      <w:r>
        <w:rPr>
          <w:rFonts w:hint="eastAsia" w:ascii="仿宋_GB2312" w:hAnsi="仿宋_GB2312" w:eastAsia="仿宋_GB2312" w:cs="仿宋_GB2312"/>
          <w:color w:val="000000"/>
          <w:kern w:val="0"/>
          <w:sz w:val="32"/>
          <w:szCs w:val="32"/>
          <w:lang w:val="en-US" w:eastAsia="zh-CN"/>
        </w:rPr>
        <w:t>恢复森林植被面积9869.662平方米，主体育场修缮，其中草皮修缮7810平方米，增容量2600千瓦。</w:t>
      </w:r>
    </w:p>
    <w:p>
      <w:pPr>
        <w:numPr>
          <w:ilvl w:val="0"/>
          <w:numId w:val="2"/>
        </w:num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质量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对体育局工作业务的开展，保障全局各科室工作有序推进。</w:t>
      </w:r>
      <w:r>
        <w:rPr>
          <w:rFonts w:hint="eastAsia" w:ascii="仿宋_GB2312" w:hAnsi="仿宋_GB2312" w:eastAsia="仿宋_GB2312" w:cs="仿宋_GB2312"/>
          <w:color w:val="000000"/>
          <w:kern w:val="0"/>
          <w:sz w:val="32"/>
          <w:szCs w:val="32"/>
          <w:lang w:val="en-US" w:eastAsia="zh-CN"/>
        </w:rPr>
        <w:t>达到预期效果。通过组织综合素养提升培训班等项目不断提升人员综合能力，领导与执行能力等方面的素养，组织事业单位专业技术人员单独招考，共招考6人。财务、审计、后勤等工作达到预期效果。</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kern w:val="0"/>
          <w:sz w:val="32"/>
          <w:szCs w:val="32"/>
          <w:lang w:val="en-US" w:eastAsia="zh-CN"/>
        </w:rPr>
        <w:t>群众体育方面，</w:t>
      </w:r>
      <w:r>
        <w:rPr>
          <w:rFonts w:hint="eastAsia" w:ascii="仿宋_GB2312" w:hAnsi="仿宋_GB2312" w:eastAsia="仿宋_GB2312" w:cs="仿宋_GB2312"/>
          <w:color w:val="auto"/>
          <w:sz w:val="32"/>
          <w:szCs w:val="32"/>
          <w:lang w:val="en-US" w:eastAsia="zh-CN"/>
        </w:rPr>
        <w:t>高质量完成全民健身工作。满足了朝阳区街乡、企业、高校、俱乐部等群众的全民健身需求。</w:t>
      </w:r>
      <w:r>
        <w:rPr>
          <w:rFonts w:hint="eastAsia" w:ascii="仿宋_GB2312" w:hAnsi="仿宋_GB2312" w:eastAsia="仿宋_GB2312" w:cs="仿宋_GB2312"/>
          <w:sz w:val="32"/>
          <w:szCs w:val="32"/>
        </w:rPr>
        <w:t>将全民健身工作推向新的高度，不断提升群众在全民健身上的获得感，实现群众健身意识不断增强，</w:t>
      </w:r>
      <w:r>
        <w:rPr>
          <w:rFonts w:hint="eastAsia" w:ascii="仿宋_GB2312" w:hAnsi="仿宋_GB2312" w:eastAsia="仿宋_GB2312" w:cs="仿宋_GB2312"/>
          <w:sz w:val="32"/>
          <w:szCs w:val="32"/>
          <w:lang w:eastAsia="zh-CN"/>
        </w:rPr>
        <w:t>参与全民健身的热情也越来越高。</w:t>
      </w:r>
      <w:r>
        <w:rPr>
          <w:rFonts w:hint="eastAsia" w:ascii="仿宋_GB2312" w:hAnsi="仿宋_GB2312" w:eastAsia="仿宋_GB2312" w:cs="仿宋_GB2312"/>
          <w:color w:val="auto"/>
          <w:sz w:val="32"/>
          <w:szCs w:val="32"/>
          <w:lang w:val="en-US" w:eastAsia="zh-CN"/>
        </w:rPr>
        <w:t>满足了朝阳区网球爱好者的健身需求，进一步完善了全民健身公共服务体系，</w:t>
      </w:r>
      <w:r>
        <w:rPr>
          <w:rFonts w:hint="eastAsia" w:ascii="仿宋_GB2312" w:hAnsi="仿宋_GB2312" w:eastAsia="仿宋_GB2312" w:cs="仿宋_GB2312"/>
          <w:kern w:val="2"/>
          <w:sz w:val="32"/>
          <w:szCs w:val="32"/>
        </w:rPr>
        <w:t>推进朝阳区网球</w:t>
      </w:r>
      <w:r>
        <w:rPr>
          <w:rFonts w:hint="eastAsia" w:ascii="仿宋_GB2312" w:hAnsi="仿宋_GB2312" w:eastAsia="仿宋_GB2312" w:cs="仿宋_GB2312"/>
          <w:kern w:val="2"/>
          <w:sz w:val="32"/>
          <w:szCs w:val="32"/>
          <w:lang w:eastAsia="zh-CN"/>
        </w:rPr>
        <w:t>示范</w:t>
      </w:r>
      <w:r>
        <w:rPr>
          <w:rFonts w:hint="eastAsia" w:ascii="仿宋_GB2312" w:hAnsi="仿宋_GB2312" w:eastAsia="仿宋_GB2312" w:cs="仿宋_GB2312"/>
          <w:kern w:val="2"/>
          <w:sz w:val="32"/>
          <w:szCs w:val="32"/>
        </w:rPr>
        <w:t>区建设各项工作</w:t>
      </w:r>
      <w:r>
        <w:rPr>
          <w:rFonts w:hint="eastAsia" w:ascii="仿宋_GB2312" w:hAnsi="仿宋_GB2312" w:eastAsia="仿宋_GB2312" w:cs="仿宋_GB2312"/>
          <w:kern w:val="2"/>
          <w:sz w:val="32"/>
          <w:szCs w:val="32"/>
          <w:lang w:eastAsia="zh-CN"/>
        </w:rPr>
        <w:t>开展，</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shd w:val="clear" w:color="auto" w:fill="FFFFFF"/>
          <w:lang w:eastAsia="zh-CN"/>
        </w:rPr>
        <w:t>网球示范区建设做贡献、注活力，</w:t>
      </w:r>
      <w:r>
        <w:rPr>
          <w:rFonts w:hint="eastAsia" w:ascii="仿宋_GB2312" w:hAnsi="仿宋_GB2312" w:eastAsia="仿宋_GB2312" w:cs="仿宋_GB2312"/>
          <w:kern w:val="2"/>
          <w:sz w:val="32"/>
          <w:szCs w:val="32"/>
        </w:rPr>
        <w:t>为网球爱好者</w:t>
      </w:r>
      <w:r>
        <w:rPr>
          <w:rFonts w:hint="eastAsia" w:ascii="仿宋_GB2312" w:hAnsi="仿宋_GB2312" w:eastAsia="仿宋_GB2312" w:cs="仿宋_GB2312"/>
          <w:kern w:val="2"/>
          <w:sz w:val="32"/>
          <w:szCs w:val="32"/>
          <w:lang w:eastAsia="zh-CN"/>
        </w:rPr>
        <w:t>创造更多的</w:t>
      </w:r>
      <w:r>
        <w:rPr>
          <w:rFonts w:hint="eastAsia" w:ascii="仿宋_GB2312" w:hAnsi="仿宋_GB2312" w:eastAsia="仿宋_GB2312" w:cs="仿宋_GB2312"/>
          <w:kern w:val="2"/>
          <w:sz w:val="32"/>
          <w:szCs w:val="32"/>
        </w:rPr>
        <w:t>网球比赛交流的机会，</w:t>
      </w:r>
      <w:r>
        <w:rPr>
          <w:rFonts w:hint="eastAsia" w:ascii="仿宋_GB2312" w:hAnsi="仿宋_GB2312" w:eastAsia="仿宋_GB2312" w:cs="仿宋_GB2312"/>
          <w:kern w:val="2"/>
          <w:sz w:val="32"/>
          <w:szCs w:val="32"/>
          <w:lang w:eastAsia="zh-CN"/>
        </w:rPr>
        <w:t>同时也</w:t>
      </w:r>
      <w:r>
        <w:rPr>
          <w:rFonts w:hint="eastAsia" w:ascii="仿宋_GB2312" w:hAnsi="仿宋_GB2312" w:eastAsia="仿宋_GB2312" w:cs="仿宋_GB2312"/>
          <w:color w:val="auto"/>
          <w:sz w:val="32"/>
          <w:szCs w:val="32"/>
          <w:lang w:val="en-US" w:eastAsia="zh-CN"/>
        </w:rPr>
        <w:t>提高了群众参与网球赛事运动积极性，擦亮了朝阳区“网球示范区”的金名片。</w:t>
      </w:r>
      <w:r>
        <w:rPr>
          <w:rFonts w:hint="eastAsia" w:ascii="仿宋_GB2312" w:hAnsi="仿宋_GB2312" w:eastAsia="仿宋_GB2312" w:cs="仿宋_GB2312"/>
          <w:color w:val="000000"/>
          <w:kern w:val="0"/>
          <w:sz w:val="32"/>
          <w:szCs w:val="32"/>
        </w:rPr>
        <w:t>2023年社体中心举办了健身操、羽毛球、体适能等社体员推广活动，培育了一批杰出的社体员队伍；此外，还举办了门球、棋牌、健身气功等比赛，调动了朝阳群众的健身积极性；冰壶、冰龙舟、雪垒等活动相继开展，调动</w:t>
      </w:r>
      <w:r>
        <w:rPr>
          <w:rFonts w:hint="eastAsia" w:ascii="仿宋_GB2312" w:hAnsi="仿宋_GB2312" w:eastAsia="仿宋_GB2312" w:cs="仿宋_GB2312"/>
          <w:color w:val="000000"/>
          <w:kern w:val="0"/>
          <w:sz w:val="32"/>
          <w:szCs w:val="32"/>
          <w:lang w:eastAsia="zh-CN"/>
        </w:rPr>
        <w:t>群众</w:t>
      </w:r>
      <w:r>
        <w:rPr>
          <w:rFonts w:hint="eastAsia" w:ascii="仿宋_GB2312" w:hAnsi="仿宋_GB2312" w:eastAsia="仿宋_GB2312" w:cs="仿宋_GB2312"/>
          <w:color w:val="000000"/>
          <w:kern w:val="0"/>
          <w:sz w:val="32"/>
          <w:szCs w:val="32"/>
        </w:rPr>
        <w:t>健身热情。</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480" w:firstLineChars="15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竞技体育方面，体育局青少科</w:t>
      </w:r>
      <w:r>
        <w:rPr>
          <w:rFonts w:hint="eastAsia" w:ascii="仿宋_GB2312" w:hAnsi="仿宋_GB2312" w:eastAsia="仿宋_GB2312" w:cs="仿宋_GB2312"/>
          <w:color w:val="000000"/>
          <w:kern w:val="0"/>
          <w:sz w:val="32"/>
          <w:szCs w:val="32"/>
          <w:lang w:val="en-US" w:eastAsia="zh-CN"/>
        </w:rPr>
        <w:t>全年举办的赛事活动无安全事故发生，入围学青会决赛的281名朝阳籍运动员参加全国运动会的运动员未发生兴奋剂事件。</w:t>
      </w:r>
      <w:r>
        <w:rPr>
          <w:rFonts w:hint="eastAsia" w:ascii="仿宋_GB2312" w:hAnsi="仿宋_GB2312" w:eastAsia="仿宋_GB2312" w:cs="仿宋_GB2312"/>
          <w:sz w:val="32"/>
          <w:szCs w:val="32"/>
        </w:rPr>
        <w:t>进一步推动和发展竞技体育后备人才培养工作，推动运动队建设，提高青少年业余训练水平，保障训练相关需求，促进运动员及教职员工等团结奋进，共同向培养和输送更多优秀竞技体育后备人才努力，并对其多年来坚持不懈的付出给予肯定和鼓励。</w:t>
      </w:r>
      <w:r>
        <w:rPr>
          <w:rFonts w:hint="eastAsia" w:ascii="仿宋_GB2312" w:hAnsi="仿宋_GB2312" w:eastAsia="仿宋_GB2312" w:cs="仿宋_GB2312"/>
          <w:color w:val="000000"/>
          <w:kern w:val="0"/>
          <w:sz w:val="32"/>
          <w:szCs w:val="32"/>
        </w:rPr>
        <w:t>训练场地达到训练要求、训练器材质量达到要求、运动员伙食质量达标、卫生达标，合作俱乐部水平高，对第一届学青会和二冬会的保障水平高。</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480" w:firstLineChars="150"/>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color w:val="000000"/>
          <w:kern w:val="0"/>
          <w:sz w:val="32"/>
          <w:szCs w:val="32"/>
          <w:lang w:val="en-US" w:eastAsia="zh-CN"/>
        </w:rPr>
        <w:t>体育市场方面，全年监督体育经营单位到位，接诉即办工作</w:t>
      </w:r>
      <w:r>
        <w:rPr>
          <w:rFonts w:hint="eastAsia" w:ascii="仿宋_GB2312" w:hAnsi="仿宋_GB2312" w:eastAsia="仿宋_GB2312" w:cs="仿宋_GB2312"/>
          <w:b w:val="0"/>
          <w:color w:val="auto"/>
          <w:kern w:val="2"/>
          <w:sz w:val="32"/>
          <w:szCs w:val="32"/>
          <w:lang w:val="en-US" w:eastAsia="zh-CN" w:bidi="ar"/>
        </w:rPr>
        <w:t>2023年1月至12月三率平均考核成绩为：响应率100%、解决率96.16%、满意率94.83%。其中，5月、7月、11月、12月考核期体育局在全区委办局系统中四次排名第一。</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auto"/>
          <w:kern w:val="2"/>
          <w:sz w:val="32"/>
          <w:szCs w:val="32"/>
          <w:lang w:val="en-US" w:eastAsia="zh-CN" w:bidi="ar"/>
        </w:rPr>
        <w:t>体育场馆方面，</w:t>
      </w:r>
      <w:r>
        <w:rPr>
          <w:rFonts w:hint="eastAsia" w:ascii="仿宋_GB2312" w:hAnsi="仿宋_GB2312" w:eastAsia="仿宋_GB2312" w:cs="仿宋_GB2312"/>
          <w:sz w:val="32"/>
          <w:szCs w:val="32"/>
          <w:lang w:val="en-US" w:eastAsia="zh-CN"/>
        </w:rPr>
        <w:t>北侧区域拆除硬化路面，恢复林地植被及喷灌系统。过朝阳区体育健身休闲公园的恢复建设，在保证现有场地继续作为国家重大活动保障场地的同时，增加体育设施建设，有效提升公园体育服务的多元化，适应各方面的体育健身需要。</w:t>
      </w:r>
    </w:p>
    <w:p>
      <w:pPr>
        <w:numPr>
          <w:ilvl w:val="0"/>
          <w:numId w:val="2"/>
        </w:num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进度</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各项目严格按照计划执行完成项目进度。社体中心2023年除市运会群众项目冰蹴球比赛延期至2024年，其他培训及比赛均已于2023年底之前圆满完成。</w:t>
      </w:r>
    </w:p>
    <w:p>
      <w:pPr>
        <w:numPr>
          <w:ilvl w:val="0"/>
          <w:numId w:val="2"/>
        </w:num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rPr>
        <w:t xml:space="preserve">   </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FangSong_GB2312" w:hAnsi="宋体" w:eastAsia="FangSong_GB2312" w:cs="宋体"/>
          <w:color w:val="000000"/>
          <w:kern w:val="0"/>
          <w:sz w:val="32"/>
          <w:szCs w:val="32"/>
        </w:rPr>
        <w:t>严格执行全年预算控制数</w:t>
      </w:r>
      <w:r>
        <w:rPr>
          <w:rFonts w:hint="eastAsia" w:ascii="FangSong_GB2312" w:hAnsi="宋体" w:eastAsia="FangSong_GB2312" w:cs="宋体"/>
          <w:color w:val="000000"/>
          <w:kern w:val="0"/>
          <w:sz w:val="32"/>
          <w:szCs w:val="32"/>
          <w:lang w:eastAsia="zh-CN"/>
        </w:rPr>
        <w:t>，</w:t>
      </w:r>
      <w:r>
        <w:rPr>
          <w:rFonts w:hint="eastAsia" w:ascii="仿宋_GB2312" w:hAnsi="宋体" w:eastAsia="仿宋_GB2312" w:cs="宋体"/>
          <w:color w:val="000000"/>
          <w:kern w:val="0"/>
          <w:sz w:val="32"/>
          <w:szCs w:val="32"/>
        </w:rPr>
        <w:t>成本指标控制在预算范围内</w:t>
      </w:r>
      <w:r>
        <w:rPr>
          <w:rFonts w:hint="eastAsia" w:ascii="FangSong_GB2312" w:hAnsi="宋体" w:eastAsia="FangSong_GB2312" w:cs="宋体"/>
          <w:color w:val="000000"/>
          <w:kern w:val="0"/>
          <w:sz w:val="32"/>
          <w:szCs w:val="32"/>
        </w:rPr>
        <w:t>。</w:t>
      </w:r>
      <w:r>
        <w:rPr>
          <w:rFonts w:hint="eastAsia" w:ascii="仿宋_GB2312" w:hAnsi="宋体" w:eastAsia="仿宋_GB2312" w:cs="宋体"/>
          <w:color w:val="000000"/>
          <w:kern w:val="0"/>
          <w:sz w:val="32"/>
          <w:szCs w:val="32"/>
        </w:rPr>
        <w:t xml:space="preserve">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p>
    <w:p>
      <w:pPr>
        <w:keepNext w:val="0"/>
        <w:keepLines w:val="0"/>
        <w:pageBreakBefore w:val="0"/>
        <w:widowControl w:val="0"/>
        <w:kinsoku/>
        <w:wordWrap/>
        <w:overflowPunct/>
        <w:topLinePunct w:val="0"/>
        <w:autoSpaceDE/>
        <w:autoSpaceDN/>
        <w:bidi w:val="0"/>
        <w:adjustRightInd w:val="0"/>
        <w:snapToGrid w:val="0"/>
        <w:spacing w:line="360" w:lineRule="auto"/>
        <w:ind w:left="105" w:leftChars="50" w:firstLine="480" w:firstLineChars="150"/>
        <w:textAlignment w:val="auto"/>
      </w:pPr>
      <w:r>
        <w:rPr>
          <w:rFonts w:hint="eastAsia" w:ascii="仿宋_GB2312" w:hAnsi="宋体" w:eastAsia="仿宋_GB2312" w:cs="宋体"/>
          <w:color w:val="000000"/>
          <w:kern w:val="0"/>
          <w:sz w:val="32"/>
          <w:szCs w:val="32"/>
        </w:rPr>
        <w:t>提高机关日常运行保障效率，有效的提高节约成本。</w:t>
      </w:r>
      <w:r>
        <w:rPr>
          <w:rFonts w:hint="eastAsia" w:ascii="仿宋_GB2312" w:hAnsi="宋体" w:eastAsia="仿宋_GB2312" w:cs="宋体"/>
          <w:color w:val="000000"/>
          <w:kern w:val="0"/>
          <w:sz w:val="32"/>
          <w:szCs w:val="32"/>
          <w:lang w:eastAsia="zh-CN"/>
        </w:rPr>
        <w:t>项目</w:t>
      </w:r>
      <w:r>
        <w:rPr>
          <w:rFonts w:hint="eastAsia" w:ascii="仿宋_GB2312" w:hAnsi="宋体" w:eastAsia="仿宋_GB2312" w:cs="宋体"/>
          <w:color w:val="000000"/>
          <w:kern w:val="0"/>
          <w:sz w:val="32"/>
          <w:szCs w:val="32"/>
        </w:rPr>
        <w:t>资源得到了更大程度的利用</w:t>
      </w:r>
      <w:r>
        <w:rPr>
          <w:rFonts w:hint="eastAsia" w:ascii="仿宋_GB2312" w:hAnsi="宋体" w:eastAsia="仿宋_GB2312" w:cs="宋体"/>
          <w:color w:val="000000"/>
          <w:kern w:val="0"/>
          <w:sz w:val="32"/>
          <w:szCs w:val="32"/>
          <w:lang w:eastAsia="zh-CN"/>
        </w:rPr>
        <w:t>，增加了经济效益。</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2.社会效益</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480"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群众体育方面，通过开展全民健身场地设施建设与管理、健身队伍打造、健身活动开展、健身培训、健身指导、健身文化普及、健身研讨、推动全民健身交流等不断满足群众多元化健身需求，推动了全民健身活动的开展，提高了朝阳区群众身体素质和健康水平，并在一定程度上有效带动了地区经济建设和社会发展。</w:t>
      </w:r>
      <w:r>
        <w:rPr>
          <w:rFonts w:hint="eastAsia" w:ascii="仿宋_GB2312" w:hAnsi="仿宋_GB2312" w:eastAsia="仿宋_GB2312" w:cs="仿宋_GB2312"/>
          <w:color w:val="000000"/>
          <w:kern w:val="0"/>
          <w:sz w:val="32"/>
          <w:szCs w:val="32"/>
        </w:rPr>
        <w:t>社体员的培训、体育协会赛事活动以及市运会群众组的参与激发了群众的健身热情，促进了体育的传播力，让更多的人参与到全民健身中来。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体育市场方面，</w:t>
      </w:r>
      <w:r>
        <w:rPr>
          <w:rFonts w:hint="eastAsia" w:ascii="仿宋_GB2312" w:hAnsi="仿宋_GB2312" w:eastAsia="仿宋_GB2312" w:cs="仿宋_GB2312"/>
          <w:sz w:val="32"/>
          <w:szCs w:val="32"/>
        </w:rPr>
        <w:t>根据北京市出台《关于进一步深化“接诉即办”改革工作的意见》，继续完善“接诉即办”制度体系和工作体系，健全基层治理的应急机制、服务群众的响应机制和打通“最后一公里”的工作机制。闻风而动、全时响应、接诉即办，实现公众诉求快速响应，提高政府服务水平，提升服务质量及群众满意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维护群众合法体育权益。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eastAsia="zh-CN"/>
        </w:rPr>
        <w:t>竞技体育方面，推广普及运动项目，增加运动人口，提升青少年体质健康。</w:t>
      </w:r>
      <w:r>
        <w:rPr>
          <w:rFonts w:hint="eastAsia" w:ascii="仿宋_GB2312" w:hAnsi="仿宋_GB2312" w:eastAsia="仿宋_GB2312" w:cs="仿宋_GB2312"/>
          <w:color w:val="000000"/>
          <w:kern w:val="0"/>
          <w:sz w:val="32"/>
          <w:szCs w:val="32"/>
          <w:lang w:val="en-US" w:eastAsia="zh-CN"/>
        </w:rPr>
        <w:t>每次的活动和比赛都进行了相关的媒体报道，提高宣传力度，扩大项目影响力。</w:t>
      </w:r>
      <w:r>
        <w:rPr>
          <w:rFonts w:hint="eastAsia" w:ascii="仿宋_GB2312" w:hAnsi="仿宋_GB2312" w:eastAsia="仿宋_GB2312" w:cs="仿宋_GB2312"/>
          <w:sz w:val="32"/>
          <w:szCs w:val="32"/>
        </w:rPr>
        <w:t>保证训练比赛及日常工作正常进行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rPr>
        <w:t>提高了</w:t>
      </w:r>
      <w:r>
        <w:rPr>
          <w:rFonts w:hint="eastAsia" w:ascii="仿宋_GB2312" w:hAnsi="仿宋_GB2312" w:eastAsia="仿宋_GB2312" w:cs="仿宋_GB2312"/>
          <w:color w:val="000000"/>
          <w:kern w:val="0"/>
          <w:sz w:val="32"/>
          <w:szCs w:val="32"/>
          <w:lang w:eastAsia="zh-CN"/>
        </w:rPr>
        <w:t>体</w:t>
      </w:r>
      <w:r>
        <w:rPr>
          <w:rFonts w:hint="eastAsia" w:ascii="仿宋_GB2312" w:hAnsi="仿宋_GB2312" w:eastAsia="仿宋_GB2312" w:cs="仿宋_GB2312"/>
          <w:color w:val="000000"/>
          <w:kern w:val="0"/>
          <w:sz w:val="32"/>
          <w:szCs w:val="32"/>
        </w:rPr>
        <w:t>校竞技体育水平，扩大了</w:t>
      </w:r>
      <w:r>
        <w:rPr>
          <w:rFonts w:hint="eastAsia" w:ascii="仿宋_GB2312" w:hAnsi="仿宋_GB2312" w:eastAsia="仿宋_GB2312" w:cs="仿宋_GB2312"/>
          <w:color w:val="000000"/>
          <w:kern w:val="0"/>
          <w:sz w:val="32"/>
          <w:szCs w:val="32"/>
          <w:lang w:eastAsia="zh-CN"/>
        </w:rPr>
        <w:t>体</w:t>
      </w:r>
      <w:r>
        <w:rPr>
          <w:rFonts w:hint="eastAsia" w:ascii="仿宋_GB2312" w:hAnsi="仿宋_GB2312" w:eastAsia="仿宋_GB2312" w:cs="仿宋_GB2312"/>
          <w:color w:val="000000"/>
          <w:kern w:val="0"/>
          <w:sz w:val="32"/>
          <w:szCs w:val="32"/>
        </w:rPr>
        <w:t>校的社会影响力，提高了</w:t>
      </w:r>
      <w:r>
        <w:rPr>
          <w:rFonts w:hint="eastAsia" w:ascii="仿宋_GB2312" w:hAnsi="仿宋_GB2312" w:eastAsia="仿宋_GB2312" w:cs="仿宋_GB2312"/>
          <w:color w:val="000000"/>
          <w:kern w:val="0"/>
          <w:sz w:val="32"/>
          <w:szCs w:val="32"/>
          <w:lang w:eastAsia="zh-CN"/>
        </w:rPr>
        <w:t>体</w:t>
      </w:r>
      <w:r>
        <w:rPr>
          <w:rFonts w:hint="eastAsia" w:ascii="仿宋_GB2312" w:hAnsi="仿宋_GB2312" w:eastAsia="仿宋_GB2312" w:cs="仿宋_GB2312"/>
          <w:color w:val="000000"/>
          <w:kern w:val="0"/>
          <w:sz w:val="32"/>
          <w:szCs w:val="32"/>
        </w:rPr>
        <w:t>校项目的宣传</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进一步推动和发展了竞技体育后备人才培养工作，推动运动队建设、提高青少年业余训练水平，保障训练相关需求，培养了更多优秀竞技体育后备人才</w:t>
      </w:r>
      <w:r>
        <w:rPr>
          <w:rFonts w:hint="eastAsia" w:ascii="仿宋_GB2312" w:hAnsi="仿宋_GB2312" w:eastAsia="仿宋_GB2312" w:cs="仿宋_GB2312"/>
          <w:sz w:val="32"/>
          <w:szCs w:val="32"/>
          <w:lang w:eastAsia="zh-CN"/>
        </w:rPr>
        <w:t>。科研所</w:t>
      </w:r>
      <w:r>
        <w:rPr>
          <w:rFonts w:hint="eastAsia" w:ascii="仿宋_GB2312" w:hAnsi="仿宋_GB2312" w:eastAsia="仿宋_GB2312" w:cs="仿宋_GB2312"/>
          <w:color w:val="000000"/>
          <w:kern w:val="0"/>
          <w:sz w:val="32"/>
          <w:szCs w:val="32"/>
        </w:rPr>
        <w:t>完成了科学促训，为三所体校的教练员、运动员提供了日常训练以及各项测试中的身体机能指标监测、康复理疗、测试数据采集、体能训练、营养补充以及业务培训、国民体质测试等服务，为教练员制定训练、比赛计划提供了科学的依据，为运动员参与训练、比赛时提供了充分的保障。</w:t>
      </w:r>
    </w:p>
    <w:p>
      <w:pPr>
        <w:pStyle w:val="9"/>
        <w:keepNext w:val="0"/>
        <w:keepLines w:val="0"/>
        <w:pageBreakBefore w:val="0"/>
        <w:widowControl w:val="0"/>
        <w:kinsoku/>
        <w:wordWrap/>
        <w:overflowPunct/>
        <w:topLinePunct w:val="0"/>
        <w:autoSpaceDE/>
        <w:autoSpaceDN/>
        <w:bidi w:val="0"/>
        <w:adjustRightInd/>
        <w:snapToGrid/>
        <w:spacing w:line="360" w:lineRule="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体育场馆方面，</w:t>
      </w:r>
      <w:r>
        <w:rPr>
          <w:rFonts w:hint="eastAsia" w:ascii="仿宋_GB2312" w:hAnsi="仿宋_GB2312" w:eastAsia="仿宋_GB2312" w:cs="仿宋_GB2312"/>
          <w:sz w:val="32"/>
          <w:szCs w:val="32"/>
          <w:lang w:val="en-US" w:eastAsia="zh-CN"/>
        </w:rPr>
        <w:t>使就业岗位有所提高；完成了日常设备实施的维修维护，保证场馆的正常经营；使主体育场设施更加完善，杜绝了安全隐患；方舱医院的运行得到了保障。</w:t>
      </w:r>
      <w:r>
        <w:rPr>
          <w:rFonts w:hint="eastAsia" w:ascii="仿宋_GB2312" w:hAnsi="仿宋_GB2312" w:eastAsia="仿宋_GB2312" w:cs="仿宋_GB2312"/>
          <w:sz w:val="32"/>
          <w:szCs w:val="32"/>
          <w:highlight w:val="none"/>
          <w:lang w:val="en-US" w:eastAsia="zh-CN"/>
        </w:rPr>
        <w:t>体育产业方面，</w:t>
      </w:r>
      <w:r>
        <w:rPr>
          <w:rFonts w:hint="eastAsia" w:ascii="仿宋_GB2312" w:hAnsi="仿宋_GB2312" w:eastAsia="仿宋_GB2312" w:cs="仿宋_GB2312"/>
          <w:sz w:val="32"/>
          <w:szCs w:val="32"/>
          <w:highlight w:val="none"/>
        </w:rPr>
        <w:t>规范了体育服务管理，为企业做好后勤保障</w:t>
      </w:r>
      <w:r>
        <w:rPr>
          <w:rFonts w:hint="eastAsia" w:ascii="仿宋_GB2312" w:hAnsi="仿宋_GB2312" w:eastAsia="仿宋_GB2312" w:cs="仿宋_GB2312"/>
          <w:sz w:val="32"/>
          <w:szCs w:val="32"/>
          <w:highlight w:val="none"/>
          <w:lang w:eastAsia="zh-CN"/>
        </w:rPr>
        <w:t>。发挥“双奥朝阳”资源优势，促进奥运场馆赛后利用, 搭建企业交流发展平台，全力支持企业发展，加强企业粘合度, 以赛事辐射带动周边消费,促进GDP提升。</w:t>
      </w:r>
    </w:p>
    <w:p>
      <w:pPr>
        <w:numPr>
          <w:ilvl w:val="0"/>
          <w:numId w:val="3"/>
        </w:num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可持续</w:t>
      </w:r>
      <w:r>
        <w:rPr>
          <w:rFonts w:ascii="仿宋_GB2312" w:hAnsi="宋体" w:eastAsia="仿宋_GB2312" w:cs="宋体"/>
          <w:color w:val="000000"/>
          <w:kern w:val="0"/>
          <w:sz w:val="32"/>
          <w:szCs w:val="32"/>
        </w:rPr>
        <w:t>性影响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促进了</w:t>
      </w:r>
      <w:r>
        <w:rPr>
          <w:rFonts w:hint="eastAsia" w:ascii="仿宋_GB2312" w:hAnsi="仿宋_GB2312" w:eastAsia="仿宋_GB2312" w:cs="仿宋_GB2312"/>
          <w:color w:val="000000"/>
          <w:kern w:val="0"/>
          <w:sz w:val="32"/>
          <w:szCs w:val="32"/>
          <w:lang w:eastAsia="zh-CN"/>
        </w:rPr>
        <w:t>体</w:t>
      </w:r>
      <w:r>
        <w:rPr>
          <w:rFonts w:hint="eastAsia" w:ascii="仿宋_GB2312" w:hAnsi="仿宋_GB2312" w:eastAsia="仿宋_GB2312" w:cs="仿宋_GB2312"/>
          <w:color w:val="000000"/>
          <w:kern w:val="0"/>
          <w:sz w:val="32"/>
          <w:szCs w:val="32"/>
        </w:rPr>
        <w:t>校业训工作的可持续发展。</w:t>
      </w:r>
      <w:r>
        <w:rPr>
          <w:rFonts w:hint="eastAsia" w:ascii="仿宋_GB2312" w:hAnsi="仿宋_GB2312" w:eastAsia="仿宋_GB2312" w:cs="仿宋_GB2312"/>
          <w:sz w:val="32"/>
          <w:szCs w:val="32"/>
        </w:rPr>
        <w:t>使广大群众切实从场馆开放中受益有所提高</w:t>
      </w:r>
      <w:r>
        <w:rPr>
          <w:rFonts w:hint="eastAsia" w:ascii="仿宋_GB2312" w:hAnsi="仿宋_GB2312" w:eastAsia="仿宋_GB2312" w:cs="仿宋_GB2312"/>
          <w:sz w:val="32"/>
          <w:szCs w:val="32"/>
          <w:lang w:eastAsia="zh-CN"/>
        </w:rPr>
        <w:t>；满足全民健身对体育设施日益增长的需求。</w:t>
      </w:r>
      <w:r>
        <w:rPr>
          <w:rFonts w:hint="eastAsia" w:ascii="仿宋_GB2312" w:hAnsi="仿宋_GB2312" w:eastAsia="仿宋_GB2312" w:cs="仿宋_GB2312"/>
          <w:color w:val="000000"/>
          <w:kern w:val="0"/>
          <w:sz w:val="32"/>
          <w:szCs w:val="32"/>
        </w:rPr>
        <w:t>通过开展社会体育指导员培训和体育赛事，极大的提高了参与人员的技能及参与度。</w:t>
      </w:r>
    </w:p>
    <w:p>
      <w:pPr>
        <w:numPr>
          <w:ilvl w:val="0"/>
          <w:numId w:val="3"/>
        </w:num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服务对象</w:t>
      </w:r>
      <w:r>
        <w:rPr>
          <w:rFonts w:ascii="仿宋_GB2312" w:hAnsi="宋体" w:eastAsia="仿宋_GB2312" w:cs="宋体"/>
          <w:color w:val="000000"/>
          <w:kern w:val="0"/>
          <w:sz w:val="32"/>
          <w:szCs w:val="32"/>
        </w:rPr>
        <w:t>满意度</w:t>
      </w:r>
    </w:p>
    <w:p>
      <w:pPr>
        <w:tabs>
          <w:tab w:val="center" w:pos="4445"/>
        </w:tabs>
        <w:spacing w:line="600" w:lineRule="exact"/>
        <w:ind w:left="105" w:leftChars="50" w:firstLine="480" w:firstLineChars="150"/>
      </w:pPr>
      <w:r>
        <w:rPr>
          <w:rFonts w:hint="eastAsia" w:ascii="仿宋_GB2312" w:hAnsi="宋体" w:eastAsia="仿宋_GB2312" w:cs="宋体"/>
          <w:color w:val="000000"/>
          <w:kern w:val="0"/>
          <w:sz w:val="32"/>
          <w:szCs w:val="32"/>
          <w:lang w:eastAsia="zh-CN"/>
        </w:rPr>
        <w:t>各项目</w:t>
      </w:r>
      <w:r>
        <w:rPr>
          <w:rFonts w:hint="eastAsia" w:ascii="仿宋_GB2312" w:hAnsi="宋体" w:eastAsia="仿宋_GB2312" w:cs="宋体"/>
          <w:color w:val="000000"/>
          <w:kern w:val="0"/>
          <w:sz w:val="32"/>
          <w:szCs w:val="32"/>
        </w:rPr>
        <w:t>服务对象满意度</w:t>
      </w:r>
      <w:r>
        <w:rPr>
          <w:rFonts w:hint="eastAsia" w:ascii="仿宋_GB2312" w:hAnsi="宋体" w:eastAsia="仿宋_GB2312" w:cs="宋体"/>
          <w:color w:val="000000"/>
          <w:kern w:val="0"/>
          <w:sz w:val="32"/>
          <w:szCs w:val="32"/>
          <w:lang w:eastAsia="zh-CN"/>
        </w:rPr>
        <w:t>达到指标设定的要求</w:t>
      </w:r>
      <w:r>
        <w:rPr>
          <w:rFonts w:hint="eastAsia" w:ascii="仿宋_GB2312" w:hAnsi="宋体" w:eastAsia="仿宋_GB2312" w:cs="宋体"/>
          <w:color w:val="000000"/>
          <w:kern w:val="0"/>
          <w:sz w:val="32"/>
          <w:szCs w:val="32"/>
          <w:lang w:val="en-US" w:eastAsia="zh-CN"/>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pPr>
        <w:keepNext w:val="0"/>
        <w:keepLines w:val="0"/>
        <w:pageBreakBefore w:val="0"/>
        <w:widowControl w:val="0"/>
        <w:kinsoku/>
        <w:wordWrap/>
        <w:overflowPunct/>
        <w:topLinePunct w:val="0"/>
        <w:autoSpaceDE/>
        <w:autoSpaceDN/>
        <w:bidi w:val="0"/>
        <w:adjustRightInd/>
        <w:snapToGrid w:val="0"/>
        <w:spacing w:line="360" w:lineRule="auto"/>
        <w:ind w:left="105" w:leftChars="5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eastAsia="zh-CN"/>
        </w:rPr>
        <w:t>本部门</w:t>
      </w:r>
      <w:r>
        <w:rPr>
          <w:rFonts w:hint="eastAsia" w:ascii="仿宋_GB2312" w:hAnsi="仿宋_GB2312" w:eastAsia="仿宋_GB2312" w:cs="仿宋_GB2312"/>
          <w:color w:val="000000"/>
          <w:kern w:val="0"/>
          <w:sz w:val="32"/>
          <w:szCs w:val="32"/>
        </w:rPr>
        <w:t>财务管理制度健全，财务工作严格按照财务制度执行。充分发挥财务管理的监督核算，保障职能</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为财务工作稳定有序的开展提供了有力的制度保障</w:t>
      </w:r>
      <w:r>
        <w:rPr>
          <w:rFonts w:hint="eastAsia" w:ascii="仿宋_GB2312" w:hAnsi="仿宋_GB2312" w:eastAsia="仿宋_GB2312" w:cs="仿宋_GB2312"/>
          <w:color w:val="000000"/>
          <w:kern w:val="0"/>
          <w:sz w:val="32"/>
          <w:szCs w:val="32"/>
          <w:lang w:eastAsia="zh-CN"/>
        </w:rPr>
        <w:t>。</w:t>
      </w:r>
    </w:p>
    <w:p>
      <w:pPr>
        <w:numPr>
          <w:ilvl w:val="0"/>
          <w:numId w:val="4"/>
        </w:numPr>
        <w:spacing w:line="600" w:lineRule="exact"/>
        <w:ind w:left="105" w:leftChars="50" w:firstLine="480" w:firstLineChars="150"/>
      </w:pPr>
      <w:r>
        <w:rPr>
          <w:rFonts w:hint="eastAsia" w:ascii="仿宋_GB2312" w:hAnsi="宋体" w:eastAsia="仿宋_GB2312" w:cs="宋体"/>
          <w:color w:val="000000"/>
          <w:kern w:val="0"/>
          <w:sz w:val="32"/>
          <w:szCs w:val="32"/>
        </w:rPr>
        <w:t>资金使用合规性</w:t>
      </w:r>
      <w:r>
        <w:rPr>
          <w:rFonts w:ascii="仿宋_GB2312" w:hAnsi="宋体" w:eastAsia="仿宋_GB2312" w:cs="宋体"/>
          <w:color w:val="000000"/>
          <w:kern w:val="0"/>
          <w:sz w:val="32"/>
          <w:szCs w:val="32"/>
        </w:rPr>
        <w:t>和安全性</w:t>
      </w:r>
    </w:p>
    <w:p>
      <w:pPr>
        <w:spacing w:line="600" w:lineRule="exact"/>
        <w:ind w:left="105" w:leftChars="50" w:firstLine="480" w:firstLineChars="150"/>
      </w:pPr>
      <w:r>
        <w:rPr>
          <w:rFonts w:hint="eastAsia" w:ascii="FangSong_GB2312" w:hAnsi="宋体" w:eastAsia="FangSong_GB2312" w:cs="宋体"/>
          <w:color w:val="000000"/>
          <w:kern w:val="0"/>
          <w:sz w:val="32"/>
          <w:szCs w:val="32"/>
        </w:rPr>
        <w:t>资金使用严格按照支出流程执行，保障资金使用的合规性和安全性。</w:t>
      </w:r>
      <w:r>
        <w:rPr>
          <w:rFonts w:hint="eastAsia" w:ascii="仿宋_GB2312" w:hAnsi="宋体" w:eastAsia="仿宋_GB2312" w:cs="宋体"/>
          <w:color w:val="000000"/>
          <w:kern w:val="0"/>
          <w:sz w:val="32"/>
          <w:szCs w:val="32"/>
          <w:lang w:eastAsia="zh-CN"/>
        </w:rPr>
        <w:t>严格按照部门预算管理要求，从预算编制入手，强化资金各环节的合规性和安全性，合理测算预算需求，不断加强财务管理，规范审批程序，严格执行标准，强化内部控制，确保各项资金支出符合财务规定。</w:t>
      </w:r>
    </w:p>
    <w:p>
      <w:pPr>
        <w:numPr>
          <w:ilvl w:val="0"/>
          <w:numId w:val="4"/>
        </w:num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加强对预算、财务、采购及管理等专业知识的学习，积极参加各类培训，及时掌握新规定，确保各项会计核算的规范及预决算数据的准确和完整，按要求做好向社会公开预决算信息工作。</w:t>
      </w:r>
    </w:p>
    <w:p>
      <w:pPr>
        <w:numPr>
          <w:ilvl w:val="0"/>
          <w:numId w:val="5"/>
        </w:numPr>
        <w:spacing w:line="600" w:lineRule="exact"/>
        <w:ind w:left="830" w:leftChars="0" w:firstLine="10" w:firstLineChars="0"/>
        <w:rPr>
          <w:rFonts w:hint="eastAsia" w:ascii="楷体_GB2312" w:eastAsia="楷体_GB2312"/>
          <w:sz w:val="32"/>
          <w:szCs w:val="32"/>
        </w:rPr>
      </w:pPr>
      <w:r>
        <w:rPr>
          <w:rFonts w:hint="eastAsia" w:ascii="楷体_GB2312" w:eastAsia="楷体_GB2312"/>
          <w:sz w:val="32"/>
          <w:szCs w:val="32"/>
        </w:rPr>
        <w:t>资产管理</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严格按照资产管理制度执行，保证资产管理的规范性，以确保单位国有资产的安全、完整，提高国有资产使用效益。</w:t>
      </w:r>
    </w:p>
    <w:p>
      <w:pPr>
        <w:numPr>
          <w:ilvl w:val="0"/>
          <w:numId w:val="5"/>
        </w:numPr>
        <w:spacing w:line="600" w:lineRule="exact"/>
        <w:ind w:left="830" w:leftChars="0" w:firstLine="10" w:firstLineChars="0"/>
        <w:rPr>
          <w:rFonts w:ascii="楷体_GB2312" w:eastAsia="楷体_GB2312"/>
          <w:sz w:val="32"/>
          <w:szCs w:val="32"/>
        </w:rPr>
      </w:pPr>
      <w:r>
        <w:rPr>
          <w:rFonts w:hint="eastAsia" w:ascii="楷体_GB2312" w:eastAsia="楷体_GB2312"/>
          <w:sz w:val="32"/>
          <w:szCs w:val="32"/>
        </w:rPr>
        <w:t>绩效</w:t>
      </w:r>
      <w:r>
        <w:rPr>
          <w:rFonts w:ascii="楷体_GB2312" w:eastAsia="楷体_GB2312"/>
          <w:sz w:val="32"/>
          <w:szCs w:val="32"/>
        </w:rPr>
        <w:t>管理</w:t>
      </w:r>
    </w:p>
    <w:p>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105" w:leftChars="50" w:firstLine="480" w:firstLineChars="15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2023年项目支出绩效目标设立与执行，工作初期单位对各个项目编报预算，并设立绩效目标，由各项目负责人根据预算及经费预计使用情况，设立产出指标、</w:t>
      </w:r>
      <w:r>
        <w:rPr>
          <w:rFonts w:hint="eastAsia" w:ascii="仿宋_GB2312" w:hAnsi="仿宋_GB2312" w:eastAsia="仿宋_GB2312" w:cs="仿宋_GB2312"/>
          <w:sz w:val="32"/>
          <w:szCs w:val="32"/>
          <w:lang w:eastAsia="zh-CN"/>
        </w:rPr>
        <w:t>效益</w:t>
      </w:r>
      <w:r>
        <w:rPr>
          <w:rFonts w:hint="eastAsia" w:ascii="仿宋_GB2312" w:hAnsi="仿宋_GB2312" w:eastAsia="仿宋_GB2312" w:cs="仿宋_GB2312"/>
          <w:sz w:val="32"/>
          <w:szCs w:val="32"/>
        </w:rPr>
        <w:t>指标等，</w:t>
      </w:r>
      <w:r>
        <w:rPr>
          <w:rFonts w:hint="eastAsia" w:ascii="仿宋_GB2312" w:hAnsi="仿宋_GB2312" w:eastAsia="仿宋_GB2312" w:cs="仿宋_GB2312"/>
          <w:sz w:val="32"/>
          <w:szCs w:val="32"/>
          <w:lang w:val="en-US" w:eastAsia="zh-CN"/>
        </w:rPr>
        <w:t>项目立项符合部门职责和相关管理制度，制定的项目绩效目标合理,</w:t>
      </w:r>
      <w:r>
        <w:rPr>
          <w:rFonts w:hint="eastAsia" w:ascii="仿宋_GB2312" w:hAnsi="仿宋_GB2312" w:eastAsia="仿宋_GB2312" w:cs="仿宋_GB2312"/>
          <w:sz w:val="32"/>
          <w:szCs w:val="32"/>
        </w:rPr>
        <w:t>并在实际工作中参照目标执行，达到合规合理使用项目经费</w:t>
      </w:r>
      <w:r>
        <w:rPr>
          <w:rFonts w:hint="eastAsia" w:ascii="仿宋_GB2312" w:hAnsi="仿宋_GB2312" w:eastAsia="仿宋_GB2312" w:cs="仿宋_GB2312"/>
          <w:sz w:val="32"/>
          <w:szCs w:val="32"/>
          <w:lang w:val="en-US" w:eastAsia="zh-CN"/>
        </w:rPr>
        <w:t>，达到了预期目标。</w:t>
      </w:r>
      <w:r>
        <w:rPr>
          <w:rFonts w:hint="eastAsia" w:ascii="仿宋_GB2312" w:hAnsi="仿宋_GB2312" w:eastAsia="仿宋_GB2312" w:cs="仿宋_GB2312"/>
          <w:sz w:val="32"/>
          <w:szCs w:val="32"/>
        </w:rPr>
        <w:t>预算执行完对照绩效目标做出绩效自评。</w:t>
      </w:r>
    </w:p>
    <w:p>
      <w:pPr>
        <w:numPr>
          <w:ilvl w:val="0"/>
          <w:numId w:val="5"/>
        </w:numPr>
        <w:spacing w:line="600" w:lineRule="exact"/>
        <w:ind w:left="830" w:leftChars="0" w:firstLine="10" w:firstLineChars="0"/>
        <w:rPr>
          <w:rFonts w:hint="eastAsia" w:ascii="楷体_GB2312" w:eastAsia="楷体_GB2312"/>
          <w:sz w:val="32"/>
          <w:szCs w:val="32"/>
        </w:rPr>
      </w:pPr>
      <w:r>
        <w:rPr>
          <w:rFonts w:hint="eastAsia" w:ascii="楷体_GB2312" w:eastAsia="楷体_GB2312"/>
          <w:sz w:val="32"/>
          <w:szCs w:val="32"/>
        </w:rPr>
        <w:t>结转结余率</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480" w:firstLineChars="150"/>
        <w:textAlignment w:val="auto"/>
      </w:pPr>
      <w:r>
        <w:rPr>
          <w:rFonts w:hint="eastAsia" w:ascii="仿宋_GB2312" w:hAnsi="仿宋_GB2312" w:eastAsia="仿宋_GB2312" w:cs="仿宋_GB2312"/>
          <w:sz w:val="32"/>
          <w:szCs w:val="32"/>
        </w:rPr>
        <w:t>本年无财政预算资金结转和结余。</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（五）部门</w:t>
      </w:r>
      <w:r>
        <w:rPr>
          <w:rFonts w:ascii="楷体_GB2312" w:eastAsia="楷体_GB2312"/>
          <w:sz w:val="32"/>
          <w:szCs w:val="32"/>
        </w:rPr>
        <w:t>预决算差异率</w:t>
      </w:r>
    </w:p>
    <w:p>
      <w:pPr>
        <w:pStyle w:val="3"/>
        <w:widowControl w:val="0"/>
        <w:numPr>
          <w:ilvl w:val="0"/>
          <w:numId w:val="0"/>
        </w:numPr>
        <w:ind w:firstLine="640" w:firstLineChars="200"/>
        <w:jc w:val="both"/>
        <w:rPr>
          <w:rFonts w:ascii="楷体_GB2312" w:eastAsia="楷体_GB2312"/>
          <w:sz w:val="32"/>
          <w:szCs w:val="32"/>
        </w:rPr>
      </w:pP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lang w:val="en-US" w:eastAsia="zh-CN"/>
        </w:rPr>
        <w:t>2023年年初预算数15851.92万元，全年预算数</w:t>
      </w:r>
      <w:r>
        <w:rPr>
          <w:rFonts w:hint="eastAsia" w:ascii="仿宋_GB2312" w:hAnsi="宋体" w:eastAsia="仿宋_GB2312" w:cs="宋体"/>
          <w:color w:val="000000"/>
          <w:kern w:val="0"/>
          <w:sz w:val="32"/>
          <w:szCs w:val="32"/>
          <w:highlight w:val="none"/>
          <w:lang w:val="en-US" w:eastAsia="zh-CN"/>
        </w:rPr>
        <w:t>17420.12</w:t>
      </w:r>
      <w:r>
        <w:rPr>
          <w:rFonts w:hint="eastAsia" w:ascii="仿宋_GB2312" w:hAnsi="仿宋_GB2312" w:eastAsia="仿宋_GB2312" w:cs="仿宋_GB2312"/>
          <w:sz w:val="32"/>
          <w:szCs w:val="32"/>
          <w:lang w:val="en-US" w:eastAsia="zh-CN"/>
        </w:rPr>
        <w:t>万元，决算支出数</w:t>
      </w:r>
      <w:r>
        <w:rPr>
          <w:rFonts w:hint="eastAsia" w:ascii="仿宋_GB2312" w:hAnsi="宋体" w:eastAsia="仿宋_GB2312" w:cs="宋体"/>
          <w:color w:val="000000"/>
          <w:kern w:val="0"/>
          <w:sz w:val="32"/>
          <w:szCs w:val="32"/>
          <w:highlight w:val="none"/>
          <w:lang w:val="en-US" w:eastAsia="zh-CN"/>
        </w:rPr>
        <w:t>17420.12</w:t>
      </w:r>
      <w:r>
        <w:rPr>
          <w:rFonts w:hint="eastAsia" w:ascii="仿宋_GB2312" w:hAnsi="仿宋_GB2312" w:eastAsia="仿宋_GB2312" w:cs="仿宋_GB2312"/>
          <w:sz w:val="32"/>
          <w:szCs w:val="32"/>
          <w:lang w:val="en-US" w:eastAsia="zh-CN"/>
        </w:rPr>
        <w:t>万元，预决算差异率为0%。</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pStyle w:val="9"/>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2023年本部门</w:t>
      </w:r>
      <w:r>
        <w:rPr>
          <w:rFonts w:hint="eastAsia" w:ascii="仿宋_GB2312" w:eastAsia="仿宋_GB2312"/>
          <w:sz w:val="32"/>
          <w:szCs w:val="32"/>
        </w:rPr>
        <w:t>基本做到全部符合绩效目标</w:t>
      </w:r>
      <w:r>
        <w:rPr>
          <w:rFonts w:hint="eastAsia" w:ascii="仿宋_GB2312" w:hAnsi="仿宋_GB2312" w:eastAsia="仿宋_GB2312" w:cs="仿宋_GB2312"/>
          <w:sz w:val="32"/>
          <w:szCs w:val="32"/>
          <w:lang w:val="en-US" w:eastAsia="zh-CN"/>
        </w:rPr>
        <w:t>，评价得分为优。</w:t>
      </w:r>
    </w:p>
    <w:p>
      <w:pPr>
        <w:numPr>
          <w:ilvl w:val="0"/>
          <w:numId w:val="0"/>
        </w:numPr>
        <w:spacing w:line="600" w:lineRule="exact"/>
        <w:ind w:firstLine="640" w:firstLineChars="200"/>
      </w:pPr>
      <w:r>
        <w:rPr>
          <w:rFonts w:hint="eastAsia" w:ascii="楷体_GB2312" w:eastAsia="楷体_GB2312"/>
          <w:sz w:val="32"/>
          <w:szCs w:val="32"/>
          <w:lang w:eastAsia="zh-CN"/>
        </w:rPr>
        <w:t>（二）</w:t>
      </w:r>
      <w:r>
        <w:rPr>
          <w:rFonts w:hint="eastAsia" w:ascii="楷体_GB2312" w:eastAsia="楷体_GB2312"/>
          <w:sz w:val="32"/>
          <w:szCs w:val="32"/>
        </w:rPr>
        <w:t>存在的问题及原因分析</w:t>
      </w:r>
    </w:p>
    <w:p>
      <w:pPr>
        <w:keepNext w:val="0"/>
        <w:keepLines w:val="0"/>
        <w:pageBreakBefore w:val="0"/>
        <w:widowControl w:val="0"/>
        <w:kinsoku/>
        <w:wordWrap/>
        <w:overflowPunct/>
        <w:topLinePunct w:val="0"/>
        <w:autoSpaceDE/>
        <w:autoSpaceDN/>
        <w:bidi w:val="0"/>
        <w:adjustRightInd w:val="0"/>
        <w:snapToGrid w:val="0"/>
        <w:spacing w:line="360" w:lineRule="auto"/>
        <w:ind w:left="105" w:leftChars="5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2023年预算资金执行中主要存在的问题有：因教练员人员流动，导致公共事务协管经费执行率未达到100%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因体教融合执行过程中，合作调整，导致体教融合经费项目执行率未达到100%。</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六、措施建议</w:t>
      </w:r>
    </w:p>
    <w:p>
      <w:pPr>
        <w:keepNext w:val="0"/>
        <w:keepLines w:val="0"/>
        <w:pageBreakBefore w:val="0"/>
        <w:widowControl w:val="0"/>
        <w:kinsoku/>
        <w:wordWrap/>
        <w:overflowPunct/>
        <w:topLinePunct w:val="0"/>
        <w:autoSpaceDE/>
        <w:autoSpaceDN/>
        <w:bidi w:val="0"/>
        <w:adjustRightInd/>
        <w:snapToGrid w:val="0"/>
        <w:spacing w:line="360" w:lineRule="auto"/>
        <w:ind w:left="105" w:leftChars="5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下一步，我们将按照绩效目标工作的相关政策、通知要求继续推进工作，</w:t>
      </w:r>
      <w:r>
        <w:rPr>
          <w:rFonts w:hint="eastAsia" w:ascii="仿宋_GB2312" w:hAnsi="仿宋_GB2312" w:eastAsia="仿宋_GB2312" w:cs="仿宋_GB2312"/>
          <w:color w:val="000000"/>
          <w:kern w:val="0"/>
          <w:sz w:val="32"/>
          <w:szCs w:val="32"/>
        </w:rPr>
        <w:t>提前谋划工作安排，做好工作计划，设立更贴近需求的绩效目标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做到合规合理使用项目经费，并最终完成各项目原定绩效目标。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健全完善项目实施方案和管理制度。明确项目管理各项要求，合理安排进度计划，强化过程管控，加强项目实施过程控制监督管理。</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11FC6C"/>
    <w:multiLevelType w:val="singleLevel"/>
    <w:tmpl w:val="B811FC6C"/>
    <w:lvl w:ilvl="0" w:tentative="0">
      <w:start w:val="2"/>
      <w:numFmt w:val="chineseCounting"/>
      <w:suff w:val="nothing"/>
      <w:lvlText w:val="（%1）"/>
      <w:lvlJc w:val="left"/>
      <w:pPr>
        <w:ind w:left="830"/>
      </w:pPr>
      <w:rPr>
        <w:rFonts w:hint="eastAsia"/>
      </w:rPr>
    </w:lvl>
  </w:abstractNum>
  <w:abstractNum w:abstractNumId="1">
    <w:nsid w:val="11A4492C"/>
    <w:multiLevelType w:val="singleLevel"/>
    <w:tmpl w:val="11A4492C"/>
    <w:lvl w:ilvl="0" w:tentative="0">
      <w:start w:val="2"/>
      <w:numFmt w:val="decimal"/>
      <w:lvlText w:val="%1."/>
      <w:lvlJc w:val="left"/>
      <w:pPr>
        <w:tabs>
          <w:tab w:val="left" w:pos="312"/>
        </w:tabs>
      </w:pPr>
    </w:lvl>
  </w:abstractNum>
  <w:abstractNum w:abstractNumId="2">
    <w:nsid w:val="2F6040DB"/>
    <w:multiLevelType w:val="singleLevel"/>
    <w:tmpl w:val="2F6040DB"/>
    <w:lvl w:ilvl="0" w:tentative="0">
      <w:start w:val="2"/>
      <w:numFmt w:val="decimal"/>
      <w:lvlText w:val="%1."/>
      <w:lvlJc w:val="left"/>
      <w:pPr>
        <w:tabs>
          <w:tab w:val="left" w:pos="312"/>
        </w:tabs>
      </w:pPr>
    </w:lvl>
  </w:abstractNum>
  <w:abstractNum w:abstractNumId="3">
    <w:nsid w:val="376FD4B4"/>
    <w:multiLevelType w:val="singleLevel"/>
    <w:tmpl w:val="376FD4B4"/>
    <w:lvl w:ilvl="0" w:tentative="0">
      <w:start w:val="3"/>
      <w:numFmt w:val="decimal"/>
      <w:lvlText w:val="%1."/>
      <w:lvlJc w:val="left"/>
      <w:pPr>
        <w:tabs>
          <w:tab w:val="left" w:pos="312"/>
        </w:tabs>
      </w:pPr>
    </w:lvl>
  </w:abstractNum>
  <w:abstractNum w:abstractNumId="4">
    <w:nsid w:val="7A023A98"/>
    <w:multiLevelType w:val="singleLevel"/>
    <w:tmpl w:val="7A023A98"/>
    <w:lvl w:ilvl="0" w:tentative="0">
      <w:start w:val="2"/>
      <w:numFmt w:val="chineseCounting"/>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23434C"/>
    <w:rsid w:val="0023511B"/>
    <w:rsid w:val="003D334A"/>
    <w:rsid w:val="004361A4"/>
    <w:rsid w:val="00465181"/>
    <w:rsid w:val="00494D7A"/>
    <w:rsid w:val="00497CAB"/>
    <w:rsid w:val="004F7EC3"/>
    <w:rsid w:val="0052405D"/>
    <w:rsid w:val="0057202C"/>
    <w:rsid w:val="005E3946"/>
    <w:rsid w:val="0060746B"/>
    <w:rsid w:val="00660CD6"/>
    <w:rsid w:val="006A6AC4"/>
    <w:rsid w:val="00826643"/>
    <w:rsid w:val="00954F6E"/>
    <w:rsid w:val="00AB267B"/>
    <w:rsid w:val="00B03B70"/>
    <w:rsid w:val="00B84316"/>
    <w:rsid w:val="00BC365B"/>
    <w:rsid w:val="00CF07EE"/>
    <w:rsid w:val="00D2740F"/>
    <w:rsid w:val="00E617B2"/>
    <w:rsid w:val="00EB546E"/>
    <w:rsid w:val="00F42C33"/>
    <w:rsid w:val="01076880"/>
    <w:rsid w:val="0133075A"/>
    <w:rsid w:val="01910D41"/>
    <w:rsid w:val="01BB1EC6"/>
    <w:rsid w:val="01E532C7"/>
    <w:rsid w:val="01E8708E"/>
    <w:rsid w:val="026712AD"/>
    <w:rsid w:val="029508D2"/>
    <w:rsid w:val="029F6287"/>
    <w:rsid w:val="02BB38F3"/>
    <w:rsid w:val="02CE5C9A"/>
    <w:rsid w:val="02FC456B"/>
    <w:rsid w:val="032B7DD6"/>
    <w:rsid w:val="03413982"/>
    <w:rsid w:val="034E03B3"/>
    <w:rsid w:val="03525B4D"/>
    <w:rsid w:val="039314AC"/>
    <w:rsid w:val="03C01670"/>
    <w:rsid w:val="03D63335"/>
    <w:rsid w:val="03E12D33"/>
    <w:rsid w:val="03F74620"/>
    <w:rsid w:val="04102B2F"/>
    <w:rsid w:val="04465C36"/>
    <w:rsid w:val="04682958"/>
    <w:rsid w:val="046E5426"/>
    <w:rsid w:val="04D2621B"/>
    <w:rsid w:val="04D8523D"/>
    <w:rsid w:val="04EA295B"/>
    <w:rsid w:val="04FB3DD6"/>
    <w:rsid w:val="05235754"/>
    <w:rsid w:val="055013F6"/>
    <w:rsid w:val="056B44D3"/>
    <w:rsid w:val="0570227B"/>
    <w:rsid w:val="05D503A1"/>
    <w:rsid w:val="05D65DFB"/>
    <w:rsid w:val="05FD489F"/>
    <w:rsid w:val="061164FF"/>
    <w:rsid w:val="0621059E"/>
    <w:rsid w:val="062426A0"/>
    <w:rsid w:val="06373B61"/>
    <w:rsid w:val="068E4900"/>
    <w:rsid w:val="06EA060F"/>
    <w:rsid w:val="075C2A91"/>
    <w:rsid w:val="07856E9D"/>
    <w:rsid w:val="07F26D45"/>
    <w:rsid w:val="08236FE0"/>
    <w:rsid w:val="083A6208"/>
    <w:rsid w:val="08D60DF3"/>
    <w:rsid w:val="0961263A"/>
    <w:rsid w:val="09624147"/>
    <w:rsid w:val="09D533C5"/>
    <w:rsid w:val="09EA7565"/>
    <w:rsid w:val="09F44E6F"/>
    <w:rsid w:val="0A101605"/>
    <w:rsid w:val="0A1B5F7D"/>
    <w:rsid w:val="0A63708C"/>
    <w:rsid w:val="0A790E39"/>
    <w:rsid w:val="0A7A56C5"/>
    <w:rsid w:val="0A9E5366"/>
    <w:rsid w:val="0AF022B4"/>
    <w:rsid w:val="0AF92506"/>
    <w:rsid w:val="0B0138A0"/>
    <w:rsid w:val="0B5741FC"/>
    <w:rsid w:val="0B6E1016"/>
    <w:rsid w:val="0B7D361E"/>
    <w:rsid w:val="0B934D81"/>
    <w:rsid w:val="0BD13215"/>
    <w:rsid w:val="0BF04086"/>
    <w:rsid w:val="0C0002F8"/>
    <w:rsid w:val="0C160A0A"/>
    <w:rsid w:val="0C2150E3"/>
    <w:rsid w:val="0C346981"/>
    <w:rsid w:val="0C3D15ED"/>
    <w:rsid w:val="0C8B08D3"/>
    <w:rsid w:val="0CA56542"/>
    <w:rsid w:val="0CD25FA6"/>
    <w:rsid w:val="0CF3181A"/>
    <w:rsid w:val="0CFE2115"/>
    <w:rsid w:val="0D0447ED"/>
    <w:rsid w:val="0D0A1E20"/>
    <w:rsid w:val="0D861B8D"/>
    <w:rsid w:val="0DA523AB"/>
    <w:rsid w:val="0DB32808"/>
    <w:rsid w:val="0DEF309C"/>
    <w:rsid w:val="0E2637C4"/>
    <w:rsid w:val="0E273239"/>
    <w:rsid w:val="0E44157F"/>
    <w:rsid w:val="0E6F0A59"/>
    <w:rsid w:val="0E94531D"/>
    <w:rsid w:val="0EA25C06"/>
    <w:rsid w:val="0EAF4922"/>
    <w:rsid w:val="0EB266A0"/>
    <w:rsid w:val="0EC965B9"/>
    <w:rsid w:val="0EDD3B7F"/>
    <w:rsid w:val="0EDE602B"/>
    <w:rsid w:val="0EF500F0"/>
    <w:rsid w:val="0F10662B"/>
    <w:rsid w:val="0F1934A7"/>
    <w:rsid w:val="0F542C0C"/>
    <w:rsid w:val="0F707719"/>
    <w:rsid w:val="0F8022EB"/>
    <w:rsid w:val="0FDA10E8"/>
    <w:rsid w:val="0FDA7A95"/>
    <w:rsid w:val="0FDE5DD2"/>
    <w:rsid w:val="101C06D1"/>
    <w:rsid w:val="102F1242"/>
    <w:rsid w:val="10401F96"/>
    <w:rsid w:val="10842FFF"/>
    <w:rsid w:val="10A45288"/>
    <w:rsid w:val="10FC3D5B"/>
    <w:rsid w:val="11353518"/>
    <w:rsid w:val="11626C29"/>
    <w:rsid w:val="117B1654"/>
    <w:rsid w:val="118F1719"/>
    <w:rsid w:val="11911260"/>
    <w:rsid w:val="11A157B1"/>
    <w:rsid w:val="11A539D7"/>
    <w:rsid w:val="11C4796E"/>
    <w:rsid w:val="11C9519B"/>
    <w:rsid w:val="11E4360B"/>
    <w:rsid w:val="1244261C"/>
    <w:rsid w:val="12702786"/>
    <w:rsid w:val="12A75CE5"/>
    <w:rsid w:val="12B33E46"/>
    <w:rsid w:val="13475F5A"/>
    <w:rsid w:val="136E50F1"/>
    <w:rsid w:val="137065A6"/>
    <w:rsid w:val="139E0A96"/>
    <w:rsid w:val="13BB331C"/>
    <w:rsid w:val="13C16099"/>
    <w:rsid w:val="13F54C80"/>
    <w:rsid w:val="140023E3"/>
    <w:rsid w:val="1407751A"/>
    <w:rsid w:val="1417582B"/>
    <w:rsid w:val="141F2DAA"/>
    <w:rsid w:val="142444D6"/>
    <w:rsid w:val="14860487"/>
    <w:rsid w:val="149921BF"/>
    <w:rsid w:val="14BE437C"/>
    <w:rsid w:val="14C078F8"/>
    <w:rsid w:val="14C54818"/>
    <w:rsid w:val="14EB219B"/>
    <w:rsid w:val="153B196F"/>
    <w:rsid w:val="15486F86"/>
    <w:rsid w:val="155109C2"/>
    <w:rsid w:val="15963778"/>
    <w:rsid w:val="15AA347A"/>
    <w:rsid w:val="15E60420"/>
    <w:rsid w:val="16203E2E"/>
    <w:rsid w:val="164A7D01"/>
    <w:rsid w:val="164E22F6"/>
    <w:rsid w:val="165A6FA8"/>
    <w:rsid w:val="167117AB"/>
    <w:rsid w:val="16AF5677"/>
    <w:rsid w:val="16B300FC"/>
    <w:rsid w:val="16D5405C"/>
    <w:rsid w:val="16F4635A"/>
    <w:rsid w:val="171076CF"/>
    <w:rsid w:val="171B2205"/>
    <w:rsid w:val="17292C98"/>
    <w:rsid w:val="173C52D3"/>
    <w:rsid w:val="173E26F3"/>
    <w:rsid w:val="177D0C85"/>
    <w:rsid w:val="17900373"/>
    <w:rsid w:val="179737E4"/>
    <w:rsid w:val="17AD7624"/>
    <w:rsid w:val="17B90147"/>
    <w:rsid w:val="17C96067"/>
    <w:rsid w:val="17DA690F"/>
    <w:rsid w:val="17E95A16"/>
    <w:rsid w:val="17F17A3C"/>
    <w:rsid w:val="17F969C1"/>
    <w:rsid w:val="17FD45C2"/>
    <w:rsid w:val="1809643E"/>
    <w:rsid w:val="18115467"/>
    <w:rsid w:val="18130D61"/>
    <w:rsid w:val="18146BE9"/>
    <w:rsid w:val="18223C32"/>
    <w:rsid w:val="18324BE7"/>
    <w:rsid w:val="18347A0D"/>
    <w:rsid w:val="18556685"/>
    <w:rsid w:val="186332E3"/>
    <w:rsid w:val="18E00EDB"/>
    <w:rsid w:val="18E5658A"/>
    <w:rsid w:val="191F27E5"/>
    <w:rsid w:val="1936652E"/>
    <w:rsid w:val="196A1217"/>
    <w:rsid w:val="19834B4A"/>
    <w:rsid w:val="19BD6E6E"/>
    <w:rsid w:val="1A1A39FF"/>
    <w:rsid w:val="1A5065E4"/>
    <w:rsid w:val="1A547CBF"/>
    <w:rsid w:val="1A6B7E88"/>
    <w:rsid w:val="1A7554DE"/>
    <w:rsid w:val="1A7F6DEF"/>
    <w:rsid w:val="1A951F07"/>
    <w:rsid w:val="1A9E746E"/>
    <w:rsid w:val="1AAB423B"/>
    <w:rsid w:val="1AAC7268"/>
    <w:rsid w:val="1AAF31BD"/>
    <w:rsid w:val="1AEA71E1"/>
    <w:rsid w:val="1B4C155D"/>
    <w:rsid w:val="1B504CCB"/>
    <w:rsid w:val="1B511DF3"/>
    <w:rsid w:val="1BBE1190"/>
    <w:rsid w:val="1BC24E20"/>
    <w:rsid w:val="1BC62B0D"/>
    <w:rsid w:val="1C4417EC"/>
    <w:rsid w:val="1C893261"/>
    <w:rsid w:val="1C9317D3"/>
    <w:rsid w:val="1C9E22BA"/>
    <w:rsid w:val="1CD23349"/>
    <w:rsid w:val="1CD81454"/>
    <w:rsid w:val="1D12326A"/>
    <w:rsid w:val="1D7D3F67"/>
    <w:rsid w:val="1DAA4519"/>
    <w:rsid w:val="1DD72F07"/>
    <w:rsid w:val="1E0B2332"/>
    <w:rsid w:val="1E3221BC"/>
    <w:rsid w:val="1E5A2ECB"/>
    <w:rsid w:val="1E5F69D5"/>
    <w:rsid w:val="1E6662D9"/>
    <w:rsid w:val="1EC86D6F"/>
    <w:rsid w:val="1ED66874"/>
    <w:rsid w:val="1EF572C7"/>
    <w:rsid w:val="1F681C3E"/>
    <w:rsid w:val="1F8175EE"/>
    <w:rsid w:val="1FA84598"/>
    <w:rsid w:val="1FBE3A2D"/>
    <w:rsid w:val="1FBF48E7"/>
    <w:rsid w:val="2015302A"/>
    <w:rsid w:val="206F4E92"/>
    <w:rsid w:val="20935205"/>
    <w:rsid w:val="20A30CCA"/>
    <w:rsid w:val="21084884"/>
    <w:rsid w:val="21197FF8"/>
    <w:rsid w:val="211D7E9B"/>
    <w:rsid w:val="214220FA"/>
    <w:rsid w:val="214B13E7"/>
    <w:rsid w:val="2158343C"/>
    <w:rsid w:val="215B4C8B"/>
    <w:rsid w:val="21711731"/>
    <w:rsid w:val="218E2869"/>
    <w:rsid w:val="2193364F"/>
    <w:rsid w:val="21D750C9"/>
    <w:rsid w:val="22255EC5"/>
    <w:rsid w:val="2237359F"/>
    <w:rsid w:val="224A4C96"/>
    <w:rsid w:val="22584DEF"/>
    <w:rsid w:val="229B7D06"/>
    <w:rsid w:val="229F0508"/>
    <w:rsid w:val="22A50219"/>
    <w:rsid w:val="22AA7F9E"/>
    <w:rsid w:val="22CA0657"/>
    <w:rsid w:val="22D012A2"/>
    <w:rsid w:val="22D8171B"/>
    <w:rsid w:val="22F356E3"/>
    <w:rsid w:val="231F5594"/>
    <w:rsid w:val="23317AD6"/>
    <w:rsid w:val="238A102C"/>
    <w:rsid w:val="23C55B0C"/>
    <w:rsid w:val="23E0449C"/>
    <w:rsid w:val="23E96B7F"/>
    <w:rsid w:val="240F0FAC"/>
    <w:rsid w:val="241535B2"/>
    <w:rsid w:val="248B5CAA"/>
    <w:rsid w:val="24DC4BD8"/>
    <w:rsid w:val="25024677"/>
    <w:rsid w:val="25522688"/>
    <w:rsid w:val="257A494A"/>
    <w:rsid w:val="25BC6756"/>
    <w:rsid w:val="25CA3188"/>
    <w:rsid w:val="25CC0205"/>
    <w:rsid w:val="25E45DEB"/>
    <w:rsid w:val="26197FBF"/>
    <w:rsid w:val="262154EE"/>
    <w:rsid w:val="26311710"/>
    <w:rsid w:val="26631888"/>
    <w:rsid w:val="26693D61"/>
    <w:rsid w:val="266E3B86"/>
    <w:rsid w:val="26702746"/>
    <w:rsid w:val="26752D41"/>
    <w:rsid w:val="26A36703"/>
    <w:rsid w:val="26B579A3"/>
    <w:rsid w:val="26D656CD"/>
    <w:rsid w:val="26E01D8D"/>
    <w:rsid w:val="270E5A90"/>
    <w:rsid w:val="277C10E5"/>
    <w:rsid w:val="278E5D9D"/>
    <w:rsid w:val="27AE0039"/>
    <w:rsid w:val="27B60FE1"/>
    <w:rsid w:val="2847600E"/>
    <w:rsid w:val="28586B02"/>
    <w:rsid w:val="289E58FB"/>
    <w:rsid w:val="28D67CDC"/>
    <w:rsid w:val="28E06409"/>
    <w:rsid w:val="29283763"/>
    <w:rsid w:val="29843733"/>
    <w:rsid w:val="2A530B94"/>
    <w:rsid w:val="2A6045E0"/>
    <w:rsid w:val="2A7457E9"/>
    <w:rsid w:val="2A791994"/>
    <w:rsid w:val="2A9536E0"/>
    <w:rsid w:val="2AA65CE7"/>
    <w:rsid w:val="2AD43534"/>
    <w:rsid w:val="2AF052C6"/>
    <w:rsid w:val="2AF83D12"/>
    <w:rsid w:val="2B1D18A7"/>
    <w:rsid w:val="2B5D2E8A"/>
    <w:rsid w:val="2B812569"/>
    <w:rsid w:val="2B903FB3"/>
    <w:rsid w:val="2C557B95"/>
    <w:rsid w:val="2C8037DB"/>
    <w:rsid w:val="2C9910E8"/>
    <w:rsid w:val="2CD21803"/>
    <w:rsid w:val="2CF63B2A"/>
    <w:rsid w:val="2CF729F9"/>
    <w:rsid w:val="2CFA4901"/>
    <w:rsid w:val="2D5C37D3"/>
    <w:rsid w:val="2DA4204F"/>
    <w:rsid w:val="2DBD795F"/>
    <w:rsid w:val="2DD25773"/>
    <w:rsid w:val="2DE906E2"/>
    <w:rsid w:val="2E517F48"/>
    <w:rsid w:val="2EBB4684"/>
    <w:rsid w:val="2EBE00EB"/>
    <w:rsid w:val="2EC841B4"/>
    <w:rsid w:val="2F2E34C6"/>
    <w:rsid w:val="2F315BE1"/>
    <w:rsid w:val="2F410AD1"/>
    <w:rsid w:val="2F4F1071"/>
    <w:rsid w:val="2F4F54DE"/>
    <w:rsid w:val="2F8F6E4F"/>
    <w:rsid w:val="2FE83D64"/>
    <w:rsid w:val="2FEA2F4C"/>
    <w:rsid w:val="30502A5F"/>
    <w:rsid w:val="30626ED9"/>
    <w:rsid w:val="308C5380"/>
    <w:rsid w:val="309D3AA0"/>
    <w:rsid w:val="30A15FD4"/>
    <w:rsid w:val="30FC0FB4"/>
    <w:rsid w:val="31185030"/>
    <w:rsid w:val="31CC04A6"/>
    <w:rsid w:val="31F61702"/>
    <w:rsid w:val="322F13BE"/>
    <w:rsid w:val="323D2131"/>
    <w:rsid w:val="32585795"/>
    <w:rsid w:val="329719A2"/>
    <w:rsid w:val="32E06F3C"/>
    <w:rsid w:val="32E91CE6"/>
    <w:rsid w:val="33401A8A"/>
    <w:rsid w:val="33704006"/>
    <w:rsid w:val="33714092"/>
    <w:rsid w:val="33F95445"/>
    <w:rsid w:val="341810C3"/>
    <w:rsid w:val="346D4252"/>
    <w:rsid w:val="34773B75"/>
    <w:rsid w:val="350476BD"/>
    <w:rsid w:val="350B1F34"/>
    <w:rsid w:val="35111EE0"/>
    <w:rsid w:val="35203B5C"/>
    <w:rsid w:val="3526095D"/>
    <w:rsid w:val="352B399E"/>
    <w:rsid w:val="35407A88"/>
    <w:rsid w:val="356E3809"/>
    <w:rsid w:val="3592258C"/>
    <w:rsid w:val="35BA6B27"/>
    <w:rsid w:val="363E0E2D"/>
    <w:rsid w:val="36533EBE"/>
    <w:rsid w:val="369434DB"/>
    <w:rsid w:val="36DF6C31"/>
    <w:rsid w:val="36EB0536"/>
    <w:rsid w:val="36F327D4"/>
    <w:rsid w:val="36FA416D"/>
    <w:rsid w:val="373A7BCB"/>
    <w:rsid w:val="376E639F"/>
    <w:rsid w:val="378774FC"/>
    <w:rsid w:val="37D15471"/>
    <w:rsid w:val="37E37F3B"/>
    <w:rsid w:val="38027B46"/>
    <w:rsid w:val="38380A40"/>
    <w:rsid w:val="383D31FC"/>
    <w:rsid w:val="387A547E"/>
    <w:rsid w:val="3897555F"/>
    <w:rsid w:val="38AE3F23"/>
    <w:rsid w:val="392062A4"/>
    <w:rsid w:val="393C75E6"/>
    <w:rsid w:val="39407CBA"/>
    <w:rsid w:val="395D1FAA"/>
    <w:rsid w:val="39767EFF"/>
    <w:rsid w:val="39BF1920"/>
    <w:rsid w:val="39C84B6A"/>
    <w:rsid w:val="39D2097E"/>
    <w:rsid w:val="39F2394C"/>
    <w:rsid w:val="3A3268C7"/>
    <w:rsid w:val="3A362C70"/>
    <w:rsid w:val="3A526843"/>
    <w:rsid w:val="3A7A7CCC"/>
    <w:rsid w:val="3A816DFC"/>
    <w:rsid w:val="3A905D0A"/>
    <w:rsid w:val="3AC7573D"/>
    <w:rsid w:val="3ACE7FA6"/>
    <w:rsid w:val="3AE7031B"/>
    <w:rsid w:val="3B112EE2"/>
    <w:rsid w:val="3B5630D6"/>
    <w:rsid w:val="3B7A0131"/>
    <w:rsid w:val="3B9551C7"/>
    <w:rsid w:val="3BB15B04"/>
    <w:rsid w:val="3BD52B64"/>
    <w:rsid w:val="3BDB290B"/>
    <w:rsid w:val="3BDE7CB7"/>
    <w:rsid w:val="3C0426EF"/>
    <w:rsid w:val="3C250DE3"/>
    <w:rsid w:val="3C51333D"/>
    <w:rsid w:val="3C5314A0"/>
    <w:rsid w:val="3C7D104F"/>
    <w:rsid w:val="3C8C01AA"/>
    <w:rsid w:val="3C8E669A"/>
    <w:rsid w:val="3CB93728"/>
    <w:rsid w:val="3D570049"/>
    <w:rsid w:val="3D5C46CE"/>
    <w:rsid w:val="3D5D6062"/>
    <w:rsid w:val="3D744E65"/>
    <w:rsid w:val="3D7A288F"/>
    <w:rsid w:val="3D970CC2"/>
    <w:rsid w:val="3E46691D"/>
    <w:rsid w:val="3E6B5D3B"/>
    <w:rsid w:val="3EAC6A21"/>
    <w:rsid w:val="3EE37408"/>
    <w:rsid w:val="3EEB34F5"/>
    <w:rsid w:val="3EF53B4E"/>
    <w:rsid w:val="3F120703"/>
    <w:rsid w:val="3F3054F6"/>
    <w:rsid w:val="3F3F6BDA"/>
    <w:rsid w:val="3F415B5D"/>
    <w:rsid w:val="3F7E1177"/>
    <w:rsid w:val="3FCA143E"/>
    <w:rsid w:val="3FE10936"/>
    <w:rsid w:val="3FEC0294"/>
    <w:rsid w:val="3FFD01A2"/>
    <w:rsid w:val="40071E74"/>
    <w:rsid w:val="40520BD1"/>
    <w:rsid w:val="407673CA"/>
    <w:rsid w:val="407F4609"/>
    <w:rsid w:val="40CE3112"/>
    <w:rsid w:val="40D10A34"/>
    <w:rsid w:val="40E459EE"/>
    <w:rsid w:val="40FA638F"/>
    <w:rsid w:val="410D3B0E"/>
    <w:rsid w:val="41445553"/>
    <w:rsid w:val="41472F13"/>
    <w:rsid w:val="41530CBB"/>
    <w:rsid w:val="41AB493F"/>
    <w:rsid w:val="41DB6964"/>
    <w:rsid w:val="41EF7F41"/>
    <w:rsid w:val="421F4EB1"/>
    <w:rsid w:val="422D63D8"/>
    <w:rsid w:val="4236435A"/>
    <w:rsid w:val="426C047A"/>
    <w:rsid w:val="428472E9"/>
    <w:rsid w:val="429F4FAD"/>
    <w:rsid w:val="42C640D6"/>
    <w:rsid w:val="42CB0B45"/>
    <w:rsid w:val="42D37ED8"/>
    <w:rsid w:val="43AF77EC"/>
    <w:rsid w:val="43C02C2B"/>
    <w:rsid w:val="441D521E"/>
    <w:rsid w:val="442A6F7F"/>
    <w:rsid w:val="4468770E"/>
    <w:rsid w:val="44A7352F"/>
    <w:rsid w:val="44DC3880"/>
    <w:rsid w:val="44FE01A4"/>
    <w:rsid w:val="45501903"/>
    <w:rsid w:val="45924BF8"/>
    <w:rsid w:val="45B80E32"/>
    <w:rsid w:val="45D263F4"/>
    <w:rsid w:val="45FB1EA2"/>
    <w:rsid w:val="465B36FF"/>
    <w:rsid w:val="465C71C9"/>
    <w:rsid w:val="46C254BB"/>
    <w:rsid w:val="46D25039"/>
    <w:rsid w:val="46F26A7C"/>
    <w:rsid w:val="471C1086"/>
    <w:rsid w:val="472F40D0"/>
    <w:rsid w:val="475875C9"/>
    <w:rsid w:val="47605C15"/>
    <w:rsid w:val="47613305"/>
    <w:rsid w:val="476822AC"/>
    <w:rsid w:val="478864BA"/>
    <w:rsid w:val="478B4E97"/>
    <w:rsid w:val="479D2013"/>
    <w:rsid w:val="47A65261"/>
    <w:rsid w:val="47AF67FE"/>
    <w:rsid w:val="4817508C"/>
    <w:rsid w:val="482B2083"/>
    <w:rsid w:val="482E6F7E"/>
    <w:rsid w:val="48421D15"/>
    <w:rsid w:val="48C346D5"/>
    <w:rsid w:val="4927460E"/>
    <w:rsid w:val="499F4232"/>
    <w:rsid w:val="49B714C5"/>
    <w:rsid w:val="49B9790C"/>
    <w:rsid w:val="4A086540"/>
    <w:rsid w:val="4A306541"/>
    <w:rsid w:val="4AB224B3"/>
    <w:rsid w:val="4B2F25DD"/>
    <w:rsid w:val="4B4F6841"/>
    <w:rsid w:val="4B6A6E4F"/>
    <w:rsid w:val="4B852B5F"/>
    <w:rsid w:val="4BDC6C78"/>
    <w:rsid w:val="4BE45B9C"/>
    <w:rsid w:val="4C1C077D"/>
    <w:rsid w:val="4C353270"/>
    <w:rsid w:val="4C484981"/>
    <w:rsid w:val="4C562D38"/>
    <w:rsid w:val="4C635F07"/>
    <w:rsid w:val="4C772B98"/>
    <w:rsid w:val="4CD72B39"/>
    <w:rsid w:val="4CE245A0"/>
    <w:rsid w:val="4D08095A"/>
    <w:rsid w:val="4D2E0F6A"/>
    <w:rsid w:val="4D762E3D"/>
    <w:rsid w:val="4D983A76"/>
    <w:rsid w:val="4DEA296A"/>
    <w:rsid w:val="4DF3005F"/>
    <w:rsid w:val="4E09157D"/>
    <w:rsid w:val="4E427BDD"/>
    <w:rsid w:val="4EA75754"/>
    <w:rsid w:val="4ECF2035"/>
    <w:rsid w:val="4ED04DA2"/>
    <w:rsid w:val="4F0A0C53"/>
    <w:rsid w:val="4F280D2D"/>
    <w:rsid w:val="4F2D5D0F"/>
    <w:rsid w:val="4F33541A"/>
    <w:rsid w:val="4F5A0A26"/>
    <w:rsid w:val="4F6F6BA0"/>
    <w:rsid w:val="4FBF647E"/>
    <w:rsid w:val="4FC871BF"/>
    <w:rsid w:val="502E06D3"/>
    <w:rsid w:val="503F652B"/>
    <w:rsid w:val="50550BB5"/>
    <w:rsid w:val="507805CD"/>
    <w:rsid w:val="50B6279B"/>
    <w:rsid w:val="50C1626D"/>
    <w:rsid w:val="51096CA2"/>
    <w:rsid w:val="514A4493"/>
    <w:rsid w:val="515813A5"/>
    <w:rsid w:val="519343B6"/>
    <w:rsid w:val="51996219"/>
    <w:rsid w:val="51D91D09"/>
    <w:rsid w:val="51E161A3"/>
    <w:rsid w:val="51EC718B"/>
    <w:rsid w:val="524F5634"/>
    <w:rsid w:val="52B360C8"/>
    <w:rsid w:val="52B743AC"/>
    <w:rsid w:val="52C55A17"/>
    <w:rsid w:val="52CC4AC8"/>
    <w:rsid w:val="52F46CD7"/>
    <w:rsid w:val="53136B33"/>
    <w:rsid w:val="53777E23"/>
    <w:rsid w:val="53A32B10"/>
    <w:rsid w:val="53DB3B0C"/>
    <w:rsid w:val="5422132B"/>
    <w:rsid w:val="542E6A08"/>
    <w:rsid w:val="547C5610"/>
    <w:rsid w:val="54BB10C3"/>
    <w:rsid w:val="5515166E"/>
    <w:rsid w:val="55351933"/>
    <w:rsid w:val="555A7B5D"/>
    <w:rsid w:val="555D7B06"/>
    <w:rsid w:val="55DF7487"/>
    <w:rsid w:val="562F5F18"/>
    <w:rsid w:val="564753B6"/>
    <w:rsid w:val="56627C6D"/>
    <w:rsid w:val="56A47760"/>
    <w:rsid w:val="56B535ED"/>
    <w:rsid w:val="56CA1A0B"/>
    <w:rsid w:val="56CB4D15"/>
    <w:rsid w:val="56EC273D"/>
    <w:rsid w:val="56FD6E51"/>
    <w:rsid w:val="570A6F75"/>
    <w:rsid w:val="57144D91"/>
    <w:rsid w:val="57160DAB"/>
    <w:rsid w:val="57162D23"/>
    <w:rsid w:val="5729524D"/>
    <w:rsid w:val="57323C64"/>
    <w:rsid w:val="575437CF"/>
    <w:rsid w:val="576C5AB0"/>
    <w:rsid w:val="57804893"/>
    <w:rsid w:val="579C307A"/>
    <w:rsid w:val="57B32BD7"/>
    <w:rsid w:val="57DE7973"/>
    <w:rsid w:val="584E36CB"/>
    <w:rsid w:val="586A6181"/>
    <w:rsid w:val="5883742D"/>
    <w:rsid w:val="58B60A40"/>
    <w:rsid w:val="58DA2E99"/>
    <w:rsid w:val="58FE3DFE"/>
    <w:rsid w:val="59061801"/>
    <w:rsid w:val="5914367C"/>
    <w:rsid w:val="59640BD5"/>
    <w:rsid w:val="59C33B13"/>
    <w:rsid w:val="59C86CAD"/>
    <w:rsid w:val="59D02767"/>
    <w:rsid w:val="59D100E4"/>
    <w:rsid w:val="59F86402"/>
    <w:rsid w:val="59FB0194"/>
    <w:rsid w:val="5A0D634A"/>
    <w:rsid w:val="5A127459"/>
    <w:rsid w:val="5A1E22DB"/>
    <w:rsid w:val="5A23666F"/>
    <w:rsid w:val="5A2E3F33"/>
    <w:rsid w:val="5A3922A0"/>
    <w:rsid w:val="5A504299"/>
    <w:rsid w:val="5A8242A1"/>
    <w:rsid w:val="5A9F36AF"/>
    <w:rsid w:val="5AAA6F2C"/>
    <w:rsid w:val="5ABC4AA2"/>
    <w:rsid w:val="5ABF0DC1"/>
    <w:rsid w:val="5AF2516C"/>
    <w:rsid w:val="5AFC4EAB"/>
    <w:rsid w:val="5B153B0F"/>
    <w:rsid w:val="5B1D39DF"/>
    <w:rsid w:val="5B2D61C5"/>
    <w:rsid w:val="5B4D07B6"/>
    <w:rsid w:val="5B79366D"/>
    <w:rsid w:val="5BA01AFA"/>
    <w:rsid w:val="5BA23778"/>
    <w:rsid w:val="5BC26DCD"/>
    <w:rsid w:val="5BD2299C"/>
    <w:rsid w:val="5BD4234A"/>
    <w:rsid w:val="5C327B79"/>
    <w:rsid w:val="5C424BBB"/>
    <w:rsid w:val="5C716896"/>
    <w:rsid w:val="5CB01BAB"/>
    <w:rsid w:val="5CD456FF"/>
    <w:rsid w:val="5CED1F8F"/>
    <w:rsid w:val="5CFA579F"/>
    <w:rsid w:val="5CFB4077"/>
    <w:rsid w:val="5D341DBB"/>
    <w:rsid w:val="5DA02D89"/>
    <w:rsid w:val="5DA40894"/>
    <w:rsid w:val="5E003C50"/>
    <w:rsid w:val="5E24089C"/>
    <w:rsid w:val="5E2C7C64"/>
    <w:rsid w:val="5E435BED"/>
    <w:rsid w:val="5E8F6609"/>
    <w:rsid w:val="5ECE2F27"/>
    <w:rsid w:val="5F3975A5"/>
    <w:rsid w:val="5F477B69"/>
    <w:rsid w:val="5F5C6229"/>
    <w:rsid w:val="5F6D3B09"/>
    <w:rsid w:val="5F8B0083"/>
    <w:rsid w:val="5F9C6A0D"/>
    <w:rsid w:val="5F9C6C3A"/>
    <w:rsid w:val="5FE91947"/>
    <w:rsid w:val="5FEE18FA"/>
    <w:rsid w:val="5FF049E9"/>
    <w:rsid w:val="5FF41CD1"/>
    <w:rsid w:val="600713DB"/>
    <w:rsid w:val="601148F6"/>
    <w:rsid w:val="606A45ED"/>
    <w:rsid w:val="6077492E"/>
    <w:rsid w:val="60A33AF5"/>
    <w:rsid w:val="60A976CB"/>
    <w:rsid w:val="60F3402B"/>
    <w:rsid w:val="615E56A5"/>
    <w:rsid w:val="616C72D3"/>
    <w:rsid w:val="61861C9D"/>
    <w:rsid w:val="61AA78F5"/>
    <w:rsid w:val="61D22E80"/>
    <w:rsid w:val="62070A03"/>
    <w:rsid w:val="62193A7E"/>
    <w:rsid w:val="625635FA"/>
    <w:rsid w:val="625E2DD7"/>
    <w:rsid w:val="626F6E60"/>
    <w:rsid w:val="62C270E3"/>
    <w:rsid w:val="62F432AE"/>
    <w:rsid w:val="62FF3CB1"/>
    <w:rsid w:val="630B48CF"/>
    <w:rsid w:val="63236EF6"/>
    <w:rsid w:val="63417BA1"/>
    <w:rsid w:val="6342115E"/>
    <w:rsid w:val="634E1853"/>
    <w:rsid w:val="63893C94"/>
    <w:rsid w:val="63C45ED5"/>
    <w:rsid w:val="63E14CDD"/>
    <w:rsid w:val="63E3531D"/>
    <w:rsid w:val="63F86EA6"/>
    <w:rsid w:val="63FE2E17"/>
    <w:rsid w:val="643403FF"/>
    <w:rsid w:val="64566CEA"/>
    <w:rsid w:val="647930B3"/>
    <w:rsid w:val="648A0A0F"/>
    <w:rsid w:val="649B511C"/>
    <w:rsid w:val="64B216F4"/>
    <w:rsid w:val="64B4695A"/>
    <w:rsid w:val="64CF64FF"/>
    <w:rsid w:val="64DE0D71"/>
    <w:rsid w:val="652670A8"/>
    <w:rsid w:val="652C628F"/>
    <w:rsid w:val="65541BD5"/>
    <w:rsid w:val="655C6269"/>
    <w:rsid w:val="65725F86"/>
    <w:rsid w:val="658411A2"/>
    <w:rsid w:val="65D11750"/>
    <w:rsid w:val="65FC6B84"/>
    <w:rsid w:val="6648647D"/>
    <w:rsid w:val="664B0549"/>
    <w:rsid w:val="66573AE0"/>
    <w:rsid w:val="666C1015"/>
    <w:rsid w:val="66897E95"/>
    <w:rsid w:val="66B72167"/>
    <w:rsid w:val="66E55FEF"/>
    <w:rsid w:val="66EB60AD"/>
    <w:rsid w:val="66F92E85"/>
    <w:rsid w:val="67340F86"/>
    <w:rsid w:val="6786404C"/>
    <w:rsid w:val="678E4961"/>
    <w:rsid w:val="67F26A0D"/>
    <w:rsid w:val="68063BF7"/>
    <w:rsid w:val="682D5901"/>
    <w:rsid w:val="682D5B96"/>
    <w:rsid w:val="68406A90"/>
    <w:rsid w:val="6866066D"/>
    <w:rsid w:val="689060B4"/>
    <w:rsid w:val="68D95463"/>
    <w:rsid w:val="68DF6297"/>
    <w:rsid w:val="68DF6DEC"/>
    <w:rsid w:val="690D2A94"/>
    <w:rsid w:val="69B1094D"/>
    <w:rsid w:val="69BA4670"/>
    <w:rsid w:val="69D84E82"/>
    <w:rsid w:val="6A3D09C1"/>
    <w:rsid w:val="6A4E2FB1"/>
    <w:rsid w:val="6A536947"/>
    <w:rsid w:val="6A8513C5"/>
    <w:rsid w:val="6AD63EC7"/>
    <w:rsid w:val="6ADD3989"/>
    <w:rsid w:val="6AE25C0A"/>
    <w:rsid w:val="6AF47823"/>
    <w:rsid w:val="6B5C416A"/>
    <w:rsid w:val="6B6F6934"/>
    <w:rsid w:val="6B704346"/>
    <w:rsid w:val="6B871C1D"/>
    <w:rsid w:val="6B9F5C53"/>
    <w:rsid w:val="6BB15541"/>
    <w:rsid w:val="6BC15703"/>
    <w:rsid w:val="6C6F0040"/>
    <w:rsid w:val="6C6F6546"/>
    <w:rsid w:val="6C714010"/>
    <w:rsid w:val="6CCF7EBD"/>
    <w:rsid w:val="6CF65E21"/>
    <w:rsid w:val="6D0C3886"/>
    <w:rsid w:val="6D306C44"/>
    <w:rsid w:val="6D48158E"/>
    <w:rsid w:val="6D7440D1"/>
    <w:rsid w:val="6D9E1929"/>
    <w:rsid w:val="6E03729F"/>
    <w:rsid w:val="6E0E5CF7"/>
    <w:rsid w:val="6E1E0232"/>
    <w:rsid w:val="6E8D5FE9"/>
    <w:rsid w:val="6E912593"/>
    <w:rsid w:val="6EA63361"/>
    <w:rsid w:val="6ED8020B"/>
    <w:rsid w:val="6F2667DA"/>
    <w:rsid w:val="6F404621"/>
    <w:rsid w:val="6F4E7130"/>
    <w:rsid w:val="6FB14868"/>
    <w:rsid w:val="6FC449C9"/>
    <w:rsid w:val="6FC71A49"/>
    <w:rsid w:val="700956CD"/>
    <w:rsid w:val="702918C5"/>
    <w:rsid w:val="703F6E6C"/>
    <w:rsid w:val="709A7C02"/>
    <w:rsid w:val="709C4134"/>
    <w:rsid w:val="70D77421"/>
    <w:rsid w:val="70D8279A"/>
    <w:rsid w:val="70E64FD5"/>
    <w:rsid w:val="71270FA6"/>
    <w:rsid w:val="715F08C9"/>
    <w:rsid w:val="71673749"/>
    <w:rsid w:val="7192081F"/>
    <w:rsid w:val="71AE553F"/>
    <w:rsid w:val="71C20E4D"/>
    <w:rsid w:val="71C5364A"/>
    <w:rsid w:val="71EF367E"/>
    <w:rsid w:val="72030E18"/>
    <w:rsid w:val="72166F61"/>
    <w:rsid w:val="723D2066"/>
    <w:rsid w:val="725276B4"/>
    <w:rsid w:val="72830D64"/>
    <w:rsid w:val="72957303"/>
    <w:rsid w:val="73065C2D"/>
    <w:rsid w:val="73293474"/>
    <w:rsid w:val="734C2F16"/>
    <w:rsid w:val="737107C8"/>
    <w:rsid w:val="738F4552"/>
    <w:rsid w:val="739C2F18"/>
    <w:rsid w:val="740265ED"/>
    <w:rsid w:val="742C0935"/>
    <w:rsid w:val="74405ECB"/>
    <w:rsid w:val="747975F5"/>
    <w:rsid w:val="747C5AB2"/>
    <w:rsid w:val="749C116C"/>
    <w:rsid w:val="74A31EBA"/>
    <w:rsid w:val="74A35DB8"/>
    <w:rsid w:val="74AA3BC2"/>
    <w:rsid w:val="75415416"/>
    <w:rsid w:val="75C31B25"/>
    <w:rsid w:val="75D32B2C"/>
    <w:rsid w:val="75D90335"/>
    <w:rsid w:val="75DA4D35"/>
    <w:rsid w:val="76085BBD"/>
    <w:rsid w:val="76151B59"/>
    <w:rsid w:val="76197D2E"/>
    <w:rsid w:val="7624676F"/>
    <w:rsid w:val="763E5C23"/>
    <w:rsid w:val="76502969"/>
    <w:rsid w:val="76742166"/>
    <w:rsid w:val="769800C4"/>
    <w:rsid w:val="76A10568"/>
    <w:rsid w:val="76BC1FFD"/>
    <w:rsid w:val="76C54C49"/>
    <w:rsid w:val="76EE2B59"/>
    <w:rsid w:val="76F00EDF"/>
    <w:rsid w:val="77235DCE"/>
    <w:rsid w:val="772655F4"/>
    <w:rsid w:val="772E195B"/>
    <w:rsid w:val="77312C5E"/>
    <w:rsid w:val="77482BA2"/>
    <w:rsid w:val="77C32F7A"/>
    <w:rsid w:val="786E7F4B"/>
    <w:rsid w:val="79156D84"/>
    <w:rsid w:val="791A0350"/>
    <w:rsid w:val="791A7C66"/>
    <w:rsid w:val="79421B67"/>
    <w:rsid w:val="799275CB"/>
    <w:rsid w:val="79B20E1C"/>
    <w:rsid w:val="79EF2BEF"/>
    <w:rsid w:val="7A733C01"/>
    <w:rsid w:val="7A7B76B0"/>
    <w:rsid w:val="7AA15B32"/>
    <w:rsid w:val="7AA7197A"/>
    <w:rsid w:val="7AB3569E"/>
    <w:rsid w:val="7ABD7D9A"/>
    <w:rsid w:val="7AF60EA4"/>
    <w:rsid w:val="7B3F6530"/>
    <w:rsid w:val="7B723C22"/>
    <w:rsid w:val="7C06022D"/>
    <w:rsid w:val="7C2553BA"/>
    <w:rsid w:val="7C520650"/>
    <w:rsid w:val="7C791A84"/>
    <w:rsid w:val="7CCE0C89"/>
    <w:rsid w:val="7CD579A1"/>
    <w:rsid w:val="7CE47483"/>
    <w:rsid w:val="7CFF6CBD"/>
    <w:rsid w:val="7D105F71"/>
    <w:rsid w:val="7D1255CA"/>
    <w:rsid w:val="7D171E8C"/>
    <w:rsid w:val="7D401438"/>
    <w:rsid w:val="7D477098"/>
    <w:rsid w:val="7D4A5A95"/>
    <w:rsid w:val="7D4B139B"/>
    <w:rsid w:val="7D7A1EEA"/>
    <w:rsid w:val="7D9168FA"/>
    <w:rsid w:val="7DA47A92"/>
    <w:rsid w:val="7DBB7852"/>
    <w:rsid w:val="7E057983"/>
    <w:rsid w:val="7E1745B2"/>
    <w:rsid w:val="7E270E4C"/>
    <w:rsid w:val="7E3375AA"/>
    <w:rsid w:val="7E48792B"/>
    <w:rsid w:val="7E93633D"/>
    <w:rsid w:val="7EB14E5A"/>
    <w:rsid w:val="7F312C85"/>
    <w:rsid w:val="7F4825D0"/>
    <w:rsid w:val="7F4C181B"/>
    <w:rsid w:val="7F5271FB"/>
    <w:rsid w:val="7F542C2F"/>
    <w:rsid w:val="7F5A42DE"/>
    <w:rsid w:val="7F5E0F6A"/>
    <w:rsid w:val="7F9B2315"/>
    <w:rsid w:val="7FAC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line="560" w:lineRule="exact"/>
      <w:ind w:firstLine="640" w:firstLineChars="200"/>
      <w:jc w:val="left"/>
    </w:pPr>
    <w:rPr>
      <w:rFonts w:ascii="黑体" w:hAnsi="黑体" w:eastAsia="黑体"/>
      <w:kern w:val="2"/>
      <w:szCs w:val="32"/>
    </w:rPr>
  </w:style>
  <w:style w:type="paragraph" w:styleId="3">
    <w:name w:val="Normal Indent"/>
    <w:basedOn w:val="1"/>
    <w:qFormat/>
    <w:uiPriority w:val="0"/>
    <w:pPr>
      <w:ind w:firstLine="200" w:firstLineChars="200"/>
    </w:pPr>
  </w:style>
  <w:style w:type="paragraph" w:styleId="4">
    <w:name w:val="Balloon Text"/>
    <w:basedOn w:val="1"/>
    <w:link w:val="11"/>
    <w:semiHidden/>
    <w:unhideWhenUsed/>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NormalIndent"/>
    <w:basedOn w:val="1"/>
    <w:qFormat/>
    <w:uiPriority w:val="0"/>
    <w:pPr>
      <w:ind w:firstLine="200" w:firstLineChars="200"/>
      <w:jc w:val="both"/>
      <w:textAlignment w:val="baseline"/>
    </w:pPr>
  </w:style>
  <w:style w:type="character" w:customStyle="1" w:styleId="10">
    <w:name w:val="页眉 字符"/>
    <w:basedOn w:val="8"/>
    <w:link w:val="6"/>
    <w:qFormat/>
    <w:uiPriority w:val="0"/>
    <w:rPr>
      <w:rFonts w:ascii="Times New Roman" w:hAnsi="Times New Roman" w:eastAsia="宋体" w:cs="Times New Roman"/>
      <w:kern w:val="2"/>
      <w:sz w:val="18"/>
      <w:szCs w:val="18"/>
    </w:rPr>
  </w:style>
  <w:style w:type="character" w:customStyle="1" w:styleId="11">
    <w:name w:val="批注框文本 字符"/>
    <w:basedOn w:val="8"/>
    <w:link w:val="4"/>
    <w:semiHidden/>
    <w:uiPriority w:val="0"/>
    <w:rPr>
      <w:rFonts w:ascii="Times New Roman" w:hAnsi="Times New Roman" w:eastAsia="宋体" w:cs="Times New Roman"/>
      <w:kern w:val="2"/>
      <w:sz w:val="18"/>
      <w:szCs w:val="18"/>
    </w:rPr>
  </w:style>
  <w:style w:type="character" w:customStyle="1" w:styleId="12">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448</Characters>
  <Lines>3</Lines>
  <Paragraphs>1</Paragraphs>
  <TotalTime>11</TotalTime>
  <ScaleCrop>false</ScaleCrop>
  <LinksUpToDate>false</LinksUpToDate>
  <CharactersWithSpaces>525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Administrator</cp:lastModifiedBy>
  <cp:lastPrinted>2024-02-27T01:50:00Z</cp:lastPrinted>
  <dcterms:modified xsi:type="dcterms:W3CDTF">2024-03-20T01:10:38Z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