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b/>
          <w:sz w:val="36"/>
          <w:szCs w:val="36"/>
        </w:rPr>
      </w:pPr>
      <w:r>
        <w:rPr>
          <w:rFonts w:hint="eastAsia" w:ascii="方正小标宋简体" w:eastAsia="方正小标宋简体"/>
          <w:b/>
          <w:sz w:val="36"/>
          <w:szCs w:val="36"/>
        </w:rPr>
        <w:t>金盏部门整体绩效评价报告</w:t>
      </w:r>
    </w:p>
    <w:p>
      <w:pPr>
        <w:jc w:val="center"/>
        <w:rPr>
          <w:rFonts w:ascii="仿宋_GB2312"/>
          <w:szCs w:val="30"/>
        </w:rPr>
      </w:pPr>
    </w:p>
    <w:p>
      <w:pPr>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一、部门概况</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（一）机构设置及职责工作任务情况</w:t>
      </w:r>
    </w:p>
    <w:p>
      <w:pPr>
        <w:spacing w:line="600" w:lineRule="exact"/>
        <w:ind w:firstLine="643" w:firstLineChars="200"/>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 xml:space="preserve">1．机构设置 </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根据中共北京市委机构编制委员会印发的《关于本市乡镇机构改革的指导意见》和中共北京市朝阳区委机构编制委员会印发的《北京市朝阳区乡（地区）机构改革实施方案》有关精神，结合金盏乡（地区）实际，落实综合化、扁平化管理体制创新工作要求，整合乡（地区）党政机构及职责，综合设置为7个办公室，分别是综合办公室、党群工作办公室（人大工作办公室）、平安建设办公室（人民武装部、司法所）、城乡建设办公室、民生保障办公室、社区建设办公室、经济发展办公室（统计所）。其中，人大工作办公室与党群工作办公室综合设置，并在党群工作办公室加挂人大工作办公室牌子；人民武装部与平安建设办公室综合设置，并在平安建设办公室加挂人民武装部牌子；司法所与平安建设办公室综合设置，保留司法所牌子；统计所与经济发展办公室综合设置，保留统计所牌子；群团组织机关与相关党政机构综合设置。乡（地区）纪检监察机构、行政执法机构按有关规定设置。</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另外，根据服务功能、职责任务实际，对乡（地区）所属事业单位进行调整优化，综合设置为5个事业单位，分别是：便民服务中心（退役军人服务站）、市民活动中心（党群活动中心）、市民诉求处置中心（综治中心）、社会公共事务服务中心（农业综合服务中心）、农村合作经济经营管理站。</w:t>
      </w:r>
    </w:p>
    <w:p>
      <w:pPr>
        <w:spacing w:line="600" w:lineRule="exact"/>
        <w:ind w:firstLine="640" w:firstLineChars="200"/>
        <w:rPr>
          <w:rFonts w:ascii="仿宋_GB2312" w:hAnsi="宋体" w:eastAsia="仿宋_GB2312" w:cs="宋体"/>
          <w:color w:val="000000"/>
          <w:kern w:val="0"/>
          <w:sz w:val="32"/>
          <w:szCs w:val="32"/>
        </w:rPr>
      </w:pPr>
    </w:p>
    <w:p>
      <w:pPr>
        <w:spacing w:line="600" w:lineRule="exact"/>
        <w:ind w:firstLine="643" w:firstLineChars="200"/>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2.乡政府（地区办事处）的主要职责</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（1）贯彻执行法律、法规、规章和市、区政府的决定、命令，执行本级人民代表大会的决议，发布决定和命令。</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（2）执行本行政区域内的经济和社会发展计划、预算，管理本行政区域内的经济、教育、科学、文化、卫生、体育事业和财政、民政、司法行政、计划生育等行政工作。</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（3）保护社会主义全民所有的财产和劳动群众集体所有的财产，保护公民私人所有的合法财产，维护社会秩序，保障公民的人身权利、民主权利和其他权利。</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（4）保护各种经济组织的合法权益。</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（5）保障少数民族的权利和尊重少数民族的风俗习惯。</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（6）保障宪法和法律赋予妇女的男女平等、同工同酬和婚姻自由等各项权利。</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推进村（社区）发展建设，指导村民委员会、社区居民委员会工作，支持和促进依法自治，完善服务功能，提升治理水平；组织动员辖区单位和各类社会组织参与基层治理工作，统筹辖区资源，实现共建共治共享。</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（8）承办区政府交办的其他事项。</w:t>
      </w:r>
    </w:p>
    <w:p>
      <w:pPr>
        <w:spacing w:line="600" w:lineRule="exact"/>
        <w:ind w:firstLine="643" w:firstLineChars="200"/>
        <w:rPr>
          <w:rFonts w:ascii="仿宋_GB2312" w:hAnsi="宋体" w:eastAsia="仿宋_GB2312" w:cs="宋体"/>
          <w:b/>
          <w:kern w:val="0"/>
          <w:sz w:val="32"/>
          <w:szCs w:val="32"/>
        </w:rPr>
      </w:pPr>
      <w:r>
        <w:rPr>
          <w:rFonts w:hint="eastAsia" w:ascii="仿宋_GB2312" w:hAnsi="宋体" w:eastAsia="仿宋_GB2312" w:cs="宋体"/>
          <w:b/>
          <w:kern w:val="0"/>
          <w:sz w:val="32"/>
          <w:szCs w:val="32"/>
        </w:rPr>
        <w:t>3. 本预算年度的主要工作任务</w:t>
      </w:r>
    </w:p>
    <w:p>
      <w:pPr>
        <w:adjustRightInd w:val="0"/>
        <w:snapToGrid w:val="0"/>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2023年金盏乡重点推进以下六方面工作：</w:t>
      </w:r>
    </w:p>
    <w:p>
      <w:pPr>
        <w:adjustRightInd w:val="0"/>
        <w:snapToGrid w:val="0"/>
        <w:spacing w:line="60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一是大力推进农村城市化建设。</w:t>
      </w:r>
      <w:r>
        <w:rPr>
          <w:rFonts w:hint="eastAsia" w:ascii="仿宋_GB2312" w:hAnsi="宋体" w:eastAsia="仿宋_GB2312" w:cs="宋体"/>
          <w:color w:val="000000"/>
          <w:kern w:val="0"/>
          <w:sz w:val="32"/>
          <w:szCs w:val="32"/>
        </w:rPr>
        <w:t>以功能疏解为牵引，助推无违建区创建。力争2023年底完成长店组团三期马沙雷安置房建设，滚动推进地区城市化建设。加快乡域内存量资产的转型升级，持续优化营商环境，不断提升服务企业意识和水平。持续巩固农村集体“三资”管理专项治理成果，完成乡、村集体企业体制改革和机制转换，建立适应市场经济要求的现代企业制度。</w:t>
      </w:r>
    </w:p>
    <w:p>
      <w:pPr>
        <w:adjustRightInd w:val="0"/>
        <w:snapToGrid w:val="0"/>
        <w:spacing w:line="60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二是持续推进平安金盏建设。</w:t>
      </w:r>
      <w:r>
        <w:rPr>
          <w:rFonts w:hint="eastAsia" w:ascii="仿宋_GB2312" w:hAnsi="宋体" w:eastAsia="仿宋_GB2312" w:cs="宋体"/>
          <w:color w:val="000000"/>
          <w:kern w:val="0"/>
          <w:sz w:val="32"/>
          <w:szCs w:val="32"/>
        </w:rPr>
        <w:t>强化全乡智慧平安小区、监控设备、远程音响及“数智金盏”的日常使用。继续推进电动自行车集中充电设施及东窑村小型消防站建设。加强三级治安挂账任务整治。全面做好重大活动及重点时期的安保工作，落实治安志愿者实名制。拓展群防群治力量，通过日常检查、联合检查，持续做好社会面防控、安全生产及消防安全工作，确保乡域安全稳定。</w:t>
      </w:r>
    </w:p>
    <w:p>
      <w:pPr>
        <w:adjustRightInd w:val="0"/>
        <w:snapToGrid w:val="0"/>
        <w:spacing w:line="60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三是全力保障服务民生福祉。</w:t>
      </w:r>
      <w:r>
        <w:rPr>
          <w:rFonts w:hint="eastAsia" w:ascii="仿宋_GB2312" w:hAnsi="宋体" w:eastAsia="仿宋_GB2312" w:cs="宋体"/>
          <w:color w:val="000000"/>
          <w:kern w:val="0"/>
          <w:sz w:val="32"/>
          <w:szCs w:val="32"/>
        </w:rPr>
        <w:t>全力推进农民转居工作，</w:t>
      </w:r>
      <w:r>
        <w:rPr>
          <w:rFonts w:ascii="仿宋_GB2312" w:hAnsi="宋体" w:eastAsia="仿宋_GB2312" w:cs="宋体"/>
          <w:color w:val="000000"/>
          <w:kern w:val="0"/>
          <w:sz w:val="32"/>
          <w:szCs w:val="32"/>
        </w:rPr>
        <w:t>完善养老服务驿站的功能</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落实居家养老服务以及老年人补贴津贴等惠老政策。</w:t>
      </w:r>
      <w:r>
        <w:rPr>
          <w:rFonts w:hint="eastAsia" w:ascii="仿宋_GB2312" w:hAnsi="宋体" w:eastAsia="仿宋_GB2312" w:cs="宋体"/>
          <w:color w:val="000000"/>
          <w:kern w:val="0"/>
          <w:sz w:val="32"/>
          <w:szCs w:val="32"/>
        </w:rPr>
        <w:t>严格</w:t>
      </w:r>
      <w:r>
        <w:rPr>
          <w:rFonts w:ascii="仿宋_GB2312" w:hAnsi="宋体" w:eastAsia="仿宋_GB2312" w:cs="宋体"/>
          <w:color w:val="000000"/>
          <w:kern w:val="0"/>
          <w:sz w:val="32"/>
          <w:szCs w:val="32"/>
        </w:rPr>
        <w:t>各类民生保障服务对象的生活补助调标及资金审核发放</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持续保障困难群众和计生特殊家庭、残疾人家庭的基本生活。</w:t>
      </w:r>
      <w:r>
        <w:rPr>
          <w:rFonts w:hint="eastAsia" w:ascii="仿宋_GB2312" w:hAnsi="宋体" w:eastAsia="仿宋_GB2312" w:cs="宋体"/>
          <w:color w:val="000000"/>
          <w:kern w:val="0"/>
          <w:sz w:val="32"/>
          <w:szCs w:val="32"/>
        </w:rPr>
        <w:t>加强</w:t>
      </w:r>
      <w:r>
        <w:rPr>
          <w:rFonts w:ascii="仿宋_GB2312" w:hAnsi="宋体" w:eastAsia="仿宋_GB2312" w:cs="宋体"/>
          <w:color w:val="000000"/>
          <w:kern w:val="0"/>
          <w:sz w:val="32"/>
          <w:szCs w:val="32"/>
        </w:rPr>
        <w:t>征地超转人员、政策性农转居人员管理</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规范劳动用工行为，减少地区劳资纠纷和投诉举报的数量。</w:t>
      </w:r>
      <w:r>
        <w:rPr>
          <w:rFonts w:hint="eastAsia" w:ascii="仿宋_GB2312" w:hAnsi="宋体" w:eastAsia="仿宋_GB2312" w:cs="宋体"/>
          <w:color w:val="000000"/>
          <w:kern w:val="0"/>
          <w:sz w:val="32"/>
          <w:szCs w:val="32"/>
        </w:rPr>
        <w:t>完善乡、村两级温馨家园托管及肢体残疾人康复服务。整治文明城区创建的痼疾隐患，迎接文明城区考核验收。力争完成创建</w:t>
      </w:r>
      <w:r>
        <w:rPr>
          <w:rFonts w:ascii="仿宋_GB2312" w:hAnsi="宋体" w:eastAsia="仿宋_GB2312" w:cs="宋体"/>
          <w:color w:val="000000"/>
          <w:kern w:val="0"/>
          <w:sz w:val="32"/>
          <w:szCs w:val="32"/>
        </w:rPr>
        <w:t>市级卫生乡验收评估工作。</w:t>
      </w:r>
      <w:r>
        <w:rPr>
          <w:rFonts w:hint="eastAsia" w:ascii="仿宋_GB2312" w:hAnsi="宋体" w:eastAsia="仿宋_GB2312" w:cs="宋体"/>
          <w:color w:val="000000"/>
          <w:kern w:val="0"/>
          <w:sz w:val="32"/>
          <w:szCs w:val="32"/>
        </w:rPr>
        <w:t>坚持落实疫情防控常态化措施，加强新冠疫苗免疫及老年人接种工作，接力服务保障辖区新冠感染重症、危症、老人孩子等重点人群的救护医治。</w:t>
      </w:r>
    </w:p>
    <w:p>
      <w:pPr>
        <w:adjustRightInd w:val="0"/>
        <w:snapToGrid w:val="0"/>
        <w:spacing w:line="60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四是全面加强法治政府建设。</w:t>
      </w:r>
      <w:r>
        <w:rPr>
          <w:rFonts w:hint="eastAsia" w:ascii="仿宋_GB2312" w:hAnsi="宋体" w:eastAsia="仿宋_GB2312" w:cs="宋体"/>
          <w:color w:val="000000"/>
          <w:kern w:val="0"/>
          <w:sz w:val="32"/>
          <w:szCs w:val="32"/>
        </w:rPr>
        <w:t>严格落实行政执法公示、持证上岗、执法过错责任追究、执法监督等四项制度。加强社区矫正和安置帮教对象的排查管理，持续开展矛盾排查化解，治理重复信访，化解信访积案。加大餐饮经营单位燃气安全检查排查力度。突出重点场所管理检查，及时查处影响PM2.5及TSP水平的环境隐患问题。深化党建引领“接诉即办”治理水平和治理能力，及时有效解决需求和诉求，拓宽解决困难、化解矛盾的法治渠道。</w:t>
      </w:r>
    </w:p>
    <w:p>
      <w:pPr>
        <w:adjustRightInd w:val="0"/>
        <w:snapToGrid w:val="0"/>
        <w:spacing w:line="60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五是坚决打好生态环境保卫战。</w:t>
      </w:r>
      <w:r>
        <w:rPr>
          <w:rFonts w:hint="eastAsia" w:ascii="仿宋_GB2312" w:hAnsi="宋体" w:eastAsia="仿宋_GB2312" w:cs="宋体"/>
          <w:color w:val="000000"/>
          <w:kern w:val="0"/>
          <w:sz w:val="32"/>
          <w:szCs w:val="32"/>
        </w:rPr>
        <w:t>整治北京市第二轮生态环境保护督察问题隐患，妥善处置各类环境案件。深化推进辖区垃圾分类，加大辖区涉污、无证照生产督查检查取缔力度。谋划完成“留白增绿”“揭网见绿”专项任务。严格落实河长制、林长制、田长制，加强巡查检查，解决问题隐患。完成纳入财政预算基本农田基础设施及农田高效节水灌溉项目建设。</w:t>
      </w:r>
      <w:r>
        <w:rPr>
          <w:rFonts w:ascii="仿宋_GB2312" w:hAnsi="宋体" w:eastAsia="仿宋_GB2312" w:cs="宋体"/>
          <w:color w:val="000000"/>
          <w:kern w:val="0"/>
          <w:sz w:val="32"/>
          <w:szCs w:val="32"/>
        </w:rPr>
        <w:t>建设东窑路景观农业步道。</w:t>
      </w:r>
      <w:r>
        <w:rPr>
          <w:rFonts w:hint="eastAsia" w:ascii="仿宋_GB2312" w:hAnsi="宋体" w:eastAsia="仿宋_GB2312" w:cs="宋体"/>
          <w:color w:val="000000"/>
          <w:kern w:val="0"/>
          <w:sz w:val="32"/>
          <w:szCs w:val="32"/>
        </w:rPr>
        <w:t>推动皮村自备井和非常规水源置换，积极筹备东窑村自备井置换。</w:t>
      </w:r>
    </w:p>
    <w:p>
      <w:pPr>
        <w:adjustRightInd w:val="0"/>
        <w:snapToGrid w:val="0"/>
        <w:spacing w:line="60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六是加大全面从严治党力度。</w:t>
      </w:r>
      <w:r>
        <w:rPr>
          <w:rFonts w:hint="eastAsia" w:ascii="仿宋_GB2312" w:hAnsi="宋体" w:eastAsia="仿宋_GB2312" w:cs="宋体"/>
          <w:color w:val="000000"/>
          <w:kern w:val="0"/>
          <w:sz w:val="32"/>
          <w:szCs w:val="32"/>
        </w:rPr>
        <w:t>通过理论中心组带动、巡回宣讲等形式，全面</w:t>
      </w:r>
      <w:r>
        <w:rPr>
          <w:rFonts w:hint="eastAsia" w:ascii="仿宋_GB2312" w:hAnsi="宋体" w:eastAsia="仿宋_GB2312" w:cs="宋体"/>
          <w:color w:val="000000"/>
          <w:kern w:val="0"/>
          <w:sz w:val="32"/>
          <w:szCs w:val="32"/>
          <w:lang w:eastAsia="zh-CN"/>
        </w:rPr>
        <w:t>深入学习贯彻党的二十大精神</w:t>
      </w:r>
      <w:bookmarkStart w:id="0" w:name="_GoBack"/>
      <w:bookmarkEnd w:id="0"/>
      <w:r>
        <w:rPr>
          <w:rFonts w:hint="eastAsia" w:ascii="仿宋_GB2312" w:hAnsi="宋体" w:eastAsia="仿宋_GB2312" w:cs="宋体"/>
          <w:color w:val="000000"/>
          <w:kern w:val="0"/>
          <w:sz w:val="32"/>
          <w:szCs w:val="32"/>
        </w:rPr>
        <w:t>。严格公务员、事业编人员选拔录用，严密组织2022年度基层党组织书记抓机关党建工作述职评议考核。扎实落实理论中心组学习、意识形态及网络意识形态等系列机制。重点挖掘工作特色亮点，着力打造地区品牌。积极建设线上线下宣传阵地，拓展和延伸新时代文明实践站所、乡情村史陈列室功能，加强融媒体分中心建设，优化“金盏在线”功能，开展社会治理创新、基层党建品牌等主题宣传。广泛开展喜闻乐见群众体育文化活动。充分发挥人大、政协、统战、团委、妇联、工会等监督、献策、协商、助力作用，全面推进金盏高质量发展。</w:t>
      </w:r>
    </w:p>
    <w:p>
      <w:pPr>
        <w:spacing w:line="600" w:lineRule="exact"/>
        <w:ind w:firstLine="640" w:firstLineChars="200"/>
        <w:rPr>
          <w:rFonts w:ascii="仿宋_GB2312" w:hAnsi="宋体" w:eastAsia="仿宋_GB2312" w:cs="宋体"/>
          <w:color w:val="000000"/>
          <w:kern w:val="0"/>
          <w:sz w:val="32"/>
          <w:szCs w:val="32"/>
        </w:rPr>
      </w:pPr>
    </w:p>
    <w:p>
      <w:pPr>
        <w:spacing w:line="600" w:lineRule="exact"/>
        <w:ind w:firstLine="643" w:firstLineChars="200"/>
        <w:rPr>
          <w:rFonts w:ascii="楷体_GB2312" w:eastAsia="楷体_GB2312"/>
          <w:sz w:val="32"/>
          <w:szCs w:val="32"/>
        </w:rPr>
      </w:pPr>
      <w:r>
        <w:rPr>
          <w:rFonts w:hint="eastAsia" w:ascii="楷体_GB2312" w:eastAsia="楷体_GB2312"/>
          <w:b/>
          <w:sz w:val="32"/>
          <w:szCs w:val="32"/>
        </w:rPr>
        <w:t>（二）部门整体绩效目标设立情况</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2023年部门整体绩效目标是：通过提高资金使用效益，保障地区各项工作顺利开展，使地区经济持续健康稳步发展，实现全乡城市化进程不断深入，乡村社会治理能力进一步提升，人民群众获得感、幸福感、安全感进一步提高。具体目标：一是按照各项资金使用规范，严格审核，发挥财政资金最大效益；二是维护机构正常运转；三是提升辖区整体硬件设施水平，为地区居民提供良好的生活环境，保障人民安居乐业；四是保障地区党建、精神文明、文化教育、体育卫生等工作顺利开展，提升乡村社会治理能力，保障和改善民生，使地区经济持续健康稳步发展。</w:t>
      </w:r>
    </w:p>
    <w:p>
      <w:pPr>
        <w:spacing w:line="600" w:lineRule="exact"/>
        <w:ind w:firstLine="640" w:firstLineChars="200"/>
        <w:rPr>
          <w:rFonts w:ascii="仿宋_GB2312" w:hAnsi="宋体" w:eastAsia="仿宋_GB2312" w:cs="宋体"/>
          <w:color w:val="000000"/>
          <w:kern w:val="0"/>
          <w:sz w:val="32"/>
          <w:szCs w:val="32"/>
        </w:rPr>
      </w:pPr>
    </w:p>
    <w:p>
      <w:pPr>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二</w:t>
      </w:r>
      <w:r>
        <w:rPr>
          <w:rFonts w:ascii="黑体" w:hAnsi="黑体" w:eastAsia="黑体" w:cs="宋体"/>
          <w:b/>
          <w:color w:val="000000"/>
          <w:kern w:val="0"/>
          <w:sz w:val="32"/>
          <w:szCs w:val="32"/>
        </w:rPr>
        <w:t>、</w:t>
      </w:r>
      <w:r>
        <w:rPr>
          <w:rFonts w:hint="eastAsia" w:ascii="黑体" w:hAnsi="黑体" w:eastAsia="黑体" w:cs="宋体"/>
          <w:b/>
          <w:color w:val="000000"/>
          <w:kern w:val="0"/>
          <w:sz w:val="32"/>
          <w:szCs w:val="32"/>
        </w:rPr>
        <w:t>当年</w:t>
      </w:r>
      <w:r>
        <w:rPr>
          <w:rFonts w:ascii="黑体" w:hAnsi="黑体" w:eastAsia="黑体" w:cs="宋体"/>
          <w:b/>
          <w:color w:val="000000"/>
          <w:kern w:val="0"/>
          <w:sz w:val="32"/>
          <w:szCs w:val="32"/>
        </w:rPr>
        <w:t>预算执行情况</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115</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041.72</w:t>
      </w:r>
      <w:r>
        <w:rPr>
          <w:rFonts w:hint="eastAsia" w:ascii="仿宋_GB2312" w:hAnsi="宋体" w:eastAsia="仿宋_GB2312" w:cs="宋体"/>
          <w:color w:val="000000"/>
          <w:kern w:val="0"/>
          <w:sz w:val="32"/>
          <w:szCs w:val="32"/>
        </w:rPr>
        <w:t>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914.22</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w:t>
      </w:r>
      <w:r>
        <w:rPr>
          <w:rFonts w:hint="eastAsia" w:ascii="仿宋_GB2312" w:hAnsi="宋体" w:eastAsia="仿宋_GB2312" w:cs="宋体"/>
          <w:color w:val="000000"/>
          <w:kern w:val="0"/>
          <w:sz w:val="32"/>
          <w:szCs w:val="32"/>
          <w:lang w:val="en-US" w:eastAsia="zh-CN"/>
        </w:rPr>
        <w:t>109</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127.51</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115</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041.72</w:t>
      </w:r>
      <w:r>
        <w:rPr>
          <w:rFonts w:ascii="仿宋_GB2312" w:hAnsi="宋体" w:eastAsia="仿宋_GB2312" w:cs="宋体"/>
          <w:color w:val="000000"/>
          <w:kern w:val="0"/>
          <w:sz w:val="32"/>
          <w:szCs w:val="32"/>
        </w:rPr>
        <w:t>万元，其中，基本支</w:t>
      </w:r>
      <w:r>
        <w:rPr>
          <w:rFonts w:hint="eastAsia" w:ascii="仿宋_GB2312" w:hAnsi="宋体" w:eastAsia="仿宋_GB2312" w:cs="宋体"/>
          <w:color w:val="000000"/>
          <w:kern w:val="0"/>
          <w:sz w:val="32"/>
          <w:szCs w:val="32"/>
          <w:lang w:val="en-US" w:eastAsia="zh-CN"/>
        </w:rPr>
        <w:t>出5</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914.22</w:t>
      </w:r>
      <w:r>
        <w:rPr>
          <w:rFonts w:ascii="仿宋_GB2312" w:hAnsi="宋体" w:eastAsia="仿宋_GB2312" w:cs="宋体"/>
          <w:color w:val="000000"/>
          <w:kern w:val="0"/>
          <w:sz w:val="32"/>
          <w:szCs w:val="32"/>
        </w:rPr>
        <w:t>万元，项目</w:t>
      </w:r>
      <w:r>
        <w:rPr>
          <w:rFonts w:hint="eastAsia" w:ascii="仿宋_GB2312" w:hAnsi="宋体" w:eastAsia="仿宋_GB2312" w:cs="宋体"/>
          <w:color w:val="000000"/>
          <w:kern w:val="0"/>
          <w:sz w:val="32"/>
          <w:szCs w:val="32"/>
        </w:rPr>
        <w:t>支</w:t>
      </w:r>
      <w:r>
        <w:rPr>
          <w:rFonts w:hint="eastAsia" w:ascii="仿宋_GB2312" w:hAnsi="宋体" w:eastAsia="仿宋_GB2312" w:cs="宋体"/>
          <w:color w:val="000000"/>
          <w:kern w:val="0"/>
          <w:sz w:val="32"/>
          <w:szCs w:val="32"/>
          <w:lang w:val="en-US" w:eastAsia="zh-CN"/>
        </w:rPr>
        <w:t>出109</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127.51万</w:t>
      </w:r>
      <w:r>
        <w:rPr>
          <w:rFonts w:ascii="仿宋_GB2312" w:hAnsi="宋体" w:eastAsia="仿宋_GB2312" w:cs="宋体"/>
          <w:color w:val="000000"/>
          <w:kern w:val="0"/>
          <w:sz w:val="32"/>
          <w:szCs w:val="32"/>
        </w:rPr>
        <w:t>元，其他支出</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lang w:val="en-US" w:eastAsia="zh-CN"/>
        </w:rPr>
        <w:t>100%</w:t>
      </w:r>
      <w:r>
        <w:rPr>
          <w:rFonts w:hint="eastAsia" w:ascii="仿宋_GB2312" w:hAnsi="宋体" w:eastAsia="仿宋_GB2312" w:cs="宋体"/>
          <w:color w:val="000000"/>
          <w:kern w:val="0"/>
          <w:sz w:val="32"/>
          <w:szCs w:val="32"/>
        </w:rPr>
        <w:t>。</w:t>
      </w:r>
    </w:p>
    <w:p>
      <w:pPr>
        <w:spacing w:line="600" w:lineRule="exact"/>
        <w:ind w:firstLine="640" w:firstLineChars="200"/>
        <w:rPr>
          <w:rFonts w:ascii="仿宋_GB2312" w:hAnsi="宋体" w:eastAsia="仿宋_GB2312" w:cs="宋体"/>
          <w:color w:val="000000"/>
          <w:kern w:val="0"/>
          <w:sz w:val="32"/>
          <w:szCs w:val="32"/>
        </w:rPr>
      </w:pPr>
    </w:p>
    <w:p>
      <w:pPr>
        <w:spacing w:line="600" w:lineRule="exact"/>
        <w:ind w:left="105" w:leftChars="50" w:firstLine="482" w:firstLineChars="15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三</w:t>
      </w:r>
      <w:r>
        <w:rPr>
          <w:rFonts w:ascii="黑体" w:hAnsi="黑体" w:eastAsia="黑体" w:cs="宋体"/>
          <w:b/>
          <w:color w:val="000000"/>
          <w:kern w:val="0"/>
          <w:sz w:val="32"/>
          <w:szCs w:val="32"/>
        </w:rPr>
        <w:t>、整体绩效目标实现情况</w:t>
      </w:r>
    </w:p>
    <w:p>
      <w:pPr>
        <w:spacing w:line="600" w:lineRule="exact"/>
        <w:ind w:left="105" w:leftChars="50" w:firstLine="482" w:firstLineChars="150"/>
        <w:rPr>
          <w:rFonts w:ascii="楷体_GB2312" w:eastAsia="楷体_GB2312"/>
          <w:b/>
          <w:sz w:val="32"/>
          <w:szCs w:val="32"/>
        </w:rPr>
      </w:pPr>
      <w:r>
        <w:rPr>
          <w:rFonts w:hint="eastAsia" w:ascii="楷体_GB2312" w:eastAsia="楷体_GB2312"/>
          <w:b/>
          <w:sz w:val="32"/>
          <w:szCs w:val="32"/>
        </w:rPr>
        <w:t>（一）产出完成情况分析</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1.产出数量</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金盏地区辖区面积50.1平方公里，下辖13个行政村，5个社区。2023年编制内人员实有163人。</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2.产出</w:t>
      </w:r>
      <w:r>
        <w:rPr>
          <w:rFonts w:ascii="仿宋_GB2312" w:hAnsi="宋体" w:eastAsia="仿宋_GB2312" w:cs="宋体"/>
          <w:color w:val="000000"/>
          <w:kern w:val="0"/>
          <w:sz w:val="32"/>
          <w:szCs w:val="32"/>
        </w:rPr>
        <w:t>质量</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日常资金使用，我们严格按照资金使用规范，严格审核，发挥财政资金最大效益；人员工资足额发放、五险一金按时足额缴纳；各项资金严格审核材料完整性、规范性，重大项目严格履行“三重一大”程序，及时足额拨付到位，为各项工作顺开展提供资金支持。</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3.产出</w:t>
      </w:r>
      <w:r>
        <w:rPr>
          <w:rFonts w:ascii="仿宋_GB2312" w:hAnsi="宋体" w:eastAsia="仿宋_GB2312" w:cs="宋体"/>
          <w:color w:val="000000"/>
          <w:kern w:val="0"/>
          <w:sz w:val="32"/>
          <w:szCs w:val="32"/>
        </w:rPr>
        <w:t>进度</w:t>
      </w:r>
    </w:p>
    <w:p>
      <w:pPr>
        <w:ind w:firstLine="640" w:firstLineChars="200"/>
        <w:jc w:val="left"/>
        <w:rPr>
          <w:rFonts w:ascii="仿宋_GB2312" w:hAnsi="宋体" w:eastAsia="仿宋_GB2312"/>
          <w:sz w:val="32"/>
          <w:szCs w:val="32"/>
        </w:rPr>
      </w:pPr>
      <w:r>
        <w:rPr>
          <w:rFonts w:hint="eastAsia" w:ascii="仿宋_GB2312" w:hAnsi="宋体" w:eastAsia="仿宋_GB2312" w:cs="宋体"/>
          <w:color w:val="000000"/>
          <w:kern w:val="0"/>
          <w:sz w:val="32"/>
          <w:szCs w:val="32"/>
        </w:rPr>
        <w:t>2023年</w:t>
      </w:r>
      <w:r>
        <w:rPr>
          <w:rFonts w:hint="eastAsia" w:ascii="仿宋_GB2312" w:hAnsi="宋体" w:eastAsia="仿宋_GB2312"/>
          <w:sz w:val="32"/>
          <w:szCs w:val="32"/>
        </w:rPr>
        <w:t>多数项目能够按进度要求，保证支出进度。少数项目比如金盏乡金泽家园楼顶及窗户漏水维修、金盏乡金盏嘉园楼顶及窗户漏水维修项目2个项目，2022年9月已完成竣工验收，但受新冠疫情影响，结算评审工作后延，财政局6月下旬反馈评审结果，但由于田华建筑集团公司合同约定账户被冻结，申请暂缓支付，7月底才形成实际支出。另外，一些项目，如：金盏乡2023年基本农田基础设施建设项目因设计方案变更，项目启动立项延迟，6月底才启动立项招投标工作，9月支付预付款及进度款，影响3月、6月资金执行进度。</w:t>
      </w:r>
    </w:p>
    <w:p>
      <w:pPr>
        <w:spacing w:line="600" w:lineRule="exact"/>
        <w:ind w:left="105" w:leftChars="50" w:firstLine="480" w:firstLineChars="150"/>
        <w:rPr>
          <w:rFonts w:ascii="仿宋_GB2312" w:hAnsi="宋体" w:eastAsia="仿宋_GB2312" w:cs="宋体"/>
          <w:color w:val="000000"/>
          <w:kern w:val="0"/>
          <w:sz w:val="32"/>
          <w:szCs w:val="32"/>
        </w:rPr>
      </w:pPr>
    </w:p>
    <w:p>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2023年</w:t>
      </w:r>
      <w:r>
        <w:rPr>
          <w:rFonts w:ascii="仿宋_GB2312" w:hAnsi="宋体" w:eastAsia="仿宋_GB2312" w:cs="宋体"/>
          <w:color w:val="000000"/>
          <w:kern w:val="0"/>
          <w:sz w:val="32"/>
          <w:szCs w:val="32"/>
        </w:rPr>
        <w:t>总体</w:t>
      </w:r>
      <w:r>
        <w:rPr>
          <w:rFonts w:hint="eastAsia" w:ascii="仿宋_GB2312" w:hAnsi="宋体" w:eastAsia="仿宋_GB2312" w:cs="宋体"/>
          <w:color w:val="000000"/>
          <w:kern w:val="0"/>
          <w:sz w:val="32"/>
          <w:szCs w:val="32"/>
        </w:rPr>
        <w:t>支出115,033.42</w:t>
      </w:r>
      <w:r>
        <w:rPr>
          <w:rFonts w:ascii="仿宋_GB2312" w:hAnsi="宋体" w:eastAsia="仿宋_GB2312" w:cs="宋体"/>
          <w:color w:val="000000"/>
          <w:kern w:val="0"/>
          <w:sz w:val="32"/>
          <w:szCs w:val="32"/>
        </w:rPr>
        <w:t>万元，其中，基本支出</w:t>
      </w:r>
      <w:r>
        <w:rPr>
          <w:rFonts w:hint="eastAsia" w:ascii="仿宋_GB2312" w:hAnsi="宋体" w:eastAsia="仿宋_GB2312" w:cs="宋体"/>
          <w:color w:val="000000"/>
          <w:kern w:val="0"/>
          <w:sz w:val="32"/>
          <w:szCs w:val="32"/>
        </w:rPr>
        <w:t>5,914.22</w:t>
      </w:r>
      <w:r>
        <w:rPr>
          <w:rFonts w:ascii="仿宋_GB2312" w:hAnsi="宋体" w:eastAsia="仿宋_GB2312" w:cs="宋体"/>
          <w:color w:val="000000"/>
          <w:kern w:val="0"/>
          <w:sz w:val="32"/>
          <w:szCs w:val="32"/>
        </w:rPr>
        <w:t>万元，项目</w:t>
      </w:r>
      <w:r>
        <w:rPr>
          <w:rFonts w:hint="eastAsia" w:ascii="仿宋_GB2312" w:hAnsi="宋体" w:eastAsia="仿宋_GB2312" w:cs="宋体"/>
          <w:color w:val="000000"/>
          <w:kern w:val="0"/>
          <w:sz w:val="32"/>
          <w:szCs w:val="32"/>
        </w:rPr>
        <w:t>支出109,119.20</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0</w:t>
      </w:r>
      <w:r>
        <w:rPr>
          <w:rFonts w:ascii="仿宋_GB2312" w:hAnsi="宋体" w:eastAsia="仿宋_GB2312" w:cs="宋体"/>
          <w:color w:val="000000"/>
          <w:kern w:val="0"/>
          <w:sz w:val="32"/>
          <w:szCs w:val="32"/>
        </w:rPr>
        <w:t>万元。</w:t>
      </w:r>
    </w:p>
    <w:p>
      <w:pPr>
        <w:spacing w:line="600" w:lineRule="exact"/>
        <w:ind w:left="105" w:leftChars="50" w:firstLine="480" w:firstLineChars="150"/>
        <w:rPr>
          <w:rFonts w:ascii="仿宋_GB2312" w:hAnsi="宋体" w:eastAsia="仿宋_GB2312" w:cs="宋体"/>
          <w:color w:val="000000"/>
          <w:kern w:val="0"/>
          <w:sz w:val="32"/>
          <w:szCs w:val="32"/>
        </w:rPr>
      </w:pPr>
    </w:p>
    <w:p>
      <w:pPr>
        <w:spacing w:line="600" w:lineRule="exact"/>
        <w:ind w:left="105" w:leftChars="50" w:firstLine="482" w:firstLineChars="150"/>
        <w:rPr>
          <w:rFonts w:ascii="楷体_GB2312" w:eastAsia="楷体_GB2312"/>
          <w:b/>
          <w:sz w:val="32"/>
          <w:szCs w:val="32"/>
        </w:rPr>
      </w:pPr>
      <w:r>
        <w:rPr>
          <w:rFonts w:hint="eastAsia" w:ascii="楷体_GB2312" w:eastAsia="楷体_GB2312"/>
          <w:b/>
          <w:sz w:val="32"/>
          <w:szCs w:val="32"/>
        </w:rPr>
        <w:t>（二）效果</w:t>
      </w:r>
      <w:r>
        <w:rPr>
          <w:rFonts w:ascii="楷体_GB2312" w:eastAsia="楷体_GB2312"/>
          <w:b/>
          <w:sz w:val="32"/>
          <w:szCs w:val="32"/>
        </w:rPr>
        <w:t>实现情况分析</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2023 年，在区委区政府及乡党委的坚强领导下，在乡人大的监督支持下，乡政府主动融入"五宜"朝阳发展大局，以高质量完成"年度四件事"为目标，促经济、保安全、惠民生，不断推动金盏乡经济社会发展取得新成效。一是坚决落实北京城市总规要求，推动金盏乡村振兴打开新局面：1、全力打赢拆违创无攻坚战，为地区高质量发展赢得空间和时间；2、全力推动规划编制和落地实施，城市化建设取得积极成果；3、全力落实耕地保护责任，打造农业大乡文化名片。二是高标准提振集体经济，推动地区经济加速转型升级：1、不断完善“三资”管理机制，推动集体经济组织规范高效运行；2、加快产业转型升级，推动集体经济进入“快车道”；3、积极培育经济增长点，不断提升地区经济发展活力。三是全力推进平安金盏建设，坚决守牢安全底线，深入构筑大安全防控体系，推动基层社会治理能力和水平再上新台阶：1、织密筑牢公共安全防线；2、重拳出击整治安全隐患；3精细精准推进环境治理；4、打好执法监管组合拳；5、市民诉求处置能力大幅提升。四是始终坚持以人民为中心的发展理念，聚焦“七有”“五性”，扎实履行民生保障和基本社会服务职责，切实增强群众的获得感、幸福感：1、用心用情办好民生实事；2、持续优化地区公共服务供给；3、群众文化生活更加丰富多彩。</w:t>
      </w:r>
    </w:p>
    <w:p>
      <w:pPr>
        <w:spacing w:line="600" w:lineRule="exact"/>
        <w:ind w:left="105" w:leftChars="50" w:firstLine="480" w:firstLineChars="150"/>
        <w:rPr>
          <w:rFonts w:ascii="仿宋_GB2312" w:hAnsi="宋体" w:eastAsia="仿宋_GB2312" w:cs="宋体"/>
          <w:color w:val="000000"/>
          <w:kern w:val="0"/>
          <w:sz w:val="32"/>
          <w:szCs w:val="32"/>
        </w:rPr>
      </w:pPr>
    </w:p>
    <w:p>
      <w:pPr>
        <w:spacing w:line="600" w:lineRule="exact"/>
        <w:ind w:left="105" w:leftChars="50" w:firstLine="482" w:firstLineChars="15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四</w:t>
      </w:r>
      <w:r>
        <w:rPr>
          <w:rFonts w:ascii="黑体" w:hAnsi="黑体" w:eastAsia="黑体" w:cs="宋体"/>
          <w:b/>
          <w:color w:val="000000"/>
          <w:kern w:val="0"/>
          <w:sz w:val="32"/>
          <w:szCs w:val="32"/>
        </w:rPr>
        <w:t>、预算管理</w:t>
      </w:r>
      <w:r>
        <w:rPr>
          <w:rFonts w:hint="eastAsia" w:ascii="黑体" w:hAnsi="黑体" w:eastAsia="黑体" w:cs="宋体"/>
          <w:b/>
          <w:color w:val="000000"/>
          <w:kern w:val="0"/>
          <w:sz w:val="32"/>
          <w:szCs w:val="32"/>
        </w:rPr>
        <w:t>情况分</w:t>
      </w:r>
      <w:r>
        <w:rPr>
          <w:rFonts w:ascii="黑体" w:hAnsi="黑体" w:eastAsia="黑体" w:cs="宋体"/>
          <w:b/>
          <w:color w:val="000000"/>
          <w:kern w:val="0"/>
          <w:sz w:val="32"/>
          <w:szCs w:val="32"/>
        </w:rPr>
        <w:t>析</w:t>
      </w:r>
    </w:p>
    <w:p>
      <w:pPr>
        <w:spacing w:line="600" w:lineRule="exact"/>
        <w:ind w:left="105" w:leftChars="50" w:firstLine="482" w:firstLineChars="150"/>
        <w:rPr>
          <w:rFonts w:ascii="楷体_GB2312" w:eastAsia="楷体_GB2312"/>
          <w:b/>
          <w:sz w:val="32"/>
          <w:szCs w:val="32"/>
        </w:rPr>
      </w:pPr>
      <w:r>
        <w:rPr>
          <w:rFonts w:hint="eastAsia" w:ascii="楷体_GB2312" w:eastAsia="楷体_GB2312"/>
          <w:b/>
          <w:sz w:val="32"/>
          <w:szCs w:val="32"/>
        </w:rPr>
        <w:t>（一）财务管理</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部门财务管理制度健全，内控制度与内控手册已建立并施行，制定了财务管理办法、政府采购管理办法、合同管理办法、工程管理办法等相应制度，对资金使用及管理等方面进行了明确要求。规定了会计人员岗位职责、账务处理程序、会计内部牵制、财务收支审批等内容,从多个方面实施监督管理。</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2.资金使用合规性</w:t>
      </w:r>
      <w:r>
        <w:rPr>
          <w:rFonts w:ascii="仿宋_GB2312" w:hAnsi="宋体" w:eastAsia="仿宋_GB2312" w:cs="宋体"/>
          <w:color w:val="000000"/>
          <w:kern w:val="0"/>
          <w:sz w:val="32"/>
          <w:szCs w:val="32"/>
        </w:rPr>
        <w:t>和安全性</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日常我部门按照各项目资金使用规范及合同规定，严格审核材料完整性、规范性，重大项目严格履行“三重一大”程序，规范资金使用，推进财政资金绩效目标管理，严格控制资金运行成本。各项支出均符合国家财经法规和财务管理制度规定以及有关专项资金管理办法的规定，资金使用无截留、挤占、挪用、虚列支出等情况。</w:t>
      </w:r>
    </w:p>
    <w:p>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本部门严格遵守《会计法》、《预算法》、《政府会计准则制度》等法律和财政部及北京市财政局有关财政财务规章，会计基础数据信息完善，会计信息资料完整。</w:t>
      </w:r>
    </w:p>
    <w:p>
      <w:pPr>
        <w:spacing w:line="600" w:lineRule="exact"/>
        <w:ind w:left="105" w:leftChars="50" w:firstLine="480" w:firstLineChars="150"/>
        <w:rPr>
          <w:rFonts w:ascii="仿宋_GB2312" w:hAnsi="宋体" w:eastAsia="仿宋_GB2312" w:cs="宋体"/>
          <w:color w:val="000000"/>
          <w:kern w:val="0"/>
          <w:sz w:val="32"/>
          <w:szCs w:val="32"/>
        </w:rPr>
      </w:pPr>
    </w:p>
    <w:p>
      <w:pPr>
        <w:spacing w:line="600" w:lineRule="exact"/>
        <w:ind w:left="105" w:leftChars="50" w:firstLine="482" w:firstLineChars="150"/>
        <w:rPr>
          <w:rFonts w:ascii="楷体_GB2312" w:eastAsia="楷体_GB2312"/>
          <w:b/>
          <w:sz w:val="32"/>
          <w:szCs w:val="32"/>
        </w:rPr>
      </w:pPr>
      <w:r>
        <w:rPr>
          <w:rFonts w:hint="eastAsia" w:ascii="楷体_GB2312" w:eastAsia="楷体_GB2312"/>
          <w:b/>
          <w:sz w:val="32"/>
          <w:szCs w:val="32"/>
        </w:rPr>
        <w:t>（二）资产管理</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根据行政事业单位资产管理的相关要求，我单位制定相应的资产管理制度。对于资产处置，严格按国有资产处置程序，经报区财政局批准后集中处置。年底聘请第三方单位对资产情况进行了盘点清查，做到底数清，情况明，责任实。总体执行情况较好。</w:t>
      </w:r>
    </w:p>
    <w:p>
      <w:pPr>
        <w:spacing w:line="600" w:lineRule="exact"/>
        <w:ind w:left="105" w:leftChars="50" w:firstLine="480" w:firstLineChars="150"/>
        <w:rPr>
          <w:rFonts w:ascii="仿宋_GB2312" w:hAnsi="宋体" w:eastAsia="仿宋_GB2312" w:cs="宋体"/>
          <w:color w:val="000000"/>
          <w:kern w:val="0"/>
          <w:sz w:val="32"/>
          <w:szCs w:val="32"/>
        </w:rPr>
      </w:pPr>
    </w:p>
    <w:p>
      <w:pPr>
        <w:spacing w:line="600" w:lineRule="exact"/>
        <w:ind w:left="105" w:leftChars="50" w:firstLine="482" w:firstLineChars="150"/>
        <w:rPr>
          <w:rFonts w:ascii="楷体_GB2312" w:eastAsia="楷体_GB2312"/>
          <w:b/>
          <w:sz w:val="32"/>
          <w:szCs w:val="32"/>
        </w:rPr>
      </w:pPr>
      <w:r>
        <w:rPr>
          <w:rFonts w:hint="eastAsia" w:ascii="楷体_GB2312" w:eastAsia="楷体_GB2312"/>
          <w:b/>
          <w:sz w:val="32"/>
          <w:szCs w:val="32"/>
        </w:rPr>
        <w:t>（三）绩效</w:t>
      </w:r>
      <w:r>
        <w:rPr>
          <w:rFonts w:ascii="楷体_GB2312" w:eastAsia="楷体_GB2312"/>
          <w:b/>
          <w:sz w:val="32"/>
          <w:szCs w:val="32"/>
        </w:rPr>
        <w:t>管理</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我单位严格落实《预算法》及绩效管理工作的有关规定，进一步规范财政资金的管理，强化财政支出绩效理念，提升部门责任意识，提高资金使用效益。根据绩效评价的要求，各部门在编制预算时做好绩效目标申报，年中完成绩效监控，在绩效自评过程发现问题，查找原因，及时纠正偏差，为下一步工作夯实基础。</w:t>
      </w:r>
    </w:p>
    <w:p>
      <w:pPr>
        <w:spacing w:line="600" w:lineRule="exact"/>
        <w:ind w:left="105" w:leftChars="50" w:firstLine="482" w:firstLineChars="150"/>
        <w:rPr>
          <w:rFonts w:ascii="楷体_GB2312" w:eastAsia="楷体_GB2312"/>
          <w:b/>
          <w:sz w:val="32"/>
          <w:szCs w:val="32"/>
        </w:rPr>
      </w:pPr>
      <w:r>
        <w:rPr>
          <w:rFonts w:hint="eastAsia" w:ascii="楷体_GB2312" w:eastAsia="楷体_GB2312"/>
          <w:b/>
          <w:sz w:val="32"/>
          <w:szCs w:val="32"/>
        </w:rPr>
        <w:t>（四）结转结余率</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2023年本部门无结转结余。</w:t>
      </w:r>
    </w:p>
    <w:p>
      <w:pPr>
        <w:spacing w:line="600" w:lineRule="exact"/>
        <w:ind w:left="105" w:leftChars="50" w:firstLine="480" w:firstLineChars="150"/>
        <w:rPr>
          <w:rFonts w:ascii="楷体_GB2312" w:eastAsia="楷体_GB2312"/>
          <w:sz w:val="32"/>
          <w:szCs w:val="32"/>
        </w:rPr>
      </w:pPr>
    </w:p>
    <w:p>
      <w:pPr>
        <w:spacing w:line="600" w:lineRule="exact"/>
        <w:ind w:left="105" w:leftChars="50" w:firstLine="482" w:firstLineChars="150"/>
        <w:rPr>
          <w:rFonts w:ascii="黑体" w:hAnsi="黑体" w:eastAsia="黑体"/>
          <w:b/>
          <w:sz w:val="32"/>
          <w:szCs w:val="32"/>
        </w:rPr>
      </w:pPr>
      <w:r>
        <w:rPr>
          <w:rFonts w:hint="eastAsia" w:ascii="黑体" w:hAnsi="黑体" w:eastAsia="黑体"/>
          <w:b/>
          <w:sz w:val="32"/>
          <w:szCs w:val="32"/>
        </w:rPr>
        <w:t>五、总体</w:t>
      </w:r>
      <w:r>
        <w:rPr>
          <w:rFonts w:ascii="黑体" w:hAnsi="黑体" w:eastAsia="黑体"/>
          <w:b/>
          <w:sz w:val="32"/>
          <w:szCs w:val="32"/>
        </w:rPr>
        <w:t>评价结论</w:t>
      </w:r>
    </w:p>
    <w:p>
      <w:pPr>
        <w:spacing w:line="600" w:lineRule="exact"/>
        <w:ind w:left="105" w:leftChars="50" w:firstLine="482" w:firstLineChars="150"/>
        <w:rPr>
          <w:rFonts w:ascii="仿宋_GB2312" w:hAnsi="宋体" w:eastAsia="仿宋_GB2312" w:cs="宋体"/>
          <w:b/>
          <w:color w:val="000000"/>
          <w:kern w:val="0"/>
          <w:sz w:val="32"/>
          <w:szCs w:val="32"/>
        </w:rPr>
      </w:pPr>
      <w:r>
        <w:rPr>
          <w:rFonts w:ascii="仿宋_GB2312" w:hAnsi="宋体" w:eastAsia="仿宋_GB2312" w:cs="宋体"/>
          <w:b/>
          <w:color w:val="000000"/>
          <w:kern w:val="0"/>
          <w:sz w:val="32"/>
          <w:szCs w:val="32"/>
        </w:rPr>
        <w:t>（一）绩效目标完成情况</w:t>
      </w:r>
    </w:p>
    <w:p>
      <w:pPr>
        <w:adjustRightInd w:val="0"/>
        <w:snapToGrid w:val="0"/>
        <w:spacing w:line="60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023</w:t>
      </w:r>
      <w:r>
        <w:rPr>
          <w:rFonts w:ascii="仿宋_GB2312" w:hAnsi="宋体" w:eastAsia="仿宋_GB2312" w:cs="宋体"/>
          <w:color w:val="000000"/>
          <w:kern w:val="0"/>
          <w:sz w:val="32"/>
          <w:szCs w:val="32"/>
        </w:rPr>
        <w:t>年基本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rPr>
        <w:t>5,557.80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实际支出5,914.22</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；项目支出预算数24,987.13</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实际支出109,119.20</w:t>
      </w:r>
      <w:r>
        <w:rPr>
          <w:rFonts w:ascii="仿宋_GB2312" w:hAnsi="宋体" w:eastAsia="仿宋_GB2312" w:cs="宋体"/>
          <w:color w:val="000000"/>
          <w:kern w:val="0"/>
          <w:sz w:val="32"/>
          <w:szCs w:val="32"/>
        </w:rPr>
        <w:t>万元。</w:t>
      </w:r>
    </w:p>
    <w:p>
      <w:pPr>
        <w:adjustRightInd w:val="0"/>
        <w:snapToGrid w:val="0"/>
        <w:spacing w:line="600" w:lineRule="exact"/>
        <w:ind w:firstLine="640" w:firstLineChars="200"/>
        <w:rPr>
          <w:rFonts w:ascii="仿宋_GB2312" w:hAnsi="宋体" w:eastAsia="仿宋_GB2312" w:cs="宋体"/>
          <w:color w:val="000000"/>
          <w:kern w:val="0"/>
          <w:sz w:val="32"/>
          <w:szCs w:val="32"/>
        </w:rPr>
      </w:pPr>
    </w:p>
    <w:p>
      <w:pPr>
        <w:adjustRightInd w:val="0"/>
        <w:snapToGrid w:val="0"/>
        <w:spacing w:line="600" w:lineRule="exact"/>
        <w:ind w:firstLine="643" w:firstLineChars="200"/>
        <w:rPr>
          <w:rFonts w:eastAsia="仿宋_GB2312"/>
          <w:b/>
          <w:bCs/>
          <w:sz w:val="32"/>
          <w:szCs w:val="32"/>
        </w:rPr>
      </w:pPr>
      <w:r>
        <w:rPr>
          <w:rFonts w:eastAsia="仿宋_GB2312"/>
          <w:b/>
          <w:sz w:val="32"/>
          <w:szCs w:val="32"/>
        </w:rPr>
        <w:t>（二）</w:t>
      </w:r>
      <w:r>
        <w:rPr>
          <w:rFonts w:hint="eastAsia" w:ascii="楷体_GB2312" w:eastAsia="楷体_GB2312"/>
          <w:b/>
          <w:sz w:val="32"/>
          <w:szCs w:val="32"/>
        </w:rPr>
        <w:t>存在的问题及原因分析</w:t>
      </w:r>
    </w:p>
    <w:p>
      <w:pPr>
        <w:adjustRightInd w:val="0"/>
        <w:snapToGrid w:val="0"/>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多数项目能够按进度要求，保证支出进度。部分项目支出进度不理想，资金占比又大，从而影响总体进度。2024年，我们将继续全面推进绩效管理，加快资金支出进度，努力增收节支，完成全年财政工作任务。</w:t>
      </w:r>
    </w:p>
    <w:p>
      <w:pPr>
        <w:adjustRightInd w:val="0"/>
        <w:snapToGrid w:val="0"/>
        <w:spacing w:line="600" w:lineRule="exact"/>
        <w:ind w:firstLine="640" w:firstLineChars="200"/>
        <w:rPr>
          <w:rFonts w:ascii="仿宋_GB2312" w:hAnsi="宋体" w:eastAsia="仿宋_GB2312" w:cs="宋体"/>
          <w:color w:val="000000"/>
          <w:kern w:val="0"/>
          <w:sz w:val="32"/>
          <w:szCs w:val="32"/>
        </w:rPr>
      </w:pPr>
    </w:p>
    <w:p>
      <w:pPr>
        <w:spacing w:line="600" w:lineRule="exact"/>
        <w:ind w:firstLine="643" w:firstLineChars="200"/>
        <w:rPr>
          <w:rFonts w:ascii="仿宋_GB2312" w:hAnsi="宋体" w:eastAsia="仿宋_GB2312" w:cs="宋体"/>
          <w:b/>
          <w:color w:val="000000"/>
          <w:kern w:val="0"/>
          <w:sz w:val="32"/>
          <w:szCs w:val="32"/>
        </w:rPr>
      </w:pPr>
      <w:r>
        <w:rPr>
          <w:rFonts w:hint="eastAsia" w:ascii="黑体" w:hAnsi="黑体" w:eastAsia="黑体" w:cs="宋体"/>
          <w:b/>
          <w:color w:val="000000"/>
          <w:kern w:val="0"/>
          <w:sz w:val="32"/>
          <w:szCs w:val="32"/>
        </w:rPr>
        <w:t>六、措施建议</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通过对本部门全年预算项目支出绩效跟踪分析，进一步加强了项目资金绩效预算管理，优化资金支出标准。</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主要经验：</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1、日常预算管理围绕绩效目标来进行，事前设定目标、事中跟踪监控目标实现进程、事后评价目标完成情况；</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2、预算管理的各环节、每项工作都要以绩效为核心导向，将绩效管理贯穿于预算管理全过程、各环节，实现财政资金运行和预算管理效益最大化；</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3、预算管理强调各业务科室预算支出责任，财政科监督执行，严格把关。</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下一步工作措施：</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2024年，本部门将严格按照北京市财政局预算绩效管理工作要求和《朝阳区预算绩效管理办法（试行）》（朝财绩效[2014]163号）精神，进一步推进项目绩效管理和财政科学化精细化管理程度，敦促业务科室做细、做实项目预算，最大限度提高财政资金使用效益。</w:t>
      </w:r>
      <w:r>
        <w:rPr>
          <w:rFonts w:hint="eastAsia" w:ascii="仿宋_GB2312" w:hAnsi="宋体" w:eastAsia="仿宋_GB2312" w:cs="宋体"/>
          <w:b/>
          <w:color w:val="000000"/>
          <w:kern w:val="0"/>
          <w:sz w:val="32"/>
          <w:szCs w:val="32"/>
        </w:rPr>
        <w:t>一是强化预算执行，提高预算完成率。</w:t>
      </w:r>
      <w:r>
        <w:rPr>
          <w:rFonts w:hint="eastAsia" w:ascii="仿宋_GB2312" w:hAnsi="宋体" w:eastAsia="仿宋_GB2312" w:cs="宋体"/>
          <w:color w:val="000000"/>
          <w:kern w:val="0"/>
          <w:sz w:val="32"/>
          <w:szCs w:val="32"/>
        </w:rPr>
        <w:t>严格按项目和进度执行预算，合理安排资金支出，增强预算执行的规范性和严肃性；完善项目责任制，业务科室为项目实施责任单位，应加强与财务部门的沟通协调和项目实施，定期做好预算执行分析，及时了解预算执行差异，合理调整、纠正预算执行偏差，加快预算的执行进度，减少存量资金，切实提高预算完成率及资金使用效益。</w:t>
      </w:r>
      <w:r>
        <w:rPr>
          <w:rFonts w:hint="eastAsia" w:ascii="仿宋_GB2312" w:hAnsi="宋体" w:eastAsia="仿宋_GB2312" w:cs="宋体"/>
          <w:b/>
          <w:color w:val="000000"/>
          <w:kern w:val="0"/>
          <w:sz w:val="32"/>
          <w:szCs w:val="32"/>
        </w:rPr>
        <w:t>二是确保考核指标及预算绩效目标按时、优质完成。</w:t>
      </w:r>
      <w:r>
        <w:rPr>
          <w:rFonts w:hint="eastAsia" w:ascii="仿宋_GB2312" w:hAnsi="宋体" w:eastAsia="仿宋_GB2312" w:cs="宋体"/>
          <w:color w:val="000000"/>
          <w:kern w:val="0"/>
          <w:sz w:val="32"/>
          <w:szCs w:val="32"/>
        </w:rPr>
        <w:t>根据年初的绩效考核指标及预算绩效目标，扎实推进相关工作，实现财政资金运行和预算管理效益最大化。</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Calibri Light">
    <w:panose1 w:val="020F0302020204030204"/>
    <w:charset w:val="00"/>
    <w:family w:val="decorative"/>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w:pict>
        <v:shape id="文本框 2" o:spid="_x0000_s4097" o:spt="202" type="#_x0000_t202" style="position:absolute;left:0pt;margin-top:0pt;height:144pt;width:144pt;mso-position-horizontal:right;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txbxContent>
          </v:textbox>
        </v:shape>
      </w:pic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B1D39DF"/>
    <w:rsid w:val="00066A9C"/>
    <w:rsid w:val="000B0153"/>
    <w:rsid w:val="00113A59"/>
    <w:rsid w:val="00134BC8"/>
    <w:rsid w:val="001C7834"/>
    <w:rsid w:val="0023434C"/>
    <w:rsid w:val="00241731"/>
    <w:rsid w:val="002A50A4"/>
    <w:rsid w:val="003367F4"/>
    <w:rsid w:val="004156E7"/>
    <w:rsid w:val="00465181"/>
    <w:rsid w:val="004A6C67"/>
    <w:rsid w:val="004B358E"/>
    <w:rsid w:val="004C0E44"/>
    <w:rsid w:val="004F7A1C"/>
    <w:rsid w:val="0057202C"/>
    <w:rsid w:val="005E3946"/>
    <w:rsid w:val="00605F49"/>
    <w:rsid w:val="0060746B"/>
    <w:rsid w:val="006104D6"/>
    <w:rsid w:val="006476AA"/>
    <w:rsid w:val="006604D1"/>
    <w:rsid w:val="006D4724"/>
    <w:rsid w:val="0071202D"/>
    <w:rsid w:val="00721103"/>
    <w:rsid w:val="00762E32"/>
    <w:rsid w:val="007912F5"/>
    <w:rsid w:val="007C10BC"/>
    <w:rsid w:val="00826643"/>
    <w:rsid w:val="00946F6C"/>
    <w:rsid w:val="00954F6E"/>
    <w:rsid w:val="009837C6"/>
    <w:rsid w:val="00AA3441"/>
    <w:rsid w:val="00AC086A"/>
    <w:rsid w:val="00B03B70"/>
    <w:rsid w:val="00B80FC2"/>
    <w:rsid w:val="00CF07EE"/>
    <w:rsid w:val="00D96A35"/>
    <w:rsid w:val="00E35288"/>
    <w:rsid w:val="00E617B2"/>
    <w:rsid w:val="00EA1C78"/>
    <w:rsid w:val="00F40AD9"/>
    <w:rsid w:val="00F42C33"/>
    <w:rsid w:val="00F61277"/>
    <w:rsid w:val="00FB08ED"/>
    <w:rsid w:val="00FD74AD"/>
    <w:rsid w:val="443C7757"/>
    <w:rsid w:val="44671DE3"/>
    <w:rsid w:val="45542B42"/>
    <w:rsid w:val="4856006C"/>
    <w:rsid w:val="5B1D39DF"/>
    <w:rsid w:val="66046D0B"/>
    <w:rsid w:val="6E0E5CF7"/>
    <w:rsid w:val="73FC01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1"/>
    <w:unhideWhenUsed/>
    <w:qFormat/>
    <w:uiPriority w:val="9"/>
    <w:pPr>
      <w:keepNext/>
      <w:keepLines/>
      <w:jc w:val="center"/>
      <w:outlineLvl w:val="1"/>
    </w:pPr>
    <w:rPr>
      <w:rFonts w:ascii="Cambria" w:hAnsi="Cambria" w:cs="Cambria"/>
      <w:b/>
      <w:bCs/>
      <w:sz w:val="36"/>
      <w:szCs w:val="36"/>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4">
    <w:name w:val="Balloon Text"/>
    <w:basedOn w:val="1"/>
    <w:link w:val="10"/>
    <w:unhideWhenUsed/>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20"/>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7"/>
    <w:link w:val="6"/>
    <w:qFormat/>
    <w:uiPriority w:val="0"/>
    <w:rPr>
      <w:rFonts w:ascii="Times New Roman" w:hAnsi="Times New Roman" w:eastAsia="宋体" w:cs="Times New Roman"/>
      <w:kern w:val="2"/>
      <w:sz w:val="18"/>
      <w:szCs w:val="18"/>
    </w:rPr>
  </w:style>
  <w:style w:type="character" w:customStyle="1" w:styleId="10">
    <w:name w:val="批注框文本 Char"/>
    <w:basedOn w:val="7"/>
    <w:link w:val="4"/>
    <w:semiHidden/>
    <w:qFormat/>
    <w:uiPriority w:val="0"/>
    <w:rPr>
      <w:rFonts w:ascii="Times New Roman" w:hAnsi="Times New Roman" w:eastAsia="宋体" w:cs="Times New Roman"/>
      <w:kern w:val="2"/>
      <w:sz w:val="18"/>
      <w:szCs w:val="18"/>
    </w:rPr>
  </w:style>
  <w:style w:type="character" w:customStyle="1" w:styleId="11">
    <w:name w:val="标题 2 Char"/>
    <w:basedOn w:val="7"/>
    <w:link w:val="3"/>
    <w:qFormat/>
    <w:uiPriority w:val="9"/>
    <w:rPr>
      <w:rFonts w:ascii="Cambria" w:hAnsi="Cambria" w:eastAsia="宋体" w:cs="Cambria"/>
      <w:b/>
      <w:bCs/>
      <w:kern w:val="2"/>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795</Words>
  <Characters>4533</Characters>
  <Lines>37</Lines>
  <Paragraphs>10</Paragraphs>
  <ScaleCrop>false</ScaleCrop>
  <LinksUpToDate>false</LinksUpToDate>
  <CharactersWithSpaces>5318</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2024-03-28T02:58:00Z</dcterms:created>
  <dc:creator>Administrator</dc:creator>
  <cp:lastModifiedBy>Lenovo</cp:lastModifiedBy>
  <cp:lastPrinted>2024-02-27T01:50:00Z</cp:lastPrinted>
  <dcterms:modified xsi:type="dcterms:W3CDTF">2024-09-19T09:00:24Z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