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48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eastAsia" w:cs="Times New Roman"/>
          <w:b/>
          <w:sz w:val="44"/>
          <w:szCs w:val="44"/>
          <w:lang w:eastAsia="zh-CN"/>
        </w:rPr>
        <w:t>2026年1-6月</w:t>
      </w:r>
      <w:r>
        <w:rPr>
          <w:rFonts w:hint="default" w:ascii="Times New Roman" w:hAnsi="Times New Roman" w:cs="Times New Roman"/>
          <w:b/>
          <w:sz w:val="44"/>
          <w:szCs w:val="44"/>
        </w:rPr>
        <w:t>朝阳区主要经济指标数据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1．工业生产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highlight w:val="yellow"/>
        </w:rPr>
      </w:pPr>
      <w:r>
        <w:rPr>
          <w:rFonts w:hint="eastAsia" w:cs="Times New Roman"/>
          <w:sz w:val="28"/>
          <w:szCs w:val="28"/>
          <w:highlight w:val="none"/>
          <w:lang w:eastAsia="zh-CN"/>
        </w:rPr>
        <w:t>1-6月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，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朝阳区规模以上工业企业实现总产值1035.0亿元，同比增长3.7%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>，</w:t>
      </w:r>
      <w:r>
        <w:rPr>
          <w:rFonts w:hint="eastAsia" w:cs="Times New Roman"/>
          <w:sz w:val="28"/>
          <w:szCs w:val="28"/>
          <w:lang w:eastAsia="zh-CN"/>
        </w:rPr>
        <w:t>增速</w:t>
      </w:r>
      <w:r>
        <w:rPr>
          <w:rFonts w:hint="eastAsia" w:cs="Times New Roman"/>
          <w:kern w:val="0"/>
          <w:sz w:val="28"/>
          <w:szCs w:val="28"/>
          <w:lang w:eastAsia="zh-CN"/>
        </w:rPr>
        <w:t>较1-5月</w:t>
      </w:r>
      <w:r>
        <w:rPr>
          <w:rFonts w:hint="eastAsia" w:cs="Times New Roman"/>
          <w:w w:val="100"/>
          <w:sz w:val="28"/>
          <w:szCs w:val="28"/>
          <w:highlight w:val="none"/>
          <w:lang w:val="en-US" w:eastAsia="zh-CN"/>
        </w:rPr>
        <w:t>回落</w:t>
      </w:r>
      <w:r>
        <w:rPr>
          <w:rFonts w:hint="eastAsia" w:cs="Times New Roman"/>
          <w:sz w:val="28"/>
          <w:szCs w:val="28"/>
          <w:highlight w:val="none"/>
          <w:lang w:val="en-US" w:eastAsia="zh-CN"/>
        </w:rPr>
        <w:t>0.9个百分点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t>。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其中，电力、热力、燃气及水生产和供应业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  <w:t>实现产值836.0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亿元，同比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增长8.5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%；制造业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  <w:t>实现产值150.2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亿元，同比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下降1.1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%；采矿业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  <w:t>实现产值48.8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亿元，同比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下降35.8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%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w w:val="90"/>
          <w:sz w:val="28"/>
          <w:szCs w:val="28"/>
        </w:rPr>
      </w:pPr>
      <w:r>
        <w:rPr>
          <w:rFonts w:hint="default" w:ascii="Times New Roman" w:hAnsi="Times New Roman" w:cs="Times New Roman"/>
          <w:b/>
          <w:w w:val="90"/>
          <w:sz w:val="28"/>
          <w:szCs w:val="28"/>
        </w:rPr>
        <w:t xml:space="preserve">图1  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2025年1-2月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至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2026年1-6月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规模以上工业总产值累计增速（%）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drawing>
          <wp:inline distT="0" distB="0" distL="114300" distR="114300">
            <wp:extent cx="5273040" cy="1883410"/>
            <wp:effectExtent l="0" t="0" r="10160" b="8890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2．固定资产投资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textAlignment w:val="auto"/>
        <w:outlineLvl w:val="9"/>
        <w:rPr>
          <w:rFonts w:hint="default" w:ascii="Times New Roman" w:hAnsi="Times New Roman" w:cs="Times New Roman"/>
          <w:w w:val="100"/>
          <w:sz w:val="28"/>
          <w:szCs w:val="28"/>
        </w:rPr>
      </w:pPr>
      <w:r>
        <w:rPr>
          <w:rFonts w:hint="eastAsia" w:cs="Times New Roman"/>
          <w:w w:val="100"/>
          <w:sz w:val="28"/>
          <w:szCs w:val="28"/>
          <w:lang w:eastAsia="zh-CN"/>
        </w:rPr>
        <w:t>1-6月</w:t>
      </w:r>
      <w:r>
        <w:rPr>
          <w:rFonts w:hint="default" w:ascii="Times New Roman" w:hAnsi="Times New Roman" w:cs="Times New Roman"/>
          <w:w w:val="100"/>
          <w:sz w:val="28"/>
          <w:szCs w:val="28"/>
        </w:rPr>
        <w:t>，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朝阳区固定资产投资（不含农户）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同比</w:t>
      </w:r>
      <w:r>
        <w:rPr>
          <w:rFonts w:hint="eastAsia" w:ascii="Times New Roman" w:hAnsi="Times New Roman" w:cs="Times New Roman"/>
          <w:kern w:val="0"/>
          <w:sz w:val="28"/>
          <w:szCs w:val="28"/>
          <w:highlight w:val="none"/>
          <w:lang w:eastAsia="zh-CN"/>
        </w:rPr>
        <w:t>增长</w:t>
      </w:r>
      <w:r>
        <w:rPr>
          <w:rFonts w:hint="eastAsia" w:ascii="Times New Roman" w:hAnsi="Times New Roman" w:cs="Times New Roman"/>
          <w:kern w:val="0"/>
          <w:sz w:val="28"/>
          <w:szCs w:val="28"/>
          <w:highlight w:val="none"/>
          <w:lang w:val="en-US" w:eastAsia="zh-CN"/>
        </w:rPr>
        <w:t>7.7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%，</w:t>
      </w:r>
      <w:r>
        <w:rPr>
          <w:rFonts w:hint="eastAsia" w:cs="Times New Roman"/>
          <w:sz w:val="28"/>
          <w:szCs w:val="28"/>
          <w:lang w:eastAsia="zh-CN"/>
        </w:rPr>
        <w:t>增速</w:t>
      </w:r>
      <w:r>
        <w:rPr>
          <w:rFonts w:hint="eastAsia" w:cs="Times New Roman"/>
          <w:w w:val="100"/>
          <w:kern w:val="0"/>
          <w:sz w:val="28"/>
          <w:szCs w:val="28"/>
          <w:lang w:eastAsia="zh-CN"/>
        </w:rPr>
        <w:t>较1-5月</w:t>
      </w:r>
      <w:r>
        <w:rPr>
          <w:rFonts w:hint="eastAsia" w:cs="Times New Roman"/>
          <w:w w:val="100"/>
          <w:sz w:val="28"/>
          <w:szCs w:val="28"/>
          <w:highlight w:val="none"/>
          <w:lang w:val="en-US" w:eastAsia="zh-CN"/>
        </w:rPr>
        <w:t>回落2.2个百分点</w:t>
      </w:r>
      <w:r>
        <w:rPr>
          <w:rFonts w:hint="default" w:ascii="Times New Roman" w:hAnsi="Times New Roman" w:cs="Times New Roman"/>
          <w:w w:val="100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其中，房地产开发投资同比下降</w:t>
      </w:r>
      <w:r>
        <w:rPr>
          <w:rFonts w:hint="eastAsia" w:ascii="Times New Roman" w:hAnsi="Times New Roman" w:cs="Times New Roman"/>
          <w:kern w:val="0"/>
          <w:sz w:val="28"/>
          <w:szCs w:val="28"/>
          <w:highlight w:val="none"/>
          <w:u w:val="none"/>
          <w:lang w:val="en-US" w:eastAsia="zh-CN"/>
        </w:rPr>
        <w:t>6.6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  <w:u w:val="none"/>
        </w:rPr>
        <w:t>%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pacing w:val="-6"/>
          <w:w w:val="90"/>
          <w:sz w:val="28"/>
          <w:szCs w:val="28"/>
        </w:rPr>
      </w:pPr>
      <w:r>
        <w:rPr>
          <w:rFonts w:hint="default" w:ascii="Times New Roman" w:hAnsi="Times New Roman" w:cs="Times New Roman"/>
          <w:b/>
          <w:spacing w:val="-6"/>
          <w:w w:val="90"/>
          <w:sz w:val="28"/>
          <w:szCs w:val="28"/>
        </w:rPr>
        <w:t xml:space="preserve">图2  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2025年1-2月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至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2026年1-6月</w:t>
      </w:r>
      <w:r>
        <w:rPr>
          <w:rFonts w:hint="default" w:ascii="Times New Roman" w:hAnsi="Times New Roman" w:cs="Times New Roman"/>
          <w:b/>
          <w:spacing w:val="-6"/>
          <w:w w:val="90"/>
          <w:sz w:val="28"/>
          <w:szCs w:val="28"/>
        </w:rPr>
        <w:t>固定资产投资（不含农户）累计增速（%）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drawing>
          <wp:inline distT="0" distB="0" distL="114300" distR="114300">
            <wp:extent cx="5273040" cy="1979930"/>
            <wp:effectExtent l="0" t="0" r="10160" b="127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textAlignment w:val="auto"/>
        <w:outlineLvl w:val="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3．消费品市场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/>
        <w:jc w:val="left"/>
        <w:textAlignment w:val="auto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1-6月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，朝阳区实现社会消费品零售总额1203.9亿元，同比下降7.0%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，降幅</w:t>
      </w:r>
      <w:r>
        <w:rPr>
          <w:rFonts w:hint="eastAsia" w:cs="Times New Roman"/>
          <w:kern w:val="0"/>
          <w:sz w:val="28"/>
          <w:szCs w:val="28"/>
          <w:lang w:eastAsia="zh-CN"/>
        </w:rPr>
        <w:t>较1-5月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加深</w:t>
      </w:r>
      <w:r>
        <w:rPr>
          <w:rFonts w:hint="eastAsia" w:cs="Times New Roman"/>
          <w:sz w:val="28"/>
          <w:szCs w:val="28"/>
          <w:highlight w:val="none"/>
          <w:lang w:val="en-US" w:eastAsia="zh-CN"/>
        </w:rPr>
        <w:t>1.3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个百分点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  <w:lang w:eastAsia="zh-CN"/>
        </w:rPr>
        <w:t>其中，商品零售1034.5亿元，同比下降8.1%；餐饮收入169.4亿元，同比下降0.2%</w:t>
      </w:r>
      <w:bookmarkStart w:id="0" w:name="_GoBack"/>
      <w:bookmarkEnd w:id="0"/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。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pacing w:val="-6"/>
          <w:sz w:val="28"/>
          <w:szCs w:val="28"/>
        </w:rPr>
      </w:pPr>
      <w:r>
        <w:rPr>
          <w:rFonts w:hint="default" w:ascii="Times New Roman" w:hAnsi="Times New Roman" w:cs="Times New Roman"/>
          <w:b/>
          <w:spacing w:val="-6"/>
          <w:sz w:val="28"/>
          <w:szCs w:val="28"/>
        </w:rPr>
        <w:t xml:space="preserve">图3  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2025年1-2月</w:t>
      </w:r>
      <w:r>
        <w:rPr>
          <w:rFonts w:hint="default" w:ascii="Times New Roman" w:hAnsi="Times New Roman" w:cs="Times New Roman"/>
          <w:b/>
          <w:w w:val="90"/>
          <w:sz w:val="28"/>
          <w:szCs w:val="28"/>
        </w:rPr>
        <w:t>至</w:t>
      </w:r>
      <w:r>
        <w:rPr>
          <w:rFonts w:hint="eastAsia" w:cs="Times New Roman"/>
          <w:b/>
          <w:w w:val="90"/>
          <w:sz w:val="28"/>
          <w:szCs w:val="28"/>
          <w:lang w:eastAsia="zh-CN"/>
        </w:rPr>
        <w:t>2026年1-6月</w:t>
      </w:r>
      <w:r>
        <w:rPr>
          <w:rFonts w:hint="default" w:ascii="Times New Roman" w:hAnsi="Times New Roman" w:cs="Times New Roman"/>
          <w:b/>
          <w:spacing w:val="-6"/>
          <w:sz w:val="28"/>
          <w:szCs w:val="28"/>
        </w:rPr>
        <w:t>社会消费品零售总额累计增速（%）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bCs/>
        </w:rPr>
      </w:pPr>
      <w:r>
        <w:drawing>
          <wp:inline distT="0" distB="0" distL="114300" distR="114300">
            <wp:extent cx="5273040" cy="1883410"/>
            <wp:effectExtent l="0" t="0" r="10160" b="8890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widowControl/>
        <w:spacing w:line="300" w:lineRule="atLeast"/>
        <w:ind w:firstLine="560"/>
        <w:jc w:val="left"/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</w:rPr>
        <w:t>注：由于四舍五入原因可能造成总项与分项之和不等</w:t>
      </w:r>
      <w:r>
        <w:rPr>
          <w:rFonts w:hint="eastAsia" w:cs="Times New Roman"/>
          <w:kern w:val="0"/>
          <w:sz w:val="28"/>
          <w:szCs w:val="28"/>
          <w:highlight w:val="none"/>
          <w:lang w:eastAsia="zh-CN"/>
        </w:rPr>
        <w:t>。</w:t>
      </w:r>
    </w:p>
    <w:sectPr>
      <w:footerReference r:id="rId3" w:type="default"/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3" w:usb2="00000000" w:usb3="00000000" w:csb0="200000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2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imSun, STSong">
    <w:altName w:val="宋体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Rod">
    <w:panose1 w:val="02030509050101010101"/>
    <w:charset w:val="00"/>
    <w:family w:val="auto"/>
    <w:pitch w:val="default"/>
    <w:sig w:usb0="00000801" w:usb1="00000000" w:usb2="00000000" w:usb3="00000000" w:csb0="00000020" w:csb1="002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ao UI">
    <w:panose1 w:val="020B0502040204020203"/>
    <w:charset w:val="00"/>
    <w:family w:val="auto"/>
    <w:pitch w:val="default"/>
    <w:sig w:usb0="02000003" w:usb1="00000000" w:usb2="00000000" w:usb3="00000000" w:csb0="0000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文泉驿正黑">
    <w:altName w:val="黑体"/>
    <w:panose1 w:val="02000603000000000000"/>
    <w:charset w:val="86"/>
    <w:family w:val="auto"/>
    <w:pitch w:val="default"/>
    <w:sig w:usb0="00000000" w:usb1="00000000" w:usb2="00000036" w:usb3="00000000" w:csb0="603E000D" w:csb1="D2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汉仪中黑 197">
    <w:altName w:val="黑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87793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1E5"/>
    <w:rsid w:val="00007353"/>
    <w:rsid w:val="000174FA"/>
    <w:rsid w:val="000243C9"/>
    <w:rsid w:val="000430DE"/>
    <w:rsid w:val="00050BFE"/>
    <w:rsid w:val="00082B00"/>
    <w:rsid w:val="000906E9"/>
    <w:rsid w:val="000A3C19"/>
    <w:rsid w:val="000C07D5"/>
    <w:rsid w:val="000D4083"/>
    <w:rsid w:val="000F2A72"/>
    <w:rsid w:val="001110A1"/>
    <w:rsid w:val="0014294D"/>
    <w:rsid w:val="00156F60"/>
    <w:rsid w:val="001651E5"/>
    <w:rsid w:val="00166B17"/>
    <w:rsid w:val="00171FF5"/>
    <w:rsid w:val="00173FF1"/>
    <w:rsid w:val="001A2CAD"/>
    <w:rsid w:val="001F1861"/>
    <w:rsid w:val="00204E88"/>
    <w:rsid w:val="00234A41"/>
    <w:rsid w:val="00252BDF"/>
    <w:rsid w:val="00256B5C"/>
    <w:rsid w:val="002668C1"/>
    <w:rsid w:val="00282257"/>
    <w:rsid w:val="00282FED"/>
    <w:rsid w:val="00287C6F"/>
    <w:rsid w:val="002A1893"/>
    <w:rsid w:val="002B7FBA"/>
    <w:rsid w:val="002C7417"/>
    <w:rsid w:val="002E1BD9"/>
    <w:rsid w:val="002F011B"/>
    <w:rsid w:val="00313402"/>
    <w:rsid w:val="00313EF2"/>
    <w:rsid w:val="00315527"/>
    <w:rsid w:val="00340104"/>
    <w:rsid w:val="0034079B"/>
    <w:rsid w:val="003415F7"/>
    <w:rsid w:val="00346654"/>
    <w:rsid w:val="00350B0C"/>
    <w:rsid w:val="003676B6"/>
    <w:rsid w:val="00387D81"/>
    <w:rsid w:val="00396857"/>
    <w:rsid w:val="003B7401"/>
    <w:rsid w:val="003E7FE2"/>
    <w:rsid w:val="00414248"/>
    <w:rsid w:val="00417C4C"/>
    <w:rsid w:val="00421047"/>
    <w:rsid w:val="00476212"/>
    <w:rsid w:val="00497210"/>
    <w:rsid w:val="004A5B2D"/>
    <w:rsid w:val="004D4457"/>
    <w:rsid w:val="004E63F0"/>
    <w:rsid w:val="004F2736"/>
    <w:rsid w:val="00502EED"/>
    <w:rsid w:val="00504E29"/>
    <w:rsid w:val="00506056"/>
    <w:rsid w:val="00513146"/>
    <w:rsid w:val="005A5A04"/>
    <w:rsid w:val="005B0CC7"/>
    <w:rsid w:val="005D4ACA"/>
    <w:rsid w:val="005D63B2"/>
    <w:rsid w:val="005E2D49"/>
    <w:rsid w:val="005F1B70"/>
    <w:rsid w:val="00603CAD"/>
    <w:rsid w:val="006109D6"/>
    <w:rsid w:val="00620C58"/>
    <w:rsid w:val="006812BB"/>
    <w:rsid w:val="006840BC"/>
    <w:rsid w:val="00686AAD"/>
    <w:rsid w:val="006B2BF0"/>
    <w:rsid w:val="006B7F69"/>
    <w:rsid w:val="006C07C9"/>
    <w:rsid w:val="006D6919"/>
    <w:rsid w:val="006E3080"/>
    <w:rsid w:val="006E68E4"/>
    <w:rsid w:val="006F0B88"/>
    <w:rsid w:val="006F1078"/>
    <w:rsid w:val="006F41A8"/>
    <w:rsid w:val="006F5391"/>
    <w:rsid w:val="00700E51"/>
    <w:rsid w:val="0070407B"/>
    <w:rsid w:val="00710499"/>
    <w:rsid w:val="0071342C"/>
    <w:rsid w:val="0073426D"/>
    <w:rsid w:val="00775F28"/>
    <w:rsid w:val="007760B2"/>
    <w:rsid w:val="00790652"/>
    <w:rsid w:val="007A7FA7"/>
    <w:rsid w:val="007B5378"/>
    <w:rsid w:val="007C2230"/>
    <w:rsid w:val="007D261D"/>
    <w:rsid w:val="008178CD"/>
    <w:rsid w:val="0083577C"/>
    <w:rsid w:val="0083665C"/>
    <w:rsid w:val="00860649"/>
    <w:rsid w:val="008A360B"/>
    <w:rsid w:val="008C54DD"/>
    <w:rsid w:val="008E0D56"/>
    <w:rsid w:val="008E1A7E"/>
    <w:rsid w:val="00901126"/>
    <w:rsid w:val="00903824"/>
    <w:rsid w:val="009111AC"/>
    <w:rsid w:val="0091740F"/>
    <w:rsid w:val="009415C3"/>
    <w:rsid w:val="00951E9F"/>
    <w:rsid w:val="00954469"/>
    <w:rsid w:val="00974BC9"/>
    <w:rsid w:val="00984BE8"/>
    <w:rsid w:val="009A7B0C"/>
    <w:rsid w:val="009C0CFF"/>
    <w:rsid w:val="009D2207"/>
    <w:rsid w:val="00A32187"/>
    <w:rsid w:val="00A4702D"/>
    <w:rsid w:val="00A506E1"/>
    <w:rsid w:val="00A526FE"/>
    <w:rsid w:val="00A57D70"/>
    <w:rsid w:val="00A62620"/>
    <w:rsid w:val="00A73BA4"/>
    <w:rsid w:val="00A82D6E"/>
    <w:rsid w:val="00A852A8"/>
    <w:rsid w:val="00AC6201"/>
    <w:rsid w:val="00AE055E"/>
    <w:rsid w:val="00AF4DF7"/>
    <w:rsid w:val="00AF7AE8"/>
    <w:rsid w:val="00B0507F"/>
    <w:rsid w:val="00B07926"/>
    <w:rsid w:val="00B17347"/>
    <w:rsid w:val="00B32EE7"/>
    <w:rsid w:val="00B4295D"/>
    <w:rsid w:val="00B60FA0"/>
    <w:rsid w:val="00B67E07"/>
    <w:rsid w:val="00B93D8D"/>
    <w:rsid w:val="00B95F67"/>
    <w:rsid w:val="00BE29F5"/>
    <w:rsid w:val="00BF6415"/>
    <w:rsid w:val="00C21C9F"/>
    <w:rsid w:val="00C2780C"/>
    <w:rsid w:val="00C307FA"/>
    <w:rsid w:val="00C361A7"/>
    <w:rsid w:val="00C44919"/>
    <w:rsid w:val="00C5150E"/>
    <w:rsid w:val="00C668AA"/>
    <w:rsid w:val="00C87CFF"/>
    <w:rsid w:val="00CA0F2A"/>
    <w:rsid w:val="00CA57E3"/>
    <w:rsid w:val="00CC498C"/>
    <w:rsid w:val="00CF2048"/>
    <w:rsid w:val="00CF70B6"/>
    <w:rsid w:val="00D168DA"/>
    <w:rsid w:val="00D3467D"/>
    <w:rsid w:val="00D4430C"/>
    <w:rsid w:val="00D61D76"/>
    <w:rsid w:val="00D828D2"/>
    <w:rsid w:val="00D945BD"/>
    <w:rsid w:val="00D94733"/>
    <w:rsid w:val="00DA66A2"/>
    <w:rsid w:val="00DA7AEA"/>
    <w:rsid w:val="00DB44A5"/>
    <w:rsid w:val="00DC407B"/>
    <w:rsid w:val="00DD0B26"/>
    <w:rsid w:val="00DD33E4"/>
    <w:rsid w:val="00DD556C"/>
    <w:rsid w:val="00E140CE"/>
    <w:rsid w:val="00E27B7F"/>
    <w:rsid w:val="00E31FC2"/>
    <w:rsid w:val="00E54E5F"/>
    <w:rsid w:val="00E61DF0"/>
    <w:rsid w:val="00E63694"/>
    <w:rsid w:val="00E63D44"/>
    <w:rsid w:val="00E7033D"/>
    <w:rsid w:val="00E94B84"/>
    <w:rsid w:val="00EE0E27"/>
    <w:rsid w:val="00F20415"/>
    <w:rsid w:val="00F453DA"/>
    <w:rsid w:val="00F46B15"/>
    <w:rsid w:val="00F57CA3"/>
    <w:rsid w:val="00F64D25"/>
    <w:rsid w:val="00F66B13"/>
    <w:rsid w:val="00F745B0"/>
    <w:rsid w:val="00FA3E35"/>
    <w:rsid w:val="00FC0729"/>
    <w:rsid w:val="00FC4B2A"/>
    <w:rsid w:val="00FC63D3"/>
    <w:rsid w:val="00FD2E5E"/>
    <w:rsid w:val="00FD723C"/>
    <w:rsid w:val="00FD7C63"/>
    <w:rsid w:val="00FE3B32"/>
    <w:rsid w:val="00FE75BD"/>
    <w:rsid w:val="00FF0D86"/>
    <w:rsid w:val="00FF266F"/>
    <w:rsid w:val="018774FD"/>
    <w:rsid w:val="03D65480"/>
    <w:rsid w:val="0479058E"/>
    <w:rsid w:val="04A518BA"/>
    <w:rsid w:val="055F4794"/>
    <w:rsid w:val="06D206FE"/>
    <w:rsid w:val="075D0C31"/>
    <w:rsid w:val="079239A0"/>
    <w:rsid w:val="09F8648F"/>
    <w:rsid w:val="09FE6C99"/>
    <w:rsid w:val="0AED640F"/>
    <w:rsid w:val="0C1151FE"/>
    <w:rsid w:val="0C716D0F"/>
    <w:rsid w:val="0CD2757C"/>
    <w:rsid w:val="0D11454D"/>
    <w:rsid w:val="0E0941F6"/>
    <w:rsid w:val="0EAC2FE8"/>
    <w:rsid w:val="0EF546E1"/>
    <w:rsid w:val="10D16479"/>
    <w:rsid w:val="121C5A48"/>
    <w:rsid w:val="14BD186A"/>
    <w:rsid w:val="14C24D68"/>
    <w:rsid w:val="156C4552"/>
    <w:rsid w:val="1B5B5321"/>
    <w:rsid w:val="1CBF19CA"/>
    <w:rsid w:val="1D451E7D"/>
    <w:rsid w:val="1F136385"/>
    <w:rsid w:val="20BC6E7B"/>
    <w:rsid w:val="22327339"/>
    <w:rsid w:val="22CA17D0"/>
    <w:rsid w:val="2372627F"/>
    <w:rsid w:val="23E75101"/>
    <w:rsid w:val="250E012A"/>
    <w:rsid w:val="2540269A"/>
    <w:rsid w:val="26362F2D"/>
    <w:rsid w:val="269C0B69"/>
    <w:rsid w:val="26D96D0C"/>
    <w:rsid w:val="270C712C"/>
    <w:rsid w:val="2D627F28"/>
    <w:rsid w:val="31BA52B8"/>
    <w:rsid w:val="325F032A"/>
    <w:rsid w:val="33B208E8"/>
    <w:rsid w:val="345348D7"/>
    <w:rsid w:val="34C25C14"/>
    <w:rsid w:val="35E80586"/>
    <w:rsid w:val="383B2A49"/>
    <w:rsid w:val="39CD7A11"/>
    <w:rsid w:val="3A0C6F8F"/>
    <w:rsid w:val="3BA8525B"/>
    <w:rsid w:val="3BDC11AE"/>
    <w:rsid w:val="3C242497"/>
    <w:rsid w:val="3C974745"/>
    <w:rsid w:val="3CBF1BA4"/>
    <w:rsid w:val="409C235D"/>
    <w:rsid w:val="41532AEA"/>
    <w:rsid w:val="41D47F41"/>
    <w:rsid w:val="422135F3"/>
    <w:rsid w:val="42CB7421"/>
    <w:rsid w:val="43062204"/>
    <w:rsid w:val="464D5F03"/>
    <w:rsid w:val="473D71C1"/>
    <w:rsid w:val="494F1A65"/>
    <w:rsid w:val="4C081111"/>
    <w:rsid w:val="4CA2427C"/>
    <w:rsid w:val="4E8F256C"/>
    <w:rsid w:val="4FB17C81"/>
    <w:rsid w:val="519E5A87"/>
    <w:rsid w:val="54770CC2"/>
    <w:rsid w:val="54DB6640"/>
    <w:rsid w:val="565E3A62"/>
    <w:rsid w:val="567C5CAC"/>
    <w:rsid w:val="56D555C3"/>
    <w:rsid w:val="594C274B"/>
    <w:rsid w:val="5A270D7F"/>
    <w:rsid w:val="5A4C4590"/>
    <w:rsid w:val="5BD326F7"/>
    <w:rsid w:val="5C2A2F81"/>
    <w:rsid w:val="5D3C397F"/>
    <w:rsid w:val="5E2451F4"/>
    <w:rsid w:val="5E4334CC"/>
    <w:rsid w:val="5F7A1F11"/>
    <w:rsid w:val="60992A9E"/>
    <w:rsid w:val="62CB76AB"/>
    <w:rsid w:val="63544997"/>
    <w:rsid w:val="647A4536"/>
    <w:rsid w:val="664C647F"/>
    <w:rsid w:val="672A2824"/>
    <w:rsid w:val="6927334E"/>
    <w:rsid w:val="6ABA6DBA"/>
    <w:rsid w:val="6AC43DAF"/>
    <w:rsid w:val="6CBA2181"/>
    <w:rsid w:val="6DA57E9F"/>
    <w:rsid w:val="6DB51254"/>
    <w:rsid w:val="72B0126F"/>
    <w:rsid w:val="72CF25D0"/>
    <w:rsid w:val="75203DE9"/>
    <w:rsid w:val="75601036"/>
    <w:rsid w:val="75C7123D"/>
    <w:rsid w:val="75FE215F"/>
    <w:rsid w:val="771861AB"/>
    <w:rsid w:val="78103697"/>
    <w:rsid w:val="78A7092A"/>
    <w:rsid w:val="78B85AA3"/>
    <w:rsid w:val="78C460F2"/>
    <w:rsid w:val="79CA22FD"/>
    <w:rsid w:val="7B0A4B26"/>
    <w:rsid w:val="7B773A6A"/>
    <w:rsid w:val="7BA303AA"/>
    <w:rsid w:val="7BDE6FA5"/>
    <w:rsid w:val="7D1C639F"/>
    <w:rsid w:val="7FB54F6E"/>
    <w:rsid w:val="7FCE44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 w:cs="Times New Roman"/>
      <w:sz w:val="32"/>
      <w:szCs w:val="24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1.&#20449;&#24687;\5.&#22806;&#32593;&#20449;&#24687;\&#22806;&#32593;&#20449;&#24687;&#2227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1.&#20449;&#24687;\5.&#22806;&#32593;&#20449;&#24687;\&#22806;&#32593;&#20449;&#24687;&#22270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1.&#20449;&#24687;\5.&#22806;&#32593;&#20449;&#24687;\&#22806;&#32593;&#20449;&#24687;&#2227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6222098731129"/>
          <c:y val="0.215048769159313"/>
          <c:w val="0.914976382328425"/>
          <c:h val="0.504133766836972"/>
        </c:manualLayout>
      </c:layout>
      <c:lineChart>
        <c:grouping val="standard"/>
        <c:varyColors val="0"/>
        <c:ser>
          <c:idx val="0"/>
          <c:order val="0"/>
          <c:spPr>
            <a:ln w="25400" cap="rnd" cmpd="sng" algn="ctr">
              <a:solidFill>
                <a:schemeClr val="tx1"/>
              </a:solidFill>
              <a:prstDash val="solid"/>
              <a:round/>
            </a:ln>
          </c:spPr>
          <c:marker>
            <c:spPr>
              <a:solidFill>
                <a:sysClr val="windowText" lastClr="000000"/>
              </a:solidFill>
              <a:ln w="9525" cap="flat" cmpd="sng" algn="ctr">
                <a:solidFill>
                  <a:prstClr val="black"/>
                </a:solidFill>
                <a:prstDash val="solid"/>
                <a:round/>
              </a:ln>
            </c:spPr>
          </c:marker>
          <c:dPt>
            <c:idx val="11"/>
            <c:marker>
              <c:spPr>
                <a:solidFill>
                  <a:sysClr val="windowText" lastClr="000000"/>
                </a:solidFill>
                <a:ln w="9525" cap="flat" cmpd="sng" algn="ctr">
                  <a:solidFill>
                    <a:prstClr val="black"/>
                  </a:solidFill>
                  <a:prstDash val="solid"/>
                  <a:round/>
                </a:ln>
              </c:spPr>
            </c:marker>
            <c:bubble3D val="0"/>
            <c:spPr>
              <a:ln w="25400" cap="rnd" cmpd="sng" algn="ctr">
                <a:solidFill>
                  <a:schemeClr val="tx1"/>
                </a:solidFill>
                <a:prstDash val="solid"/>
                <a:round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multiLvlStrRef>
              <c:f>[外网信息图.xls]工业!$A$123:$B$138</c:f>
              <c:multiLvlStrCache>
                <c:ptCount val="16"/>
                <c:lvl>
                  <c:pt idx="0">
                    <c:v>1-2月</c:v>
                  </c:pt>
                  <c:pt idx="1">
                    <c:v>1-3月</c:v>
                  </c:pt>
                  <c:pt idx="2">
                    <c:v>1-4月</c:v>
                  </c:pt>
                  <c:pt idx="3">
                    <c:v>1-5月</c:v>
                  </c:pt>
                  <c:pt idx="4">
                    <c:v>1-6月</c:v>
                  </c:pt>
                  <c:pt idx="5">
                    <c:v>1-7月</c:v>
                  </c:pt>
                  <c:pt idx="6">
                    <c:v>1-8月</c:v>
                  </c:pt>
                  <c:pt idx="7">
                    <c:v>1-9月</c:v>
                  </c:pt>
                  <c:pt idx="8">
                    <c:v>1-10月</c:v>
                  </c:pt>
                  <c:pt idx="9">
                    <c:v>1-11月</c:v>
                  </c:pt>
                  <c:pt idx="10">
                    <c:v>1-12月</c:v>
                  </c:pt>
                  <c:pt idx="11">
                    <c:v>1-2月</c:v>
                  </c:pt>
                  <c:pt idx="12">
                    <c:v>1-3月</c:v>
                  </c:pt>
                  <c:pt idx="13">
                    <c:v>1-4月</c:v>
                  </c:pt>
                  <c:pt idx="14">
                    <c:v>1-5月</c:v>
                  </c:pt>
                  <c:pt idx="15">
                    <c:v>1-6月</c:v>
                  </c:pt>
                </c:lvl>
                <c:lvl>
                  <c:pt idx="0">
                    <c:v>2025年</c:v>
                  </c:pt>
                  <c:pt idx="11">
                    <c:v>2026年</c:v>
                  </c:pt>
                </c:lvl>
              </c:multiLvlStrCache>
            </c:multiLvlStrRef>
          </c:cat>
          <c:val>
            <c:numRef>
              <c:f>[外网信息图.xls]工业!$C$123:$C$138</c:f>
              <c:numCache>
                <c:formatCode>0.0_ </c:formatCode>
                <c:ptCount val="16"/>
                <c:pt idx="0">
                  <c:v>-6.9</c:v>
                </c:pt>
                <c:pt idx="1">
                  <c:v>-4.5</c:v>
                </c:pt>
                <c:pt idx="2">
                  <c:v>-2.6</c:v>
                </c:pt>
                <c:pt idx="3">
                  <c:v>-1.6</c:v>
                </c:pt>
                <c:pt idx="4">
                  <c:v>-0.1</c:v>
                </c:pt>
                <c:pt idx="5">
                  <c:v>1.2</c:v>
                </c:pt>
                <c:pt idx="6">
                  <c:v>1.8</c:v>
                </c:pt>
                <c:pt idx="7">
                  <c:v>2.3</c:v>
                </c:pt>
                <c:pt idx="8">
                  <c:v>2.3</c:v>
                </c:pt>
                <c:pt idx="9">
                  <c:v>2.9</c:v>
                </c:pt>
                <c:pt idx="10">
                  <c:v>2.2</c:v>
                </c:pt>
                <c:pt idx="11">
                  <c:v>3.8</c:v>
                </c:pt>
                <c:pt idx="12">
                  <c:v>3.3</c:v>
                </c:pt>
                <c:pt idx="13">
                  <c:v>4.8</c:v>
                </c:pt>
                <c:pt idx="14">
                  <c:v>4.6</c:v>
                </c:pt>
                <c:pt idx="15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447872"/>
        <c:axId val="60162816"/>
      </c:lineChart>
      <c:catAx>
        <c:axId val="74447872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0162816"/>
        <c:crosses val="autoZero"/>
        <c:auto val="1"/>
        <c:lblAlgn val="ctr"/>
        <c:lblOffset val="150"/>
        <c:noMultiLvlLbl val="0"/>
      </c:catAx>
      <c:valAx>
        <c:axId val="60162816"/>
        <c:scaling>
          <c:orientation val="minMax"/>
        </c:scaling>
        <c:delete val="0"/>
        <c:axPos val="l"/>
        <c:numFmt formatCode="0.0_ 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447872"/>
        <c:crosses val="autoZero"/>
        <c:crossBetween val="between"/>
      </c:valAx>
    </c:plotArea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89378238341969"/>
          <c:y val="0.193176579068695"/>
          <c:w val="0.920706883789785"/>
          <c:h val="0.568418626094975"/>
        </c:manualLayout>
      </c:layout>
      <c:lineChart>
        <c:grouping val="standard"/>
        <c:varyColors val="0"/>
        <c:ser>
          <c:idx val="0"/>
          <c:order val="0"/>
          <c:spPr>
            <a:ln w="25400" cap="rnd" cmpd="sng" algn="ctr">
              <a:solidFill>
                <a:schemeClr val="tx1"/>
              </a:solidFill>
              <a:prstDash val="solid"/>
              <a:round/>
            </a:ln>
          </c:spPr>
          <c:marker>
            <c:spPr>
              <a:solidFill>
                <a:sysClr val="windowText" lastClr="000000"/>
              </a:solidFill>
              <a:ln w="9525" cap="flat" cmpd="sng" algn="ctr">
                <a:solidFill>
                  <a:prstClr val="black"/>
                </a:solidFill>
                <a:prstDash val="solid"/>
                <a:round/>
              </a:ln>
            </c:spPr>
          </c:marker>
          <c:dPt>
            <c:idx val="11"/>
            <c:marker>
              <c:spPr>
                <a:solidFill>
                  <a:sysClr val="windowText" lastClr="000000"/>
                </a:solidFill>
                <a:ln w="9525" cap="flat" cmpd="sng" algn="ctr">
                  <a:solidFill>
                    <a:prstClr val="black"/>
                  </a:solidFill>
                  <a:prstDash val="solid"/>
                  <a:round/>
                </a:ln>
              </c:spPr>
            </c:marker>
            <c:bubble3D val="0"/>
            <c:spPr>
              <a:ln w="25400" cap="rnd" cmpd="sng" algn="ctr">
                <a:solidFill>
                  <a:schemeClr val="tx1"/>
                </a:solidFill>
                <a:prstDash val="solid"/>
                <a:round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multiLvlStrRef>
              <c:f>[外网信息图.xls]投资!$A$123:$B$138</c:f>
              <c:multiLvlStrCache>
                <c:ptCount val="16"/>
                <c:lvl>
                  <c:pt idx="0">
                    <c:v>1-2月</c:v>
                  </c:pt>
                  <c:pt idx="1">
                    <c:v>1-3月</c:v>
                  </c:pt>
                  <c:pt idx="2">
                    <c:v>1-4月</c:v>
                  </c:pt>
                  <c:pt idx="3">
                    <c:v>1-5月</c:v>
                  </c:pt>
                  <c:pt idx="4">
                    <c:v>1-6月</c:v>
                  </c:pt>
                  <c:pt idx="5">
                    <c:v>1-7月</c:v>
                  </c:pt>
                  <c:pt idx="6">
                    <c:v>1-8月</c:v>
                  </c:pt>
                  <c:pt idx="7">
                    <c:v>1-9月</c:v>
                  </c:pt>
                  <c:pt idx="8">
                    <c:v>1-10月</c:v>
                  </c:pt>
                  <c:pt idx="9">
                    <c:v>1-11月</c:v>
                  </c:pt>
                  <c:pt idx="10">
                    <c:v>1-12月</c:v>
                  </c:pt>
                  <c:pt idx="11">
                    <c:v>1-2月</c:v>
                  </c:pt>
                  <c:pt idx="12">
                    <c:v>1-3月</c:v>
                  </c:pt>
                  <c:pt idx="13">
                    <c:v>1-4月</c:v>
                  </c:pt>
                  <c:pt idx="14">
                    <c:v>1-5月</c:v>
                  </c:pt>
                  <c:pt idx="15">
                    <c:v>1-6月</c:v>
                  </c:pt>
                </c:lvl>
                <c:lvl>
                  <c:pt idx="0">
                    <c:v>2025年</c:v>
                  </c:pt>
                  <c:pt idx="11">
                    <c:v>2026年</c:v>
                  </c:pt>
                </c:lvl>
              </c:multiLvlStrCache>
            </c:multiLvlStrRef>
          </c:cat>
          <c:val>
            <c:numRef>
              <c:f>[外网信息图.xls]投资!$C$123:$C$138</c:f>
              <c:numCache>
                <c:formatCode>0.0_ </c:formatCode>
                <c:ptCount val="16"/>
                <c:pt idx="0">
                  <c:v>10.2</c:v>
                </c:pt>
                <c:pt idx="1">
                  <c:v>5.4</c:v>
                </c:pt>
                <c:pt idx="2">
                  <c:v>3.4</c:v>
                </c:pt>
                <c:pt idx="3">
                  <c:v>0.9</c:v>
                </c:pt>
                <c:pt idx="4">
                  <c:v>2.4</c:v>
                </c:pt>
                <c:pt idx="5">
                  <c:v>3.3</c:v>
                </c:pt>
                <c:pt idx="6">
                  <c:v>3.3</c:v>
                </c:pt>
                <c:pt idx="7">
                  <c:v>1.5</c:v>
                </c:pt>
                <c:pt idx="8">
                  <c:v>0.1</c:v>
                </c:pt>
                <c:pt idx="9">
                  <c:v>-3.3</c:v>
                </c:pt>
                <c:pt idx="10">
                  <c:v>-1.3</c:v>
                </c:pt>
                <c:pt idx="11">
                  <c:v>3.8</c:v>
                </c:pt>
                <c:pt idx="12">
                  <c:v>5.7</c:v>
                </c:pt>
                <c:pt idx="13">
                  <c:v>9.7</c:v>
                </c:pt>
                <c:pt idx="14">
                  <c:v>9.9</c:v>
                </c:pt>
                <c:pt idx="15">
                  <c:v>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409088"/>
        <c:axId val="74410624"/>
      </c:lineChart>
      <c:catAx>
        <c:axId val="74409088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spcFirstLastPara="0" vertOverflow="ellipsis" vert="horz" wrap="square" anchor="ctr" anchorCtr="1"/>
          <a:lstStyle/>
          <a:p>
            <a:pPr>
              <a:defRPr lang="zh-CN" sz="8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</a:p>
        </c:txPr>
        <c:crossAx val="74410624"/>
        <c:crosses val="autoZero"/>
        <c:auto val="1"/>
        <c:lblAlgn val="ctr"/>
        <c:lblOffset val="100"/>
        <c:noMultiLvlLbl val="0"/>
      </c:catAx>
      <c:valAx>
        <c:axId val="74410624"/>
        <c:scaling>
          <c:orientation val="minMax"/>
        </c:scaling>
        <c:delete val="0"/>
        <c:axPos val="l"/>
        <c:numFmt formatCode="0.0_ 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409088"/>
        <c:crosses val="autoZero"/>
        <c:crossBetween val="between"/>
      </c:valAx>
    </c:plotArea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6222098731129"/>
          <c:y val="0.215048769159313"/>
          <c:w val="0.914976382328425"/>
          <c:h val="0.504133766836972"/>
        </c:manualLayout>
      </c:layout>
      <c:lineChart>
        <c:grouping val="standard"/>
        <c:varyColors val="0"/>
        <c:ser>
          <c:idx val="0"/>
          <c:order val="0"/>
          <c:spPr>
            <a:ln w="25400" cap="rnd" cmpd="sng" algn="ctr">
              <a:solidFill>
                <a:schemeClr val="tx1"/>
              </a:solidFill>
              <a:prstDash val="solid"/>
              <a:round/>
            </a:ln>
          </c:spPr>
          <c:marker>
            <c:spPr>
              <a:solidFill>
                <a:sysClr val="windowText" lastClr="000000"/>
              </a:solidFill>
              <a:ln w="9525" cap="flat" cmpd="sng" algn="ctr">
                <a:solidFill>
                  <a:prstClr val="black"/>
                </a:solidFill>
                <a:prstDash val="solid"/>
                <a:round/>
              </a:ln>
            </c:spPr>
          </c:marker>
          <c:dPt>
            <c:idx val="11"/>
            <c:marker>
              <c:spPr>
                <a:solidFill>
                  <a:sysClr val="windowText" lastClr="000000"/>
                </a:solidFill>
                <a:ln w="9525" cap="flat" cmpd="sng" algn="ctr">
                  <a:solidFill>
                    <a:prstClr val="black"/>
                  </a:solidFill>
                  <a:prstDash val="solid"/>
                  <a:round/>
                </a:ln>
              </c:spPr>
            </c:marker>
            <c:bubble3D val="0"/>
            <c:spPr>
              <a:ln w="25400" cap="rnd" cmpd="sng" algn="ctr">
                <a:solidFill>
                  <a:schemeClr val="tx1"/>
                </a:solidFill>
                <a:prstDash val="solid"/>
                <a:round/>
              </a:ln>
            </c:spPr>
          </c:dPt>
          <c:dLbls>
            <c:dLbl>
              <c:idx val="3"/>
              <c:layout>
                <c:manualLayout>
                  <c:x val="-0.00148161866839522"/>
                  <c:y val="0.036320877972302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0"/>
                  <c:y val="0.0202292650033715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.00120423892100193"/>
                  <c:y val="0.0370869858395145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multiLvlStrRef>
              <c:f>[外网信息图.xls]零售额!$A$123:$B$138</c:f>
              <c:multiLvlStrCache>
                <c:ptCount val="16"/>
                <c:lvl>
                  <c:pt idx="0">
                    <c:v>1-2月</c:v>
                  </c:pt>
                  <c:pt idx="1">
                    <c:v>1-3月</c:v>
                  </c:pt>
                  <c:pt idx="2">
                    <c:v>1-4月</c:v>
                  </c:pt>
                  <c:pt idx="3">
                    <c:v>1-5月</c:v>
                  </c:pt>
                  <c:pt idx="4">
                    <c:v>1-6月</c:v>
                  </c:pt>
                  <c:pt idx="5">
                    <c:v>1-7月</c:v>
                  </c:pt>
                  <c:pt idx="6">
                    <c:v>1-8月</c:v>
                  </c:pt>
                  <c:pt idx="7">
                    <c:v>1-9月</c:v>
                  </c:pt>
                  <c:pt idx="8">
                    <c:v>1-10月</c:v>
                  </c:pt>
                  <c:pt idx="9">
                    <c:v>1-11月</c:v>
                  </c:pt>
                  <c:pt idx="10">
                    <c:v>1-12月</c:v>
                  </c:pt>
                  <c:pt idx="11">
                    <c:v>1-2月</c:v>
                  </c:pt>
                  <c:pt idx="12">
                    <c:v>1-3月</c:v>
                  </c:pt>
                  <c:pt idx="13">
                    <c:v>1-4月</c:v>
                  </c:pt>
                  <c:pt idx="14">
                    <c:v>1-5月</c:v>
                  </c:pt>
                  <c:pt idx="15">
                    <c:v>1-6月</c:v>
                  </c:pt>
                </c:lvl>
                <c:lvl>
                  <c:pt idx="0">
                    <c:v>2025年</c:v>
                  </c:pt>
                  <c:pt idx="11">
                    <c:v>2026年</c:v>
                  </c:pt>
                </c:lvl>
              </c:multiLvlStrCache>
            </c:multiLvlStrRef>
          </c:cat>
          <c:val>
            <c:numRef>
              <c:f>[外网信息图.xls]零售额!$C$123:$C$138</c:f>
              <c:numCache>
                <c:formatCode>0.0_ </c:formatCode>
                <c:ptCount val="16"/>
                <c:pt idx="0">
                  <c:v>-2.5</c:v>
                </c:pt>
                <c:pt idx="1">
                  <c:v>-3.5</c:v>
                </c:pt>
                <c:pt idx="2">
                  <c:v>-3.5</c:v>
                </c:pt>
                <c:pt idx="3">
                  <c:v>-3.6</c:v>
                </c:pt>
                <c:pt idx="4">
                  <c:v>-3.1</c:v>
                </c:pt>
                <c:pt idx="5">
                  <c:v>-3.3</c:v>
                </c:pt>
                <c:pt idx="6">
                  <c:v>-3.4</c:v>
                </c:pt>
                <c:pt idx="7">
                  <c:v>-3.3</c:v>
                </c:pt>
                <c:pt idx="8">
                  <c:v>-2.9</c:v>
                </c:pt>
                <c:pt idx="9">
                  <c:v>-2.5</c:v>
                </c:pt>
                <c:pt idx="10">
                  <c:v>-2</c:v>
                </c:pt>
                <c:pt idx="11">
                  <c:v>-1.5</c:v>
                </c:pt>
                <c:pt idx="12">
                  <c:v>-4.2</c:v>
                </c:pt>
                <c:pt idx="13">
                  <c:v>-5.1</c:v>
                </c:pt>
                <c:pt idx="14">
                  <c:v>-5.7</c:v>
                </c:pt>
                <c:pt idx="15">
                  <c:v>-7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447872"/>
        <c:axId val="60162816"/>
      </c:lineChart>
      <c:catAx>
        <c:axId val="74447872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0162816"/>
        <c:crosses val="autoZero"/>
        <c:auto val="1"/>
        <c:lblAlgn val="ctr"/>
        <c:lblOffset val="150"/>
        <c:noMultiLvlLbl val="0"/>
      </c:catAx>
      <c:valAx>
        <c:axId val="60162816"/>
        <c:scaling>
          <c:orientation val="minMax"/>
        </c:scaling>
        <c:delete val="0"/>
        <c:axPos val="l"/>
        <c:numFmt formatCode="0.0_ 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4447872"/>
        <c:crosses val="autoZero"/>
        <c:crossBetween val="between"/>
        <c:majorUnit val="1"/>
      </c:valAx>
    </c:plotArea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972AB3-0B5A-4D70-915A-69439C02F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48</Words>
  <Characters>276</Characters>
  <Lines>2</Lines>
  <Paragraphs>1</Paragraphs>
  <ScaleCrop>false</ScaleCrop>
  <LinksUpToDate>false</LinksUpToDate>
  <CharactersWithSpaces>323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2014-03-17T02:07:00Z</dcterms:created>
  <dc:creator>黄桂俊</dc:creator>
  <cp:lastModifiedBy>闫菲</cp:lastModifiedBy>
  <cp:lastPrinted>2025-06-18T08:56:00Z</cp:lastPrinted>
  <dcterms:modified xsi:type="dcterms:W3CDTF">2026-07-21T09:04:12Z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