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ascii="仿宋_GB2312" w:hAnsi="宋体" w:eastAsia="仿宋_GB2312" w:cs="宋体"/>
          <w:color w:val="000000"/>
          <w:kern w:val="0"/>
          <w:sz w:val="32"/>
          <w:szCs w:val="32"/>
        </w:rPr>
      </w:pPr>
    </w:p>
    <w:p>
      <w:pPr>
        <w:spacing w:line="480" w:lineRule="exact"/>
        <w:rPr>
          <w:rFonts w:ascii="方正小标宋简体" w:eastAsia="方正小标宋简体"/>
          <w:sz w:val="36"/>
          <w:szCs w:val="36"/>
        </w:rPr>
      </w:pPr>
      <w:r>
        <w:rPr>
          <w:rFonts w:hint="eastAsia" w:ascii="黑体" w:hAnsi="黑体" w:eastAsia="黑体"/>
          <w:sz w:val="32"/>
          <w:szCs w:val="32"/>
        </w:rPr>
        <w:t>附件</w:t>
      </w:r>
      <w:r>
        <w:rPr>
          <w:rFonts w:hint="eastAsia" w:ascii="黑体" w:hAnsi="黑体" w:eastAsia="黑体"/>
          <w:sz w:val="32"/>
          <w:szCs w:val="32"/>
          <w:lang w:val="en-US" w:eastAsia="zh-CN"/>
        </w:rPr>
        <w:t>3</w:t>
      </w:r>
    </w:p>
    <w:p>
      <w:pPr>
        <w:jc w:val="center"/>
        <w:rPr>
          <w:rFonts w:hint="eastAsia" w:ascii="方正小标宋简体" w:hAnsi="宋体" w:eastAsia="方正小标宋简体" w:cs="Arial"/>
          <w:bCs/>
          <w:sz w:val="36"/>
          <w:szCs w:val="36"/>
          <w:lang w:eastAsia="zh-CN"/>
        </w:rPr>
      </w:pPr>
      <w:r>
        <w:rPr>
          <w:rFonts w:hint="eastAsia" w:ascii="方正小标宋简体" w:hAnsi="宋体" w:eastAsia="方正小标宋简体" w:cs="Arial"/>
          <w:bCs/>
          <w:sz w:val="36"/>
          <w:szCs w:val="36"/>
        </w:rPr>
        <w:t>北京市</w:t>
      </w:r>
      <w:r>
        <w:rPr>
          <w:rFonts w:hint="eastAsia" w:ascii="方正小标宋简体" w:hAnsi="宋体" w:eastAsia="方正小标宋简体" w:cs="Arial"/>
          <w:bCs/>
          <w:sz w:val="36"/>
          <w:szCs w:val="36"/>
          <w:lang w:eastAsia="zh-CN"/>
        </w:rPr>
        <w:t>朝阳区人民政府团结湖街道办事处</w:t>
      </w:r>
    </w:p>
    <w:p>
      <w:pPr>
        <w:jc w:val="center"/>
        <w:rPr>
          <w:rFonts w:hint="eastAsia" w:ascii="方正小标宋简体" w:hAnsi="宋体" w:eastAsia="方正小标宋简体" w:cs="Arial"/>
          <w:bCs/>
          <w:sz w:val="36"/>
          <w:szCs w:val="36"/>
        </w:rPr>
      </w:pPr>
      <w:r>
        <w:rPr>
          <w:rFonts w:hint="eastAsia" w:ascii="方正小标宋简体" w:hAnsi="宋体" w:eastAsia="方正小标宋简体" w:cs="Arial"/>
          <w:bCs/>
          <w:sz w:val="36"/>
          <w:szCs w:val="36"/>
        </w:rPr>
        <w:t>朝阳区社会组织培育孵化中心建设项目</w:t>
      </w:r>
    </w:p>
    <w:p>
      <w:pPr>
        <w:jc w:val="center"/>
        <w:rPr>
          <w:rFonts w:ascii="仿宋_GB2312" w:eastAsia="仿宋_GB2312"/>
          <w:sz w:val="32"/>
          <w:szCs w:val="32"/>
        </w:rPr>
      </w:pPr>
      <w:r>
        <w:rPr>
          <w:rFonts w:hint="eastAsia" w:ascii="方正小标宋简体" w:hAnsi="宋体" w:eastAsia="方正小标宋简体" w:cs="Arial"/>
          <w:bCs/>
          <w:sz w:val="36"/>
          <w:szCs w:val="36"/>
        </w:rPr>
        <w:t>支出绩效评价报告</w:t>
      </w:r>
    </w:p>
    <w:p>
      <w:pPr>
        <w:keepNext w:val="0"/>
        <w:keepLines w:val="0"/>
        <w:pageBreakBefore w:val="0"/>
        <w:widowControl w:val="0"/>
        <w:numPr>
          <w:ilvl w:val="0"/>
          <w:numId w:val="1"/>
        </w:numPr>
        <w:kinsoku/>
        <w:wordWrap/>
        <w:overflowPunct/>
        <w:topLinePunct w:val="0"/>
        <w:bidi w:val="0"/>
        <w:adjustRightInd/>
        <w:snapToGrid/>
        <w:spacing w:line="600" w:lineRule="exact"/>
        <w:ind w:right="0" w:rightChars="0" w:firstLine="640" w:firstLineChars="200"/>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rPr>
        <w:t>基本情况</w:t>
      </w:r>
    </w:p>
    <w:p>
      <w:pPr>
        <w:keepNext w:val="0"/>
        <w:keepLines w:val="0"/>
        <w:pageBreakBefore w:val="0"/>
        <w:widowControl w:val="0"/>
        <w:numPr>
          <w:ilvl w:val="0"/>
          <w:numId w:val="2"/>
        </w:numPr>
        <w:kinsoku/>
        <w:wordWrap/>
        <w:overflowPunct/>
        <w:topLinePunct w:val="0"/>
        <w:bidi w:val="0"/>
        <w:adjustRightInd/>
        <w:snapToGrid/>
        <w:spacing w:line="600" w:lineRule="exact"/>
        <w:ind w:right="0" w:rightChars="0" w:firstLine="640" w:firstLineChars="200"/>
        <w:textAlignment w:val="auto"/>
        <w:outlineLvl w:val="9"/>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项目概况。</w:t>
      </w:r>
    </w:p>
    <w:p>
      <w:pPr>
        <w:pStyle w:val="2"/>
        <w:keepNext w:val="0"/>
        <w:keepLines w:val="0"/>
        <w:pageBreakBefore w:val="0"/>
        <w:widowControl w:val="0"/>
        <w:numPr>
          <w:numId w:val="0"/>
        </w:numPr>
        <w:kinsoku/>
        <w:wordWrap/>
        <w:overflowPunct/>
        <w:topLinePunct w:val="0"/>
        <w:bidi w:val="0"/>
        <w:adjustRightInd/>
        <w:snapToGrid/>
        <w:spacing w:before="0" w:line="600" w:lineRule="exact"/>
        <w:ind w:right="0" w:rightChars="0" w:firstLine="640" w:firstLineChars="200"/>
        <w:textAlignment w:val="auto"/>
        <w:outlineLvl w:val="9"/>
        <w:rPr>
          <w:rFonts w:hint="eastAsia"/>
          <w:color w:val="auto"/>
          <w:lang w:val="en-US" w:eastAsia="zh-CN"/>
        </w:rPr>
      </w:pPr>
      <w:r>
        <w:rPr>
          <w:rFonts w:hint="eastAsia"/>
          <w:color w:val="auto"/>
          <w:lang w:val="en-US" w:eastAsia="zh-CN"/>
        </w:rPr>
        <w:t>1.项目背景</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（1）培育发展社区社会组织是现实发展的需要</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从基层共建共治角度，基层社区治理进入关键时期，但是当前社区服务力量有限，这就需要拓展参与力量和增添帮手，外引专业社会组织和内育社区社会组织是解决这一问题的两大路径，其能够在社区环境治理、助老助残服务、文化建设、便民服务等方面发挥了重要作用，成为社区居民参与社区建设的重要渠道。</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w:t>
      </w:r>
      <w:r>
        <w:rPr>
          <w:rFonts w:hint="eastAsia" w:ascii="仿宋_GB2312" w:hAnsi="宋体" w:eastAsia="仿宋_GB2312"/>
          <w:color w:val="auto"/>
          <w:kern w:val="0"/>
          <w:sz w:val="32"/>
          <w:szCs w:val="32"/>
          <w:lang w:val="en-US" w:eastAsia="zh-CN"/>
        </w:rPr>
        <w:t>2）</w:t>
      </w:r>
      <w:r>
        <w:rPr>
          <w:rFonts w:hint="eastAsia" w:ascii="仿宋_GB2312" w:hAnsi="宋体" w:eastAsia="仿宋_GB2312"/>
          <w:color w:val="auto"/>
          <w:kern w:val="0"/>
          <w:sz w:val="32"/>
          <w:szCs w:val="32"/>
          <w:lang w:eastAsia="zh-CN"/>
        </w:rPr>
        <w:t>培育发展社区社会组织是居民迫切的期待</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社会治理新格局下社区居民对于社区治理和社区服务水平的期待越来越高，当前的社区治理和民生服务需求呈现出了复杂化、多元化和个性化的基本特点。社区社会作为社区居民的共同体，其也有助于推动社区互助和熟人社区建设。</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（3）培育发展社区社会组织是党和政府的号召</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eastAsia="仿宋"/>
          <w:color w:val="auto"/>
          <w:lang w:val="en-US" w:eastAsia="zh-CN"/>
        </w:rPr>
      </w:pPr>
      <w:r>
        <w:rPr>
          <w:rFonts w:hint="eastAsia" w:ascii="仿宋_GB2312" w:hAnsi="宋体" w:eastAsia="仿宋_GB2312"/>
          <w:color w:val="auto"/>
          <w:kern w:val="0"/>
          <w:sz w:val="32"/>
          <w:szCs w:val="32"/>
          <w:lang w:eastAsia="zh-CN"/>
        </w:rPr>
        <w:t>党的十八大报告明确提出加快形成党委领导、政府负责、社会协同、公众参与、法治保障的社会管理体制，围绕“加强和创新社会管理”，明确“引导社会组织健康有序发展，充分发挥群众参与社会管理的基础作用”。</w:t>
      </w:r>
    </w:p>
    <w:p>
      <w:pPr>
        <w:pStyle w:val="2"/>
        <w:keepNext w:val="0"/>
        <w:keepLines w:val="0"/>
        <w:pageBreakBefore w:val="0"/>
        <w:widowControl w:val="0"/>
        <w:numPr>
          <w:numId w:val="0"/>
        </w:numPr>
        <w:kinsoku/>
        <w:wordWrap/>
        <w:overflowPunct/>
        <w:topLinePunct w:val="0"/>
        <w:bidi w:val="0"/>
        <w:adjustRightInd/>
        <w:snapToGrid/>
        <w:spacing w:before="0" w:line="600" w:lineRule="exact"/>
        <w:ind w:right="0" w:rightChars="0" w:firstLine="640" w:firstLineChars="200"/>
        <w:textAlignment w:val="auto"/>
        <w:outlineLvl w:val="9"/>
        <w:rPr>
          <w:rFonts w:hint="eastAsia"/>
          <w:color w:val="auto"/>
          <w:lang w:val="en-US" w:eastAsia="zh-CN"/>
        </w:rPr>
      </w:pPr>
      <w:r>
        <w:rPr>
          <w:rFonts w:hint="eastAsia"/>
          <w:color w:val="auto"/>
          <w:lang w:val="en-US" w:eastAsia="zh-CN"/>
        </w:rPr>
        <w:t>2.项目主要内容</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社会</w:t>
      </w:r>
      <w:r>
        <w:rPr>
          <w:rFonts w:hint="eastAsia" w:ascii="仿宋_GB2312" w:hAnsi="宋体" w:eastAsia="仿宋_GB2312"/>
          <w:color w:val="auto"/>
          <w:kern w:val="0"/>
          <w:sz w:val="32"/>
          <w:szCs w:val="32"/>
          <w:lang w:val="en-US" w:eastAsia="zh-CN"/>
        </w:rPr>
        <w:t>组织培育孵化中心</w:t>
      </w:r>
      <w:r>
        <w:rPr>
          <w:rFonts w:hint="eastAsia" w:ascii="仿宋_GB2312" w:hAnsi="宋体" w:eastAsia="仿宋_GB2312"/>
          <w:color w:val="auto"/>
          <w:kern w:val="0"/>
          <w:sz w:val="32"/>
          <w:szCs w:val="32"/>
          <w:lang w:eastAsia="zh-CN"/>
        </w:rPr>
        <w:t>采用</w:t>
      </w:r>
      <w:r>
        <w:rPr>
          <w:rFonts w:hint="eastAsia" w:ascii="仿宋_GB2312" w:hAnsi="宋体" w:eastAsia="仿宋_GB2312"/>
          <w:color w:val="auto"/>
          <w:kern w:val="0"/>
          <w:sz w:val="32"/>
          <w:szCs w:val="32"/>
          <w:lang w:val="en-US" w:eastAsia="zh-CN"/>
        </w:rPr>
        <w:t>项目化方式开展，按照</w:t>
      </w:r>
      <w:r>
        <w:rPr>
          <w:rFonts w:hint="eastAsia" w:ascii="仿宋_GB2312" w:hAnsi="宋体" w:eastAsia="仿宋_GB2312"/>
          <w:color w:val="auto"/>
          <w:kern w:val="0"/>
          <w:sz w:val="32"/>
          <w:szCs w:val="32"/>
          <w:lang w:eastAsia="zh-CN"/>
        </w:rPr>
        <w:t>政府购买社会组织服务</w:t>
      </w:r>
      <w:r>
        <w:rPr>
          <w:rFonts w:hint="eastAsia" w:ascii="仿宋_GB2312" w:hAnsi="宋体" w:eastAsia="仿宋_GB2312"/>
          <w:color w:val="auto"/>
          <w:kern w:val="0"/>
          <w:sz w:val="32"/>
          <w:szCs w:val="32"/>
          <w:lang w:val="en-US" w:eastAsia="zh-CN"/>
        </w:rPr>
        <w:t>相关流程确定承接</w:t>
      </w:r>
      <w:r>
        <w:rPr>
          <w:rFonts w:hint="eastAsia" w:ascii="仿宋_GB2312" w:hAnsi="宋体" w:eastAsia="仿宋_GB2312"/>
          <w:color w:val="auto"/>
          <w:kern w:val="0"/>
          <w:sz w:val="32"/>
          <w:szCs w:val="32"/>
          <w:lang w:eastAsia="zh-CN"/>
        </w:rPr>
        <w:t>社会</w:t>
      </w:r>
      <w:r>
        <w:rPr>
          <w:rFonts w:hint="eastAsia" w:ascii="仿宋_GB2312" w:hAnsi="宋体" w:eastAsia="仿宋_GB2312"/>
          <w:color w:val="auto"/>
          <w:kern w:val="0"/>
          <w:sz w:val="32"/>
          <w:szCs w:val="32"/>
          <w:lang w:val="en-US" w:eastAsia="zh-CN"/>
        </w:rPr>
        <w:t>组织培育孵化中</w:t>
      </w:r>
    </w:p>
    <w:p>
      <w:pPr>
        <w:keepNext w:val="0"/>
        <w:keepLines w:val="0"/>
        <w:pageBreakBefore w:val="0"/>
        <w:widowControl w:val="0"/>
        <w:kinsoku/>
        <w:wordWrap/>
        <w:overflowPunct/>
        <w:topLinePunct w:val="0"/>
        <w:autoSpaceDE w:val="0"/>
        <w:autoSpaceDN w:val="0"/>
        <w:bidi w:val="0"/>
        <w:adjustRightInd/>
        <w:snapToGrid/>
        <w:spacing w:line="600" w:lineRule="exact"/>
        <w:ind w:right="0" w:rightChars="0"/>
        <w:jc w:val="left"/>
        <w:textAlignment w:val="auto"/>
        <w:outlineLvl w:val="9"/>
        <w:rPr>
          <w:rFonts w:hint="eastAsia"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lang w:val="en-US" w:eastAsia="zh-CN"/>
        </w:rPr>
        <w:t>心项目的社会组织，将</w:t>
      </w:r>
      <w:r>
        <w:rPr>
          <w:rFonts w:hint="eastAsia" w:ascii="仿宋_GB2312" w:hAnsi="宋体" w:eastAsia="仿宋_GB2312"/>
          <w:color w:val="auto"/>
          <w:kern w:val="0"/>
          <w:sz w:val="32"/>
          <w:szCs w:val="32"/>
          <w:lang w:eastAsia="zh-CN"/>
        </w:rPr>
        <w:t>场地、设施和具体工作委托</w:t>
      </w:r>
      <w:r>
        <w:rPr>
          <w:rFonts w:hint="eastAsia" w:ascii="仿宋_GB2312" w:hAnsi="宋体" w:eastAsia="仿宋_GB2312"/>
          <w:color w:val="auto"/>
          <w:kern w:val="0"/>
          <w:sz w:val="32"/>
          <w:szCs w:val="32"/>
          <w:lang w:val="en-US" w:eastAsia="zh-CN"/>
        </w:rPr>
        <w:t>其</w:t>
      </w:r>
      <w:r>
        <w:rPr>
          <w:rFonts w:hint="eastAsia" w:ascii="仿宋_GB2312" w:hAnsi="宋体" w:eastAsia="仿宋_GB2312"/>
          <w:color w:val="auto"/>
          <w:kern w:val="0"/>
          <w:sz w:val="32"/>
          <w:szCs w:val="32"/>
          <w:lang w:eastAsia="zh-CN"/>
        </w:rPr>
        <w:t>承接</w:t>
      </w:r>
      <w:r>
        <w:rPr>
          <w:rFonts w:hint="eastAsia" w:ascii="仿宋_GB2312" w:hAnsi="宋体" w:eastAsia="仿宋_GB2312"/>
          <w:color w:val="auto"/>
          <w:kern w:val="0"/>
          <w:sz w:val="32"/>
          <w:szCs w:val="32"/>
          <w:lang w:val="en-US" w:eastAsia="zh-CN"/>
        </w:rPr>
        <w:t>运营</w:t>
      </w:r>
      <w:r>
        <w:rPr>
          <w:rFonts w:hint="eastAsia" w:ascii="仿宋_GB2312" w:hAnsi="宋体" w:eastAsia="仿宋_GB2312"/>
          <w:color w:val="auto"/>
          <w:kern w:val="0"/>
          <w:sz w:val="32"/>
          <w:szCs w:val="32"/>
          <w:lang w:eastAsia="zh-CN"/>
        </w:rPr>
        <w:t>。本</w:t>
      </w:r>
      <w:r>
        <w:rPr>
          <w:rFonts w:hint="eastAsia" w:ascii="仿宋_GB2312" w:hAnsi="宋体" w:eastAsia="仿宋_GB2312"/>
          <w:color w:val="auto"/>
          <w:kern w:val="0"/>
          <w:sz w:val="32"/>
          <w:szCs w:val="32"/>
          <w:lang w:val="en-US" w:eastAsia="zh-CN"/>
        </w:rPr>
        <w:t>街道</w:t>
      </w:r>
      <w:r>
        <w:rPr>
          <w:rFonts w:hint="eastAsia" w:ascii="仿宋_GB2312" w:hAnsi="宋体" w:eastAsia="仿宋_GB2312"/>
          <w:color w:val="auto"/>
          <w:kern w:val="0"/>
          <w:sz w:val="32"/>
          <w:szCs w:val="32"/>
          <w:lang w:eastAsia="zh-CN"/>
        </w:rPr>
        <w:t>社区社会组织联合会与</w:t>
      </w:r>
      <w:r>
        <w:rPr>
          <w:rFonts w:hint="eastAsia" w:ascii="仿宋_GB2312" w:hAnsi="宋体" w:eastAsia="仿宋_GB2312"/>
          <w:color w:val="auto"/>
          <w:kern w:val="0"/>
          <w:sz w:val="32"/>
          <w:szCs w:val="32"/>
          <w:lang w:val="en-US" w:eastAsia="zh-CN"/>
        </w:rPr>
        <w:t>具有承接能力的</w:t>
      </w:r>
      <w:r>
        <w:rPr>
          <w:rFonts w:hint="eastAsia" w:ascii="仿宋_GB2312" w:hAnsi="宋体" w:eastAsia="仿宋_GB2312"/>
          <w:color w:val="auto"/>
          <w:kern w:val="0"/>
          <w:sz w:val="32"/>
          <w:szCs w:val="32"/>
          <w:lang w:eastAsia="zh-CN"/>
        </w:rPr>
        <w:t>社会组织分工</w:t>
      </w:r>
      <w:r>
        <w:rPr>
          <w:rFonts w:hint="eastAsia" w:ascii="仿宋_GB2312" w:hAnsi="宋体" w:eastAsia="仿宋_GB2312"/>
          <w:color w:val="auto"/>
          <w:kern w:val="0"/>
          <w:sz w:val="32"/>
          <w:szCs w:val="32"/>
          <w:lang w:val="en-US" w:eastAsia="zh-CN"/>
        </w:rPr>
        <w:t>合作</w:t>
      </w:r>
      <w:r>
        <w:rPr>
          <w:rFonts w:hint="eastAsia" w:ascii="仿宋_GB2312" w:hAnsi="宋体" w:eastAsia="仿宋_GB2312"/>
          <w:color w:val="auto"/>
          <w:kern w:val="0"/>
          <w:sz w:val="32"/>
          <w:szCs w:val="32"/>
          <w:lang w:eastAsia="zh-CN"/>
        </w:rPr>
        <w:t>，共同</w:t>
      </w:r>
      <w:r>
        <w:rPr>
          <w:rFonts w:hint="eastAsia" w:ascii="仿宋_GB2312" w:hAnsi="宋体" w:eastAsia="仿宋_GB2312"/>
          <w:color w:val="auto"/>
          <w:kern w:val="0"/>
          <w:sz w:val="32"/>
          <w:szCs w:val="32"/>
          <w:lang w:val="en-US" w:eastAsia="zh-CN"/>
        </w:rPr>
        <w:t>执行项目</w:t>
      </w:r>
      <w:r>
        <w:rPr>
          <w:rFonts w:hint="eastAsia" w:ascii="仿宋_GB2312" w:hAnsi="宋体" w:eastAsia="仿宋_GB2312"/>
          <w:color w:val="auto"/>
          <w:kern w:val="0"/>
          <w:sz w:val="32"/>
          <w:szCs w:val="32"/>
          <w:lang w:eastAsia="zh-CN"/>
        </w:rPr>
        <w:t>，</w:t>
      </w:r>
      <w:r>
        <w:rPr>
          <w:rFonts w:hint="eastAsia" w:ascii="仿宋_GB2312" w:hAnsi="宋体" w:eastAsia="仿宋_GB2312"/>
          <w:color w:val="auto"/>
          <w:kern w:val="0"/>
          <w:sz w:val="32"/>
          <w:szCs w:val="32"/>
          <w:lang w:val="en-US" w:eastAsia="zh-CN"/>
        </w:rPr>
        <w:t>在项目实践中不断提升</w:t>
      </w:r>
      <w:r>
        <w:rPr>
          <w:rFonts w:hint="eastAsia" w:ascii="仿宋_GB2312" w:hAnsi="宋体" w:eastAsia="仿宋_GB2312"/>
          <w:color w:val="auto"/>
          <w:kern w:val="0"/>
          <w:sz w:val="32"/>
          <w:szCs w:val="32"/>
          <w:lang w:eastAsia="zh-CN"/>
        </w:rPr>
        <w:t>社会</w:t>
      </w:r>
      <w:r>
        <w:rPr>
          <w:rFonts w:hint="eastAsia" w:ascii="仿宋_GB2312" w:hAnsi="宋体" w:eastAsia="仿宋_GB2312"/>
          <w:color w:val="auto"/>
          <w:kern w:val="0"/>
          <w:sz w:val="32"/>
          <w:szCs w:val="32"/>
          <w:lang w:val="en-US" w:eastAsia="zh-CN"/>
        </w:rPr>
        <w:t>组织培育孵化中心运营能力</w:t>
      </w:r>
      <w:r>
        <w:rPr>
          <w:rFonts w:hint="eastAsia" w:ascii="仿宋_GB2312" w:hAnsi="宋体" w:eastAsia="仿宋_GB2312"/>
          <w:color w:val="auto"/>
          <w:kern w:val="0"/>
          <w:sz w:val="32"/>
          <w:szCs w:val="32"/>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项目实施周期202</w:t>
      </w:r>
      <w:r>
        <w:rPr>
          <w:rFonts w:hint="eastAsia" w:ascii="仿宋_GB2312" w:hAnsi="宋体" w:eastAsia="仿宋_GB2312"/>
          <w:color w:val="auto"/>
          <w:kern w:val="0"/>
          <w:sz w:val="32"/>
          <w:szCs w:val="32"/>
          <w:lang w:val="en-US" w:eastAsia="zh-CN"/>
        </w:rPr>
        <w:t>4</w:t>
      </w:r>
      <w:r>
        <w:rPr>
          <w:rFonts w:hint="eastAsia" w:ascii="仿宋_GB2312" w:hAnsi="宋体" w:eastAsia="仿宋_GB2312"/>
          <w:color w:val="auto"/>
          <w:kern w:val="0"/>
          <w:sz w:val="32"/>
          <w:szCs w:val="32"/>
          <w:lang w:eastAsia="zh-CN"/>
        </w:rPr>
        <w:t>.04月-202</w:t>
      </w:r>
      <w:r>
        <w:rPr>
          <w:rFonts w:hint="eastAsia" w:ascii="仿宋_GB2312" w:hAnsi="宋体" w:eastAsia="仿宋_GB2312"/>
          <w:color w:val="auto"/>
          <w:kern w:val="0"/>
          <w:sz w:val="32"/>
          <w:szCs w:val="32"/>
          <w:lang w:val="en-US" w:eastAsia="zh-CN"/>
        </w:rPr>
        <w:t>4</w:t>
      </w:r>
      <w:r>
        <w:rPr>
          <w:rFonts w:hint="eastAsia" w:ascii="仿宋_GB2312" w:hAnsi="宋体" w:eastAsia="仿宋_GB2312"/>
          <w:color w:val="auto"/>
          <w:kern w:val="0"/>
          <w:sz w:val="32"/>
          <w:szCs w:val="32"/>
          <w:lang w:eastAsia="zh-CN"/>
        </w:rPr>
        <w:t>.10月，</w:t>
      </w:r>
      <w:r>
        <w:rPr>
          <w:rFonts w:hint="eastAsia" w:ascii="仿宋_GB2312" w:hAnsi="宋体" w:eastAsia="仿宋_GB2312"/>
          <w:color w:val="auto"/>
          <w:kern w:val="0"/>
          <w:sz w:val="32"/>
          <w:szCs w:val="32"/>
          <w:lang w:val="en-US" w:eastAsia="zh-CN"/>
        </w:rPr>
        <w:t>项目期间内逐步健全社区社会组织培育孵化，实现每个社区平均拥有不少于15个社区社会组织，每个社区培育不少于2个“品牌”社区社会组织。进一步优化社区社会组织布局、提升质量，发挥社区社会组织在基层社会治理中的积极作用。</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lang w:val="en-US" w:eastAsia="zh-CN"/>
        </w:rPr>
        <w:t>（1）实施“标准”工程。按照《北京市社区社会组织备案工作指引（试行）》、《社区社会组织章程示范文本（试行）》要求，</w:t>
      </w:r>
      <w:r>
        <w:rPr>
          <w:rFonts w:hint="eastAsia" w:ascii="仿宋_GB2312" w:hAnsi="宋体" w:eastAsia="仿宋_GB2312"/>
          <w:color w:val="auto"/>
          <w:kern w:val="0"/>
          <w:sz w:val="32"/>
          <w:szCs w:val="32"/>
          <w:lang w:eastAsia="zh-CN"/>
        </w:rPr>
        <w:t>对社区社会组织主要采取备案方式进行服务管理，</w:t>
      </w:r>
      <w:r>
        <w:rPr>
          <w:rFonts w:hint="eastAsia" w:ascii="仿宋_GB2312" w:hAnsi="宋体" w:eastAsia="仿宋_GB2312"/>
          <w:color w:val="auto"/>
          <w:kern w:val="0"/>
          <w:sz w:val="32"/>
          <w:szCs w:val="32"/>
          <w:lang w:val="en-US" w:eastAsia="zh-CN"/>
        </w:rPr>
        <w:t>结合组织发展实际制定组织章程，规范社区社会组织备案信息系统录入，探索完善社区社会组织工作评估评议制度，完善社区社会组织内部治理结构。</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lang w:val="en-US" w:eastAsia="zh-CN"/>
        </w:rPr>
        <w:t>（2）实施“育才”工程。加大人才培训力度，精心设计培训课程，统筹安排培训计划，培训结束后应及时总结，确保培训任务务实高效完成。面向社区社会组织负责人和骨干力量开展政策解读和宣讲，将社会组织党的建设、规范化建设、能力建设、项目运作等纳入培训内容。</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lang w:val="en-US" w:eastAsia="zh-CN"/>
        </w:rPr>
        <w:t>（3）实施“同心”工程。根据社区实际需求，重点推动服务型、公益性、互助性社区社会组织培育发展，着力发挥其在社区治安综合治理、矛盾纠纷调解、社区协商、志愿服务、社区矫正、等方面的积极作用，搭建相关部门、驻社区单位和广大居民群众参与基层治理的平台。</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lang w:val="en-US" w:eastAsia="zh-CN"/>
        </w:rPr>
        <w:t>（4）实施“新风”工程。在基层党组织领导、基层群众性自治组织指导下，引导社会组织加强社会主义核心价值观教育，通过开展社区志愿、社区协商等系列活动，发挥社区社会组织在提供社区服务、扩大居民参与、培育社区文化、促进社区和谐等方面的积极作用，推动志愿服务常态化。</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color w:val="auto"/>
          <w:lang w:val="en-US" w:eastAsia="zh-CN"/>
        </w:rPr>
      </w:pPr>
      <w:r>
        <w:rPr>
          <w:rFonts w:hint="eastAsia" w:ascii="仿宋_GB2312" w:hAnsi="宋体" w:eastAsia="仿宋_GB2312"/>
          <w:color w:val="auto"/>
          <w:kern w:val="0"/>
          <w:sz w:val="32"/>
          <w:szCs w:val="32"/>
          <w:lang w:val="en-US" w:eastAsia="zh-CN"/>
        </w:rPr>
        <w:t>（5）实施“品牌”工程。街道在有一定基础的社区社会组织中，确定重点，形成具有朝阳特色的“一社一品”、“一街多品”的发展格局。围绕品牌建设号召力、品牌影响凝聚力和品牌发展持续力，引导优秀的社区社会组织制定自身发展规划，加强项目复制推广。</w:t>
      </w:r>
    </w:p>
    <w:p>
      <w:pPr>
        <w:pStyle w:val="2"/>
        <w:keepNext w:val="0"/>
        <w:keepLines w:val="0"/>
        <w:pageBreakBefore w:val="0"/>
        <w:widowControl w:val="0"/>
        <w:numPr>
          <w:numId w:val="0"/>
        </w:numPr>
        <w:kinsoku/>
        <w:wordWrap/>
        <w:overflowPunct/>
        <w:topLinePunct w:val="0"/>
        <w:bidi w:val="0"/>
        <w:adjustRightInd/>
        <w:snapToGrid/>
        <w:spacing w:before="0" w:line="600" w:lineRule="exact"/>
        <w:ind w:right="0" w:rightChars="0" w:firstLine="640" w:firstLineChars="200"/>
        <w:textAlignment w:val="auto"/>
        <w:outlineLvl w:val="9"/>
        <w:rPr>
          <w:rFonts w:hint="eastAsia"/>
          <w:color w:val="auto"/>
          <w:lang w:val="en-US" w:eastAsia="zh-CN"/>
        </w:rPr>
      </w:pPr>
      <w:r>
        <w:rPr>
          <w:rFonts w:hint="eastAsia"/>
          <w:color w:val="auto"/>
          <w:lang w:val="en-US" w:eastAsia="zh-CN"/>
        </w:rPr>
        <w:t>3.项目实施情况</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通过与社区办深入对接，与团结湖地区现有社区社会组织骨干以及居民进行走访调研，制定具体实施计划，同时依托机构督导及现有专家老师资源进行项目专业指导。</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通过社区调研+实地走访--摸底调查+进行分类-问卷调查+梳理需求--调研特色+个案辅导--示范带领+开展培训--提升能力+登记备案等方式，总结和提炼出一套符合团结湖地区的社区社会组织孵化培育模式。</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color w:val="auto"/>
          <w:lang w:val="en-US" w:eastAsia="zh-CN"/>
        </w:rPr>
      </w:pPr>
      <w:r>
        <w:rPr>
          <w:rFonts w:hint="eastAsia" w:ascii="仿宋_GB2312" w:hAnsi="宋体" w:eastAsia="仿宋_GB2312"/>
          <w:color w:val="auto"/>
          <w:kern w:val="0"/>
          <w:sz w:val="32"/>
          <w:szCs w:val="32"/>
          <w:lang w:eastAsia="zh-CN"/>
        </w:rPr>
        <w:t>在实施过程中进行项目的有效宣传，依托地区内自媒体资源，每周将项目工作情况进行汇总报道，尤其在项目前期，对优秀工作典范、典型问题处理案例及时进行报道，使工作闭环的成员提高工作意识。</w:t>
      </w:r>
    </w:p>
    <w:p>
      <w:pPr>
        <w:pStyle w:val="2"/>
        <w:keepNext w:val="0"/>
        <w:keepLines w:val="0"/>
        <w:pageBreakBefore w:val="0"/>
        <w:widowControl w:val="0"/>
        <w:numPr>
          <w:numId w:val="0"/>
        </w:numPr>
        <w:kinsoku/>
        <w:wordWrap/>
        <w:overflowPunct/>
        <w:topLinePunct w:val="0"/>
        <w:bidi w:val="0"/>
        <w:adjustRightInd/>
        <w:snapToGrid/>
        <w:spacing w:before="0" w:line="600" w:lineRule="exact"/>
        <w:ind w:right="0" w:rightChars="0" w:firstLine="640" w:firstLineChars="200"/>
        <w:textAlignment w:val="auto"/>
        <w:outlineLvl w:val="9"/>
        <w:rPr>
          <w:rFonts w:hint="eastAsia"/>
          <w:color w:val="auto"/>
          <w:lang w:val="en-US" w:eastAsia="zh-CN"/>
        </w:rPr>
      </w:pPr>
      <w:r>
        <w:rPr>
          <w:rFonts w:hint="eastAsia"/>
          <w:color w:val="auto"/>
          <w:lang w:val="en-US" w:eastAsia="zh-CN"/>
        </w:rPr>
        <w:t>4.项目资金投入和使用情况</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项目</w:t>
      </w:r>
      <w:r>
        <w:rPr>
          <w:rFonts w:hint="eastAsia" w:ascii="仿宋_GB2312" w:hAnsi="宋体" w:eastAsia="仿宋_GB2312"/>
          <w:color w:val="auto"/>
          <w:kern w:val="0"/>
          <w:sz w:val="32"/>
          <w:szCs w:val="32"/>
          <w:lang w:eastAsia="zh-CN"/>
        </w:rPr>
        <w:t>投入方式：</w:t>
      </w:r>
      <w:r>
        <w:rPr>
          <w:rFonts w:hint="eastAsia" w:ascii="仿宋_GB2312" w:hAnsi="宋体" w:eastAsia="仿宋_GB2312"/>
          <w:color w:val="auto"/>
          <w:kern w:val="0"/>
          <w:sz w:val="32"/>
          <w:szCs w:val="32"/>
          <w:lang w:val="en-US" w:eastAsia="zh-CN"/>
        </w:rPr>
        <w:t>政府购买服务；</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资金规模</w:t>
      </w:r>
      <w:r>
        <w:rPr>
          <w:rFonts w:hint="eastAsia" w:ascii="仿宋_GB2312" w:hAnsi="宋体" w:eastAsia="仿宋_GB2312"/>
          <w:color w:val="auto"/>
          <w:kern w:val="0"/>
          <w:sz w:val="32"/>
          <w:szCs w:val="32"/>
          <w:lang w:eastAsia="zh-CN"/>
        </w:rPr>
        <w:t>：</w:t>
      </w:r>
      <w:r>
        <w:rPr>
          <w:rFonts w:hint="eastAsia" w:ascii="仿宋_GB2312" w:hAnsi="宋体" w:eastAsia="仿宋_GB2312"/>
          <w:color w:val="auto"/>
          <w:kern w:val="0"/>
          <w:sz w:val="32"/>
          <w:szCs w:val="32"/>
          <w:lang w:val="en-US" w:eastAsia="zh-CN" w:bidi="ar-SA"/>
        </w:rPr>
        <w:t>10万元；</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资金来源</w:t>
      </w:r>
      <w:r>
        <w:rPr>
          <w:rFonts w:hint="eastAsia" w:ascii="仿宋_GB2312" w:hAnsi="宋体" w:eastAsia="仿宋_GB2312"/>
          <w:color w:val="auto"/>
          <w:kern w:val="0"/>
          <w:sz w:val="32"/>
          <w:szCs w:val="32"/>
          <w:lang w:eastAsia="zh-CN"/>
        </w:rPr>
        <w:t>渠道：</w:t>
      </w:r>
      <w:r>
        <w:rPr>
          <w:rFonts w:hint="eastAsia" w:ascii="仿宋_GB2312" w:hAnsi="宋体" w:eastAsia="仿宋_GB2312"/>
          <w:color w:val="auto"/>
          <w:kern w:val="0"/>
          <w:sz w:val="32"/>
          <w:szCs w:val="32"/>
          <w:lang w:val="en-US" w:eastAsia="zh-CN"/>
        </w:rPr>
        <w:t>专项资金；</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rPr>
        <w:t>资金占比</w:t>
      </w:r>
      <w:r>
        <w:rPr>
          <w:rFonts w:hint="eastAsia" w:ascii="仿宋_GB2312" w:hAnsi="宋体" w:eastAsia="仿宋_GB2312"/>
          <w:color w:val="auto"/>
          <w:kern w:val="0"/>
          <w:sz w:val="32"/>
          <w:szCs w:val="32"/>
          <w:lang w:eastAsia="zh-CN"/>
        </w:rPr>
        <w:t>，</w:t>
      </w:r>
      <w:r>
        <w:rPr>
          <w:rFonts w:hint="eastAsia" w:ascii="仿宋_GB2312" w:hAnsi="宋体" w:eastAsia="仿宋_GB2312"/>
          <w:color w:val="auto"/>
          <w:kern w:val="0"/>
          <w:sz w:val="32"/>
          <w:szCs w:val="32"/>
          <w:lang w:val="en-US" w:eastAsia="zh-CN"/>
        </w:rPr>
        <w:t>100%区级财政资金</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color w:val="auto"/>
          <w:lang w:val="en-US" w:eastAsia="zh-CN"/>
        </w:rPr>
      </w:pPr>
      <w:r>
        <w:rPr>
          <w:rFonts w:hint="eastAsia" w:ascii="仿宋_GB2312" w:hAnsi="宋体" w:eastAsia="仿宋_GB2312" w:cs="Times New Roman"/>
          <w:color w:val="auto"/>
          <w:kern w:val="0"/>
          <w:sz w:val="32"/>
          <w:szCs w:val="32"/>
          <w:lang w:val="en-US" w:eastAsia="zh-CN" w:bidi="ar-SA"/>
        </w:rPr>
        <w:t>2024年社会建设专项-朝阳区社会组织培育孵化中心建设项目</w:t>
      </w:r>
      <w:r>
        <w:rPr>
          <w:rFonts w:hint="eastAsia" w:ascii="仿宋_GB2312" w:eastAsia="仿宋_GB2312"/>
          <w:bCs/>
          <w:color w:val="auto"/>
          <w:sz w:val="32"/>
          <w:szCs w:val="32"/>
        </w:rPr>
        <w:t>收到财政拨付款项</w:t>
      </w:r>
      <w:r>
        <w:rPr>
          <w:rFonts w:hint="eastAsia" w:ascii="仿宋_GB2312" w:eastAsia="仿宋_GB2312"/>
          <w:bCs/>
          <w:color w:val="auto"/>
          <w:sz w:val="32"/>
          <w:szCs w:val="32"/>
          <w:lang w:val="en-US" w:eastAsia="zh-CN"/>
        </w:rPr>
        <w:t>10</w:t>
      </w:r>
      <w:r>
        <w:rPr>
          <w:rFonts w:hint="eastAsia" w:ascii="仿宋_GB2312" w:eastAsia="仿宋_GB2312"/>
          <w:bCs/>
          <w:color w:val="auto"/>
          <w:sz w:val="32"/>
          <w:szCs w:val="32"/>
        </w:rPr>
        <w:t>万元，资金已足额到位，项目资金实施统一集中管理，</w:t>
      </w:r>
      <w:r>
        <w:rPr>
          <w:rFonts w:hint="eastAsia" w:ascii="仿宋_GB2312" w:hAnsi="仿宋" w:eastAsia="仿宋_GB2312"/>
          <w:color w:val="auto"/>
          <w:sz w:val="32"/>
          <w:szCs w:val="32"/>
        </w:rPr>
        <w:t>资金的使用和拨付，按照《北京市市级项目支出预算管理办法》和《财务管理制度》等规定执行，保证了资金的合理有效使用，截至202</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年12月31日，上述款项</w:t>
      </w:r>
      <w:r>
        <w:rPr>
          <w:rFonts w:hint="eastAsia" w:ascii="仿宋_GB2312" w:hAnsi="仿宋" w:eastAsia="仿宋_GB2312"/>
          <w:color w:val="auto"/>
          <w:sz w:val="32"/>
          <w:szCs w:val="32"/>
          <w:lang w:val="en-US" w:eastAsia="zh-CN"/>
        </w:rPr>
        <w:t>10</w:t>
      </w:r>
      <w:r>
        <w:rPr>
          <w:rFonts w:hint="eastAsia" w:ascii="仿宋_GB2312" w:hAnsi="仿宋" w:eastAsia="仿宋_GB2312"/>
          <w:color w:val="auto"/>
          <w:sz w:val="32"/>
          <w:szCs w:val="32"/>
        </w:rPr>
        <w:t>万元</w:t>
      </w:r>
      <w:r>
        <w:rPr>
          <w:rFonts w:hint="eastAsia" w:ascii="仿宋_GB2312" w:hAnsi="仿宋" w:eastAsia="仿宋_GB2312"/>
          <w:color w:val="auto"/>
          <w:sz w:val="32"/>
          <w:szCs w:val="32"/>
          <w:lang w:eastAsia="zh-CN"/>
        </w:rPr>
        <w:t>全额</w:t>
      </w:r>
      <w:r>
        <w:rPr>
          <w:rFonts w:hint="eastAsia" w:ascii="仿宋_GB2312" w:hAnsi="仿宋" w:eastAsia="仿宋_GB2312"/>
          <w:color w:val="auto"/>
          <w:sz w:val="32"/>
          <w:szCs w:val="32"/>
        </w:rPr>
        <w:t>用于项目支出</w:t>
      </w:r>
      <w:r>
        <w:rPr>
          <w:rFonts w:hint="eastAsia" w:ascii="仿宋_GB2312" w:hAnsi="仿宋" w:eastAsia="仿宋_GB2312"/>
          <w:color w:val="auto"/>
          <w:sz w:val="32"/>
          <w:szCs w:val="32"/>
          <w:lang w:eastAsia="zh-CN"/>
        </w:rPr>
        <w:t>，</w:t>
      </w:r>
      <w:r>
        <w:rPr>
          <w:rFonts w:hint="eastAsia" w:ascii="仿宋_GB2312" w:hAnsi="宋体" w:eastAsia="仿宋_GB2312" w:cs="Times New Roman"/>
          <w:color w:val="auto"/>
          <w:kern w:val="0"/>
          <w:sz w:val="32"/>
          <w:szCs w:val="32"/>
          <w:lang w:val="en-US" w:eastAsia="zh-CN" w:bidi="ar-SA"/>
        </w:rPr>
        <w:t>实际支出金额为10万元，项目实际支出率为100%。</w:t>
      </w:r>
    </w:p>
    <w:p>
      <w:pPr>
        <w:keepNext w:val="0"/>
        <w:keepLines w:val="0"/>
        <w:pageBreakBefore w:val="0"/>
        <w:widowControl w:val="0"/>
        <w:numPr>
          <w:ilvl w:val="0"/>
          <w:numId w:val="3"/>
        </w:numPr>
        <w:kinsoku/>
        <w:wordWrap/>
        <w:overflowPunct/>
        <w:topLinePunct w:val="0"/>
        <w:bidi w:val="0"/>
        <w:adjustRightInd/>
        <w:snapToGrid/>
        <w:spacing w:line="600" w:lineRule="exact"/>
        <w:ind w:right="0" w:rightChars="0" w:firstLine="640" w:firstLineChars="200"/>
        <w:textAlignment w:val="auto"/>
        <w:outlineLvl w:val="9"/>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项目绩效目标。</w:t>
      </w:r>
    </w:p>
    <w:p>
      <w:pPr>
        <w:keepNext w:val="0"/>
        <w:keepLines w:val="0"/>
        <w:pageBreakBefore w:val="0"/>
        <w:widowControl w:val="0"/>
        <w:kinsoku/>
        <w:wordWrap/>
        <w:overflowPunct/>
        <w:topLinePunct w:val="0"/>
        <w:bidi w:val="0"/>
        <w:adjustRightInd/>
        <w:snapToGrid/>
        <w:spacing w:line="600" w:lineRule="exact"/>
        <w:ind w:right="0" w:rightChars="0" w:firstLine="640" w:firstLineChars="200"/>
        <w:textAlignment w:val="auto"/>
        <w:outlineLvl w:val="9"/>
        <w:rPr>
          <w:rFonts w:ascii="仿宋_GB2312" w:hAnsi="楷体_GB2312" w:eastAsia="仿宋_GB2312" w:cs="楷体_GB2312"/>
          <w:color w:val="auto"/>
          <w:sz w:val="32"/>
          <w:szCs w:val="32"/>
        </w:rPr>
      </w:pPr>
      <w:r>
        <w:rPr>
          <w:rFonts w:hint="eastAsia" w:ascii="仿宋_GB2312" w:hAnsi="仿宋" w:eastAsia="仿宋_GB2312"/>
          <w:color w:val="auto"/>
          <w:sz w:val="32"/>
          <w:szCs w:val="32"/>
        </w:rPr>
        <w:t>1.项目绩效总体目标</w:t>
      </w:r>
    </w:p>
    <w:p>
      <w:pPr>
        <w:keepNext w:val="0"/>
        <w:keepLines w:val="0"/>
        <w:pageBreakBefore w:val="0"/>
        <w:widowControl w:val="0"/>
        <w:kinsoku/>
        <w:wordWrap/>
        <w:overflowPunct/>
        <w:topLinePunct w:val="0"/>
        <w:autoSpaceDE w:val="0"/>
        <w:autoSpaceDN w:val="0"/>
        <w:bidi w:val="0"/>
        <w:adjustRightInd/>
        <w:snapToGrid/>
        <w:spacing w:line="600" w:lineRule="exact"/>
        <w:ind w:left="-2" w:leftChars="-1" w:right="0" w:rightChars="0" w:firstLine="707" w:firstLineChars="221"/>
        <w:jc w:val="left"/>
        <w:textAlignment w:val="auto"/>
        <w:outlineLvl w:val="9"/>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lang w:eastAsia="zh-CN"/>
        </w:rPr>
        <w:t>采取“社工+社区+督导”服务模式，通过培训等手段，辅助社区社会组织完成定位和持续发展，发挥社区社会组织在基层社会治理中的积极作用。</w:t>
      </w:r>
    </w:p>
    <w:p>
      <w:pPr>
        <w:keepNext w:val="0"/>
        <w:keepLines w:val="0"/>
        <w:pageBreakBefore w:val="0"/>
        <w:widowControl w:val="0"/>
        <w:numPr>
          <w:numId w:val="0"/>
        </w:numPr>
        <w:kinsoku/>
        <w:wordWrap/>
        <w:overflowPunct/>
        <w:topLinePunct w:val="0"/>
        <w:bidi w:val="0"/>
        <w:adjustRightInd/>
        <w:snapToGrid w:val="0"/>
        <w:spacing w:line="600" w:lineRule="exact"/>
        <w:ind w:right="0" w:rightChars="0" w:firstLine="640" w:firstLineChars="200"/>
        <w:textAlignment w:val="auto"/>
        <w:outlineLvl w:val="9"/>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项目绩效具体指标</w:t>
      </w:r>
    </w:p>
    <w:p>
      <w:pPr>
        <w:keepNext w:val="0"/>
        <w:keepLines w:val="0"/>
        <w:pageBreakBefore w:val="0"/>
        <w:widowControl w:val="0"/>
        <w:numPr>
          <w:ilvl w:val="0"/>
          <w:numId w:val="0"/>
        </w:numPr>
        <w:kinsoku/>
        <w:wordWrap/>
        <w:overflowPunct/>
        <w:topLinePunct w:val="0"/>
        <w:autoSpaceDE w:val="0"/>
        <w:autoSpaceDN w:val="0"/>
        <w:bidi w:val="0"/>
        <w:adjustRightInd/>
        <w:spacing w:line="600" w:lineRule="exact"/>
        <w:ind w:right="0" w:rightChars="0"/>
        <w:jc w:val="center"/>
        <w:textAlignment w:val="auto"/>
        <w:outlineLvl w:val="9"/>
        <w:rPr>
          <w:rFonts w:hint="eastAsia" w:ascii="仿宋_GB2312" w:hAnsi="仿宋" w:eastAsia="仿宋_GB2312"/>
          <w:color w:val="auto"/>
          <w:sz w:val="32"/>
          <w:szCs w:val="32"/>
        </w:rPr>
      </w:pPr>
      <w:r>
        <w:rPr>
          <w:rFonts w:hint="eastAsia" w:ascii="仿宋_GB2312" w:hAnsi="宋体" w:eastAsia="仿宋_GB2312"/>
          <w:color w:val="auto"/>
          <w:kern w:val="0"/>
          <w:sz w:val="32"/>
          <w:szCs w:val="32"/>
          <w:lang w:val="en-US" w:eastAsia="zh-CN"/>
        </w:rPr>
        <w:t>表1 项目绩效具体指标</w:t>
      </w:r>
    </w:p>
    <w:tbl>
      <w:tblPr>
        <w:tblStyle w:val="9"/>
        <w:tblW w:w="11490" w:type="dxa"/>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800"/>
        <w:gridCol w:w="1680"/>
        <w:gridCol w:w="1440"/>
        <w:gridCol w:w="1605"/>
        <w:gridCol w:w="174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7" w:hRule="atLeast"/>
        </w:trPr>
        <w:tc>
          <w:tcPr>
            <w:tcW w:w="1485" w:type="dxa"/>
          </w:tcPr>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lang w:eastAsia="zh-CN"/>
              </w:rPr>
            </w:pPr>
            <w:r>
              <w:rPr>
                <w:rFonts w:hint="eastAsia" w:ascii="仿宋_GB2312" w:hAnsi="仿宋" w:eastAsia="仿宋_GB2312"/>
                <w:color w:val="auto"/>
                <w:sz w:val="28"/>
                <w:szCs w:val="28"/>
                <w:vertAlign w:val="baseline"/>
                <w:lang w:eastAsia="zh-CN"/>
              </w:rPr>
              <w:t>指标类别</w:t>
            </w:r>
          </w:p>
        </w:tc>
        <w:tc>
          <w:tcPr>
            <w:tcW w:w="1800" w:type="dxa"/>
          </w:tcPr>
          <w:p>
            <w:pPr>
              <w:keepNext w:val="0"/>
              <w:keepLines w:val="0"/>
              <w:pageBreakBefore w:val="0"/>
              <w:widowControl w:val="0"/>
              <w:kinsoku/>
              <w:wordWrap/>
              <w:overflowPunct/>
              <w:topLinePunct w:val="0"/>
              <w:autoSpaceDE w:val="0"/>
              <w:autoSpaceDN w:val="0"/>
              <w:bidi w:val="0"/>
              <w:adjustRightInd/>
              <w:spacing w:line="600" w:lineRule="exact"/>
              <w:ind w:right="0" w:rightChars="0"/>
              <w:jc w:val="left"/>
              <w:textAlignment w:val="auto"/>
              <w:outlineLvl w:val="9"/>
              <w:rPr>
                <w:rFonts w:hint="eastAsia" w:ascii="仿宋_GB2312" w:hAnsi="宋体" w:eastAsia="仿宋_GB2312"/>
                <w:color w:val="auto"/>
                <w:kern w:val="0"/>
                <w:sz w:val="28"/>
                <w:szCs w:val="28"/>
                <w:lang w:val="en-US" w:eastAsia="zh-CN"/>
              </w:rPr>
            </w:pPr>
            <w:r>
              <w:rPr>
                <w:rFonts w:hint="eastAsia" w:ascii="仿宋_GB2312" w:hAnsi="宋体" w:eastAsia="仿宋_GB2312"/>
                <w:color w:val="auto"/>
                <w:kern w:val="0"/>
                <w:sz w:val="28"/>
                <w:szCs w:val="28"/>
                <w:lang w:val="en-US" w:eastAsia="zh-CN"/>
              </w:rPr>
              <w:t>数量指标</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p>
        </w:tc>
        <w:tc>
          <w:tcPr>
            <w:tcW w:w="1680" w:type="dxa"/>
          </w:tcPr>
          <w:p>
            <w:pPr>
              <w:keepNext w:val="0"/>
              <w:keepLines w:val="0"/>
              <w:pageBreakBefore w:val="0"/>
              <w:widowControl w:val="0"/>
              <w:numPr>
                <w:ilvl w:val="0"/>
                <w:numId w:val="0"/>
              </w:numPr>
              <w:kinsoku/>
              <w:wordWrap/>
              <w:overflowPunct/>
              <w:topLinePunct w:val="0"/>
              <w:autoSpaceDE w:val="0"/>
              <w:autoSpaceDN w:val="0"/>
              <w:bidi w:val="0"/>
              <w:adjustRightInd/>
              <w:spacing w:line="600" w:lineRule="exact"/>
              <w:ind w:right="0" w:rightChars="0"/>
              <w:jc w:val="left"/>
              <w:textAlignment w:val="auto"/>
              <w:outlineLvl w:val="9"/>
              <w:rPr>
                <w:rFonts w:hint="eastAsia" w:ascii="仿宋_GB2312" w:hAnsi="宋体" w:eastAsia="仿宋_GB2312"/>
                <w:color w:val="auto"/>
                <w:kern w:val="0"/>
                <w:sz w:val="28"/>
                <w:szCs w:val="28"/>
                <w:lang w:val="en-US" w:eastAsia="zh-CN"/>
              </w:rPr>
            </w:pPr>
            <w:r>
              <w:rPr>
                <w:rFonts w:hint="eastAsia" w:ascii="仿宋_GB2312" w:hAnsi="宋体" w:eastAsia="仿宋_GB2312"/>
                <w:color w:val="auto"/>
                <w:kern w:val="0"/>
                <w:sz w:val="28"/>
                <w:szCs w:val="28"/>
                <w:lang w:val="en-US" w:eastAsia="zh-CN"/>
              </w:rPr>
              <w:t>质量指标</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p>
        </w:tc>
        <w:tc>
          <w:tcPr>
            <w:tcW w:w="1440" w:type="dxa"/>
          </w:tcPr>
          <w:p>
            <w:pPr>
              <w:keepNext w:val="0"/>
              <w:keepLines w:val="0"/>
              <w:pageBreakBefore w:val="0"/>
              <w:widowControl w:val="0"/>
              <w:numPr>
                <w:ilvl w:val="0"/>
                <w:numId w:val="0"/>
              </w:numPr>
              <w:kinsoku/>
              <w:wordWrap/>
              <w:overflowPunct/>
              <w:topLinePunct w:val="0"/>
              <w:autoSpaceDE w:val="0"/>
              <w:autoSpaceDN w:val="0"/>
              <w:bidi w:val="0"/>
              <w:adjustRightInd/>
              <w:spacing w:line="600" w:lineRule="exact"/>
              <w:ind w:right="0" w:rightChars="0"/>
              <w:jc w:val="left"/>
              <w:textAlignment w:val="auto"/>
              <w:outlineLvl w:val="9"/>
              <w:rPr>
                <w:rFonts w:hint="eastAsia" w:ascii="仿宋_GB2312" w:hAnsi="宋体" w:eastAsia="仿宋_GB2312"/>
                <w:color w:val="auto"/>
                <w:kern w:val="0"/>
                <w:sz w:val="28"/>
                <w:szCs w:val="28"/>
                <w:lang w:val="en-US" w:eastAsia="zh-CN"/>
              </w:rPr>
            </w:pPr>
            <w:r>
              <w:rPr>
                <w:rFonts w:hint="eastAsia" w:ascii="仿宋_GB2312" w:hAnsi="宋体" w:eastAsia="仿宋_GB2312"/>
                <w:color w:val="auto"/>
                <w:kern w:val="0"/>
                <w:sz w:val="28"/>
                <w:szCs w:val="28"/>
                <w:lang w:val="en-US" w:eastAsia="zh-CN"/>
              </w:rPr>
              <w:t>时效指标</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p>
        </w:tc>
        <w:tc>
          <w:tcPr>
            <w:tcW w:w="1605" w:type="dxa"/>
          </w:tcPr>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jc w:val="center"/>
              <w:textAlignment w:val="auto"/>
              <w:outlineLvl w:val="9"/>
              <w:rPr>
                <w:rFonts w:hint="eastAsia" w:ascii="仿宋_GB2312" w:hAnsi="宋体" w:eastAsia="仿宋_GB2312"/>
                <w:color w:val="auto"/>
                <w:kern w:val="0"/>
                <w:sz w:val="28"/>
                <w:szCs w:val="28"/>
                <w:lang w:val="en-US" w:eastAsia="zh-CN"/>
              </w:rPr>
            </w:pPr>
            <w:r>
              <w:rPr>
                <w:rFonts w:hint="eastAsia" w:ascii="仿宋_GB2312" w:hAnsi="宋体" w:eastAsia="仿宋_GB2312"/>
                <w:color w:val="auto"/>
                <w:kern w:val="0"/>
                <w:sz w:val="28"/>
                <w:szCs w:val="28"/>
                <w:lang w:val="en-US" w:eastAsia="zh-CN"/>
              </w:rPr>
              <w:t>经济成本指标</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p>
        </w:tc>
        <w:tc>
          <w:tcPr>
            <w:tcW w:w="1740" w:type="dxa"/>
          </w:tcPr>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firstLine="280" w:firstLineChars="100"/>
              <w:jc w:val="both"/>
              <w:textAlignment w:val="auto"/>
              <w:outlineLvl w:val="9"/>
              <w:rPr>
                <w:rFonts w:hint="eastAsia" w:ascii="仿宋_GB2312" w:hAnsi="宋体" w:eastAsia="仿宋_GB2312"/>
                <w:color w:val="auto"/>
                <w:kern w:val="0"/>
                <w:sz w:val="28"/>
                <w:szCs w:val="28"/>
                <w:lang w:val="en-US" w:eastAsia="zh-CN"/>
              </w:rPr>
            </w:pPr>
            <w:r>
              <w:rPr>
                <w:rFonts w:hint="eastAsia" w:ascii="仿宋_GB2312" w:hAnsi="宋体" w:eastAsia="仿宋_GB2312"/>
                <w:color w:val="auto"/>
                <w:kern w:val="0"/>
                <w:sz w:val="28"/>
                <w:szCs w:val="28"/>
                <w:lang w:val="en-US" w:eastAsia="zh-CN"/>
              </w:rPr>
              <w:t>社会效益</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jc w:val="center"/>
              <w:textAlignment w:val="auto"/>
              <w:outlineLvl w:val="9"/>
              <w:rPr>
                <w:rFonts w:hint="eastAsia" w:ascii="仿宋_GB2312" w:hAnsi="仿宋" w:eastAsia="仿宋_GB2312"/>
                <w:color w:val="auto"/>
                <w:sz w:val="28"/>
                <w:szCs w:val="28"/>
                <w:vertAlign w:val="baseline"/>
              </w:rPr>
            </w:pPr>
            <w:r>
              <w:rPr>
                <w:rFonts w:hint="eastAsia" w:ascii="仿宋_GB2312" w:hAnsi="宋体" w:eastAsia="仿宋_GB2312"/>
                <w:color w:val="auto"/>
                <w:kern w:val="0"/>
                <w:sz w:val="28"/>
                <w:szCs w:val="28"/>
                <w:lang w:val="en-US" w:eastAsia="zh-CN"/>
              </w:rPr>
              <w:t>指标</w:t>
            </w:r>
          </w:p>
        </w:tc>
        <w:tc>
          <w:tcPr>
            <w:tcW w:w="1740" w:type="dxa"/>
          </w:tcPr>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jc w:val="center"/>
              <w:textAlignment w:val="auto"/>
              <w:outlineLvl w:val="9"/>
              <w:rPr>
                <w:rFonts w:hint="eastAsia" w:ascii="仿宋_GB2312" w:hAnsi="仿宋" w:eastAsia="仿宋_GB2312"/>
                <w:color w:val="auto"/>
                <w:sz w:val="28"/>
                <w:szCs w:val="28"/>
                <w:vertAlign w:val="baseline"/>
              </w:rPr>
            </w:pPr>
            <w:r>
              <w:rPr>
                <w:rFonts w:hint="eastAsia" w:ascii="仿宋_GB2312" w:hAnsi="宋体" w:eastAsia="仿宋_GB2312"/>
                <w:color w:val="auto"/>
                <w:kern w:val="0"/>
                <w:sz w:val="28"/>
                <w:szCs w:val="28"/>
                <w:lang w:val="en-US" w:eastAsia="zh-CN"/>
              </w:rPr>
              <w:t>服务对象满意度指标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7" w:hRule="atLeast"/>
        </w:trPr>
        <w:tc>
          <w:tcPr>
            <w:tcW w:w="1485" w:type="dxa"/>
          </w:tcPr>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lang w:eastAsia="zh-CN"/>
              </w:rPr>
            </w:pPr>
            <w:r>
              <w:rPr>
                <w:rFonts w:hint="eastAsia" w:ascii="仿宋_GB2312" w:hAnsi="仿宋" w:eastAsia="仿宋_GB2312"/>
                <w:color w:val="auto"/>
                <w:sz w:val="28"/>
                <w:szCs w:val="28"/>
                <w:vertAlign w:val="baseline"/>
                <w:lang w:eastAsia="zh-CN"/>
              </w:rPr>
              <w:t>指标性质</w:t>
            </w:r>
          </w:p>
        </w:tc>
        <w:tc>
          <w:tcPr>
            <w:tcW w:w="1800" w:type="dxa"/>
          </w:tcPr>
          <w:p>
            <w:pPr>
              <w:keepNext w:val="0"/>
              <w:keepLines w:val="0"/>
              <w:pageBreakBefore w:val="0"/>
              <w:widowControl w:val="0"/>
              <w:numPr>
                <w:ilvl w:val="0"/>
                <w:numId w:val="0"/>
              </w:numPr>
              <w:kinsoku/>
              <w:wordWrap/>
              <w:overflowPunct/>
              <w:topLinePunct w:val="0"/>
              <w:autoSpaceDE w:val="0"/>
              <w:autoSpaceDN w:val="0"/>
              <w:bidi w:val="0"/>
              <w:adjustRightInd/>
              <w:spacing w:line="600" w:lineRule="exact"/>
              <w:ind w:right="0" w:rightChars="0"/>
              <w:jc w:val="left"/>
              <w:textAlignment w:val="auto"/>
              <w:outlineLvl w:val="9"/>
              <w:rPr>
                <w:rFonts w:hint="eastAsia" w:ascii="仿宋_GB2312" w:hAnsi="宋体" w:eastAsia="仿宋_GB2312"/>
                <w:color w:val="auto"/>
                <w:kern w:val="0"/>
                <w:sz w:val="24"/>
                <w:szCs w:val="24"/>
                <w:lang w:val="en-US" w:eastAsia="zh-CN"/>
              </w:rPr>
            </w:pPr>
            <w:r>
              <w:rPr>
                <w:rFonts w:hint="eastAsia" w:ascii="仿宋_GB2312" w:hAnsi="宋体" w:eastAsia="仿宋_GB2312"/>
                <w:color w:val="auto"/>
                <w:kern w:val="0"/>
                <w:sz w:val="28"/>
                <w:szCs w:val="28"/>
                <w:lang w:val="en-US" w:eastAsia="zh-CN"/>
              </w:rPr>
              <w:t>服务人次≥1600</w:t>
            </w:r>
            <w:r>
              <w:rPr>
                <w:rFonts w:hint="eastAsia" w:ascii="仿宋_GB2312" w:hAnsi="宋体" w:eastAsia="仿宋_GB2312"/>
                <w:color w:val="auto"/>
                <w:kern w:val="0"/>
                <w:sz w:val="24"/>
                <w:szCs w:val="24"/>
                <w:lang w:val="en-US" w:eastAsia="zh-CN"/>
              </w:rPr>
              <w:t>人次</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p>
        </w:tc>
        <w:tc>
          <w:tcPr>
            <w:tcW w:w="1680" w:type="dxa"/>
          </w:tcPr>
          <w:p>
            <w:pPr>
              <w:keepNext w:val="0"/>
              <w:keepLines w:val="0"/>
              <w:pageBreakBefore w:val="0"/>
              <w:widowControl w:val="0"/>
              <w:numPr>
                <w:ilvl w:val="0"/>
                <w:numId w:val="0"/>
              </w:numPr>
              <w:kinsoku/>
              <w:wordWrap/>
              <w:overflowPunct/>
              <w:topLinePunct w:val="0"/>
              <w:autoSpaceDE w:val="0"/>
              <w:autoSpaceDN w:val="0"/>
              <w:bidi w:val="0"/>
              <w:adjustRightInd/>
              <w:spacing w:line="600" w:lineRule="exact"/>
              <w:ind w:right="0" w:rightChars="0"/>
              <w:jc w:val="left"/>
              <w:textAlignment w:val="auto"/>
              <w:outlineLvl w:val="9"/>
              <w:rPr>
                <w:rFonts w:hint="eastAsia" w:ascii="仿宋_GB2312" w:hAnsi="宋体" w:eastAsia="仿宋_GB2312"/>
                <w:color w:val="auto"/>
                <w:kern w:val="0"/>
                <w:sz w:val="28"/>
                <w:szCs w:val="28"/>
                <w:lang w:val="en-US" w:eastAsia="zh-CN"/>
              </w:rPr>
            </w:pPr>
            <w:r>
              <w:rPr>
                <w:rFonts w:hint="eastAsia" w:ascii="仿宋_GB2312" w:hAnsi="宋体" w:eastAsia="仿宋_GB2312"/>
                <w:color w:val="auto"/>
                <w:kern w:val="0"/>
                <w:sz w:val="28"/>
                <w:szCs w:val="28"/>
                <w:lang w:val="en-US" w:eastAsia="zh-CN"/>
              </w:rPr>
              <w:t>活动场次≥24次</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p>
        </w:tc>
        <w:tc>
          <w:tcPr>
            <w:tcW w:w="1440" w:type="dxa"/>
          </w:tcPr>
          <w:p>
            <w:pPr>
              <w:keepNext w:val="0"/>
              <w:keepLines w:val="0"/>
              <w:pageBreakBefore w:val="0"/>
              <w:widowControl w:val="0"/>
              <w:numPr>
                <w:ilvl w:val="0"/>
                <w:numId w:val="0"/>
              </w:numPr>
              <w:kinsoku/>
              <w:wordWrap/>
              <w:overflowPunct/>
              <w:topLinePunct w:val="0"/>
              <w:autoSpaceDE w:val="0"/>
              <w:autoSpaceDN w:val="0"/>
              <w:bidi w:val="0"/>
              <w:adjustRightInd/>
              <w:spacing w:line="600" w:lineRule="exact"/>
              <w:ind w:right="0" w:rightChars="0"/>
              <w:jc w:val="left"/>
              <w:textAlignment w:val="auto"/>
              <w:outlineLvl w:val="9"/>
              <w:rPr>
                <w:rFonts w:hint="eastAsia" w:ascii="仿宋_GB2312" w:hAnsi="宋体" w:eastAsia="仿宋_GB2312"/>
                <w:color w:val="auto"/>
                <w:kern w:val="0"/>
                <w:sz w:val="28"/>
                <w:szCs w:val="28"/>
                <w:lang w:val="en-US" w:eastAsia="zh-CN"/>
              </w:rPr>
            </w:pPr>
            <w:r>
              <w:rPr>
                <w:rFonts w:hint="eastAsia" w:ascii="仿宋_GB2312" w:hAnsi="宋体" w:eastAsia="仿宋_GB2312"/>
                <w:color w:val="auto"/>
                <w:kern w:val="0"/>
                <w:sz w:val="28"/>
                <w:szCs w:val="28"/>
                <w:lang w:val="en-US" w:eastAsia="zh-CN"/>
              </w:rPr>
              <w:t>执行率≥100%</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p>
        </w:tc>
        <w:tc>
          <w:tcPr>
            <w:tcW w:w="1605" w:type="dxa"/>
          </w:tcPr>
          <w:p>
            <w:pPr>
              <w:keepNext w:val="0"/>
              <w:keepLines w:val="0"/>
              <w:pageBreakBefore w:val="0"/>
              <w:widowControl w:val="0"/>
              <w:numPr>
                <w:ilvl w:val="0"/>
                <w:numId w:val="0"/>
              </w:numPr>
              <w:kinsoku/>
              <w:wordWrap/>
              <w:overflowPunct/>
              <w:topLinePunct w:val="0"/>
              <w:autoSpaceDE w:val="0"/>
              <w:autoSpaceDN w:val="0"/>
              <w:bidi w:val="0"/>
              <w:adjustRightInd/>
              <w:spacing w:line="600" w:lineRule="exact"/>
              <w:ind w:right="0" w:rightChars="0"/>
              <w:jc w:val="left"/>
              <w:textAlignment w:val="auto"/>
              <w:outlineLvl w:val="9"/>
              <w:rPr>
                <w:rFonts w:hint="eastAsia" w:ascii="仿宋_GB2312" w:hAnsi="宋体" w:eastAsia="仿宋_GB2312"/>
                <w:color w:val="auto"/>
                <w:kern w:val="0"/>
                <w:sz w:val="28"/>
                <w:szCs w:val="28"/>
                <w:lang w:val="en-US" w:eastAsia="zh-CN"/>
              </w:rPr>
            </w:pPr>
            <w:r>
              <w:rPr>
                <w:rFonts w:hint="eastAsia" w:ascii="仿宋_GB2312" w:hAnsi="宋体" w:eastAsia="仿宋_GB2312"/>
                <w:color w:val="auto"/>
                <w:kern w:val="0"/>
                <w:sz w:val="28"/>
                <w:szCs w:val="28"/>
                <w:lang w:val="en-US" w:eastAsia="zh-CN"/>
              </w:rPr>
              <w:t>总成本=100000元</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p>
        </w:tc>
        <w:tc>
          <w:tcPr>
            <w:tcW w:w="1740" w:type="dxa"/>
          </w:tcPr>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r>
              <w:rPr>
                <w:rFonts w:hint="eastAsia" w:ascii="仿宋_GB2312" w:hAnsi="宋体" w:eastAsia="仿宋_GB2312"/>
                <w:color w:val="auto"/>
                <w:kern w:val="0"/>
                <w:sz w:val="28"/>
                <w:szCs w:val="28"/>
                <w:lang w:val="en-US" w:eastAsia="zh-CN"/>
              </w:rPr>
              <w:t>社区社会组织队伍建设≥12支</w:t>
            </w:r>
          </w:p>
        </w:tc>
        <w:tc>
          <w:tcPr>
            <w:tcW w:w="1740" w:type="dxa"/>
          </w:tcPr>
          <w:p>
            <w:pPr>
              <w:keepNext w:val="0"/>
              <w:keepLines w:val="0"/>
              <w:pageBreakBefore w:val="0"/>
              <w:widowControl w:val="0"/>
              <w:numPr>
                <w:ilvl w:val="0"/>
                <w:numId w:val="0"/>
              </w:numPr>
              <w:kinsoku/>
              <w:wordWrap/>
              <w:overflowPunct/>
              <w:topLinePunct w:val="0"/>
              <w:autoSpaceDE w:val="0"/>
              <w:autoSpaceDN w:val="0"/>
              <w:bidi w:val="0"/>
              <w:adjustRightInd/>
              <w:spacing w:line="600" w:lineRule="exact"/>
              <w:ind w:right="0" w:rightChars="0"/>
              <w:jc w:val="left"/>
              <w:textAlignment w:val="auto"/>
              <w:outlineLvl w:val="9"/>
              <w:rPr>
                <w:rFonts w:hint="eastAsia" w:ascii="仿宋_GB2312" w:hAnsi="宋体" w:eastAsia="仿宋_GB2312"/>
                <w:color w:val="auto"/>
                <w:kern w:val="0"/>
                <w:sz w:val="28"/>
                <w:szCs w:val="28"/>
                <w:lang w:val="en-US" w:eastAsia="zh-CN"/>
              </w:rPr>
            </w:pPr>
            <w:r>
              <w:rPr>
                <w:rFonts w:hint="eastAsia" w:ascii="仿宋_GB2312" w:hAnsi="宋体" w:eastAsia="仿宋_GB2312"/>
                <w:color w:val="auto"/>
                <w:kern w:val="0"/>
                <w:sz w:val="28"/>
                <w:szCs w:val="28"/>
                <w:lang w:val="en-US" w:eastAsia="zh-CN"/>
              </w:rPr>
              <w:t>服务对象满意度≥98%</w:t>
            </w:r>
          </w:p>
          <w:p>
            <w:pPr>
              <w:keepNext w:val="0"/>
              <w:keepLines w:val="0"/>
              <w:pageBreakBefore w:val="0"/>
              <w:widowControl w:val="0"/>
              <w:numPr>
                <w:ilvl w:val="0"/>
                <w:numId w:val="0"/>
              </w:numPr>
              <w:kinsoku/>
              <w:wordWrap/>
              <w:overflowPunct/>
              <w:topLinePunct w:val="0"/>
              <w:bidi w:val="0"/>
              <w:adjustRightInd/>
              <w:snapToGrid w:val="0"/>
              <w:spacing w:line="600" w:lineRule="exact"/>
              <w:ind w:right="0" w:rightChars="0"/>
              <w:textAlignment w:val="auto"/>
              <w:outlineLvl w:val="9"/>
              <w:rPr>
                <w:rFonts w:hint="eastAsia" w:ascii="仿宋_GB2312" w:hAnsi="仿宋" w:eastAsia="仿宋_GB2312"/>
                <w:color w:val="auto"/>
                <w:sz w:val="28"/>
                <w:szCs w:val="28"/>
                <w:vertAlign w:val="baseline"/>
              </w:rPr>
            </w:pPr>
          </w:p>
        </w:tc>
      </w:tr>
    </w:tbl>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ascii="黑体" w:hAnsi="黑体" w:eastAsia="黑体" w:cs="黑体"/>
          <w:color w:val="auto"/>
          <w:sz w:val="32"/>
          <w:szCs w:val="32"/>
        </w:rPr>
      </w:pPr>
      <w:r>
        <w:rPr>
          <w:rFonts w:hint="eastAsia" w:ascii="黑体" w:hAnsi="黑体" w:eastAsia="黑体" w:cs="黑体"/>
          <w:color w:val="auto"/>
          <w:sz w:val="32"/>
          <w:szCs w:val="32"/>
        </w:rPr>
        <w:t>二、绩效评价工作开展情况</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（一）绩效评价目的、对象和范围。</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1.评价目的</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进一步加强预算绩效管理，强化支出责任，提高财政资金使用效益；二是进一步总结财政资金支出效果，了解、分析、检验资金使用是否达到预期目标，资金管理是否规范，资金使用是否有效，促进单位强化绩效理念；三是通过绩效评价，促进实施部门总结经验、发现问题、改进工作，探索更适用于本单位项目支出的绩效管理工作方式。</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2.评价对象</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2024年社会建设专项-朝阳区社会组织培育孵化中心建设项目。团结湖街道办事处从纳入2024年度预算管理的项目中，选择委托外包类项目“朝阳区社会组织培育孵化中心建设项目”项目作为评价项目。</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3.评价范围</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color w:val="auto"/>
        </w:rPr>
      </w:pPr>
      <w:r>
        <w:rPr>
          <w:rFonts w:hint="eastAsia" w:eastAsia="仿宋_GB2312"/>
          <w:color w:val="auto"/>
          <w:kern w:val="0"/>
          <w:sz w:val="32"/>
          <w:szCs w:val="32"/>
          <w:lang w:val="en-US" w:eastAsia="zh-CN"/>
        </w:rPr>
        <w:t>本次绩效评价的范围是：绩效目标与工作方案的适应性；财政资金使用情况，财务管理状况；为加强管理所制定或完善的相关制度，采取的措施；绩效目标的实现程度，包括是否达到预定产出和效果等需要评价的其他内容。</w:t>
      </w:r>
    </w:p>
    <w:p>
      <w:pPr>
        <w:keepNext w:val="0"/>
        <w:keepLines w:val="0"/>
        <w:pageBreakBefore w:val="0"/>
        <w:widowControl w:val="0"/>
        <w:numPr>
          <w:ilvl w:val="0"/>
          <w:numId w:val="4"/>
        </w:numPr>
        <w:kinsoku/>
        <w:wordWrap/>
        <w:overflowPunct/>
        <w:topLinePunct w:val="0"/>
        <w:autoSpaceDE/>
        <w:autoSpaceDN/>
        <w:bidi w:val="0"/>
        <w:adjustRightInd/>
        <w:spacing w:line="600" w:lineRule="exact"/>
        <w:ind w:right="0" w:rightChars="0" w:firstLine="640" w:firstLineChars="200"/>
        <w:textAlignment w:val="auto"/>
        <w:outlineLvl w:val="9"/>
        <w:rPr>
          <w:rFonts w:hint="eastAsia" w:eastAsia="仿宋_GB2312"/>
          <w:color w:val="auto"/>
          <w:kern w:val="0"/>
          <w:sz w:val="32"/>
          <w:szCs w:val="32"/>
          <w:lang w:val="en-US" w:eastAsia="zh-CN"/>
        </w:rPr>
      </w:pPr>
      <w:r>
        <w:rPr>
          <w:rFonts w:hint="eastAsia" w:ascii="楷体_GB2312" w:hAnsi="楷体_GB2312" w:eastAsia="楷体_GB2312" w:cs="楷体_GB2312"/>
          <w:color w:val="auto"/>
          <w:sz w:val="32"/>
          <w:szCs w:val="32"/>
        </w:rPr>
        <w:t>绩效评价原则、评价方法</w:t>
      </w:r>
      <w:r>
        <w:rPr>
          <w:rFonts w:hint="eastAsia" w:ascii="楷体_GB2312" w:hAnsi="楷体_GB2312" w:eastAsia="楷体_GB2312" w:cs="楷体_GB2312"/>
          <w:color w:val="auto"/>
          <w:sz w:val="32"/>
          <w:szCs w:val="32"/>
          <w:lang w:eastAsia="zh-CN"/>
        </w:rPr>
        <w:t>和</w:t>
      </w:r>
      <w:r>
        <w:rPr>
          <w:rFonts w:hint="eastAsia" w:ascii="楷体_GB2312" w:hAnsi="楷体_GB2312" w:eastAsia="楷体_GB2312" w:cs="楷体_GB2312"/>
          <w:color w:val="auto"/>
          <w:sz w:val="32"/>
          <w:szCs w:val="32"/>
        </w:rPr>
        <w:t>标准</w:t>
      </w:r>
    </w:p>
    <w:p>
      <w:pPr>
        <w:keepNext w:val="0"/>
        <w:keepLines w:val="0"/>
        <w:pageBreakBefore w:val="0"/>
        <w:widowControl w:val="0"/>
        <w:numPr>
          <w:numId w:val="0"/>
        </w:numPr>
        <w:kinsoku/>
        <w:wordWrap/>
        <w:overflowPunct/>
        <w:topLinePunct w:val="0"/>
        <w:autoSpaceDE/>
        <w:autoSpaceDN/>
        <w:bidi w:val="0"/>
        <w:adjustRightInd/>
        <w:spacing w:line="600" w:lineRule="exact"/>
        <w:ind w:right="0" w:rightChars="0" w:firstLine="640" w:firstLineChars="200"/>
        <w:textAlignment w:val="auto"/>
        <w:outlineLvl w:val="9"/>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1.绩效评价原则</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eastAsia="仿宋_GB2312"/>
          <w:color w:val="auto"/>
          <w:kern w:val="0"/>
          <w:sz w:val="32"/>
          <w:szCs w:val="32"/>
        </w:rPr>
      </w:pP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1</w:t>
      </w:r>
      <w:r>
        <w:rPr>
          <w:rFonts w:hint="eastAsia" w:eastAsia="仿宋_GB2312"/>
          <w:color w:val="auto"/>
          <w:kern w:val="0"/>
          <w:sz w:val="32"/>
          <w:szCs w:val="32"/>
          <w:lang w:eastAsia="zh-CN"/>
        </w:rPr>
        <w:t>）</w:t>
      </w:r>
      <w:r>
        <w:rPr>
          <w:rFonts w:hint="eastAsia" w:eastAsia="仿宋_GB2312"/>
          <w:color w:val="auto"/>
          <w:kern w:val="0"/>
          <w:sz w:val="32"/>
          <w:szCs w:val="32"/>
        </w:rPr>
        <w:t>科学规范原则</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eastAsia="仿宋_GB2312"/>
          <w:color w:val="auto"/>
          <w:kern w:val="0"/>
          <w:sz w:val="32"/>
          <w:szCs w:val="32"/>
        </w:rPr>
      </w:pPr>
      <w:r>
        <w:rPr>
          <w:rFonts w:hint="eastAsia" w:eastAsia="仿宋_GB2312"/>
          <w:color w:val="auto"/>
          <w:kern w:val="0"/>
          <w:sz w:val="32"/>
          <w:szCs w:val="32"/>
        </w:rPr>
        <w:t>绩效评价严格执行规定的程序，按照科学可行的要求，采用定量与定性分析相结合的方法。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eastAsia="仿宋_GB2312"/>
          <w:color w:val="auto"/>
          <w:kern w:val="0"/>
          <w:sz w:val="32"/>
          <w:szCs w:val="32"/>
        </w:rPr>
      </w:pP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2</w:t>
      </w:r>
      <w:r>
        <w:rPr>
          <w:rFonts w:hint="eastAsia" w:eastAsia="仿宋_GB2312"/>
          <w:color w:val="auto"/>
          <w:kern w:val="0"/>
          <w:sz w:val="32"/>
          <w:szCs w:val="32"/>
          <w:lang w:eastAsia="zh-CN"/>
        </w:rPr>
        <w:t>）</w:t>
      </w:r>
      <w:r>
        <w:rPr>
          <w:rFonts w:hint="eastAsia" w:eastAsia="仿宋_GB2312"/>
          <w:color w:val="auto"/>
          <w:kern w:val="0"/>
          <w:sz w:val="32"/>
          <w:szCs w:val="32"/>
        </w:rPr>
        <w:t>公正公开原则</w:t>
      </w:r>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textAlignment w:val="auto"/>
        <w:outlineLvl w:val="9"/>
        <w:rPr>
          <w:rFonts w:eastAsia="仿宋_GB2312"/>
          <w:color w:val="auto"/>
          <w:kern w:val="0"/>
          <w:sz w:val="32"/>
          <w:szCs w:val="32"/>
        </w:rPr>
      </w:pPr>
      <w:r>
        <w:rPr>
          <w:rFonts w:hint="eastAsia" w:ascii="仿宋_GB2312" w:hAnsi="仿宋" w:eastAsia="仿宋_GB2312"/>
          <w:color w:val="auto"/>
          <w:sz w:val="32"/>
          <w:szCs w:val="32"/>
        </w:rPr>
        <w:t>绩效评价符合真实、客观、公正的要求，</w:t>
      </w:r>
      <w:r>
        <w:rPr>
          <w:rFonts w:eastAsia="仿宋_GB2312"/>
          <w:color w:val="auto"/>
          <w:kern w:val="0"/>
          <w:sz w:val="32"/>
          <w:szCs w:val="32"/>
        </w:rPr>
        <w:t>本着实事求是的原则，站在客观、公正的立场发表评价意见。</w:t>
      </w:r>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textAlignment w:val="auto"/>
        <w:outlineLvl w:val="9"/>
        <w:rPr>
          <w:rFonts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绩效相关原则</w:t>
      </w:r>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textAlignment w:val="auto"/>
        <w:outlineLvl w:val="9"/>
        <w:rPr>
          <w:rFonts w:hint="eastAsia" w:ascii="仿宋_GB2312" w:hAnsi="仿宋" w:eastAsia="仿宋_GB2312"/>
          <w:color w:val="auto"/>
          <w:sz w:val="32"/>
          <w:szCs w:val="32"/>
        </w:rPr>
      </w:pPr>
      <w:r>
        <w:rPr>
          <w:rFonts w:hint="eastAsia" w:ascii="仿宋_GB2312" w:hAnsi="仿宋" w:eastAsia="仿宋_GB2312"/>
          <w:color w:val="auto"/>
          <w:sz w:val="32"/>
          <w:szCs w:val="32"/>
        </w:rPr>
        <w:t>绩效评价针对具体支出及其产出绩效进行评价，结果清晰反映产出和绩效之间的紧密对应关系。</w:t>
      </w:r>
      <w:r>
        <w:rPr>
          <w:rFonts w:eastAsia="仿宋_GB2312"/>
          <w:color w:val="auto"/>
          <w:kern w:val="0"/>
          <w:sz w:val="32"/>
          <w:szCs w:val="32"/>
        </w:rPr>
        <w:t>重点关注绩效，兼顾决策和管理。</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eastAsia="仿宋_GB2312"/>
          <w:color w:val="auto"/>
          <w:kern w:val="0"/>
          <w:sz w:val="32"/>
          <w:szCs w:val="32"/>
        </w:rPr>
      </w:pPr>
      <w:r>
        <w:rPr>
          <w:rFonts w:hint="eastAsia" w:eastAsia="仿宋_GB2312"/>
          <w:color w:val="auto"/>
          <w:kern w:val="0"/>
          <w:sz w:val="32"/>
          <w:szCs w:val="32"/>
          <w:lang w:val="en-US" w:eastAsia="zh-CN"/>
        </w:rPr>
        <w:t>2</w:t>
      </w:r>
      <w:r>
        <w:rPr>
          <w:rFonts w:eastAsia="仿宋_GB2312"/>
          <w:color w:val="auto"/>
          <w:kern w:val="0"/>
          <w:sz w:val="32"/>
          <w:szCs w:val="32"/>
        </w:rPr>
        <w:t>.评价方法</w:t>
      </w:r>
      <w:r>
        <w:rPr>
          <w:rFonts w:hint="eastAsia" w:eastAsia="仿宋_GB2312"/>
          <w:color w:val="auto"/>
          <w:kern w:val="0"/>
          <w:sz w:val="32"/>
          <w:szCs w:val="32"/>
          <w:lang w:eastAsia="zh-CN"/>
        </w:rPr>
        <w:t>和标准</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color w:val="auto"/>
        </w:rPr>
      </w:pPr>
      <w:r>
        <w:rPr>
          <w:rFonts w:eastAsia="仿宋_GB2312"/>
          <w:color w:val="auto"/>
          <w:kern w:val="0"/>
          <w:sz w:val="32"/>
          <w:szCs w:val="32"/>
        </w:rPr>
        <w:t>根据《北京市项目支出绩效评价管理办法》文件规定的绩效评价方法，结合项目实际情况，本次绩效评价工作按照全面评价与重点评价相结合的方式组织实施</w:t>
      </w:r>
      <w:r>
        <w:rPr>
          <w:rFonts w:hint="eastAsia" w:eastAsia="仿宋_GB2312"/>
          <w:color w:val="auto"/>
          <w:kern w:val="0"/>
          <w:sz w:val="32"/>
          <w:szCs w:val="32"/>
          <w:lang w:eastAsia="zh-CN"/>
        </w:rPr>
        <w:t>，</w:t>
      </w:r>
      <w:r>
        <w:rPr>
          <w:rFonts w:eastAsia="仿宋_GB2312"/>
          <w:color w:val="auto"/>
          <w:kern w:val="0"/>
          <w:sz w:val="32"/>
          <w:szCs w:val="32"/>
        </w:rPr>
        <w:t>结合项目实际情况，本次绩效评价工作采用计划标准，以预先制定的目标、计划、预算、定额作为本次绩效评价的标准。</w:t>
      </w:r>
    </w:p>
    <w:p>
      <w:pPr>
        <w:keepNext w:val="0"/>
        <w:keepLines w:val="0"/>
        <w:pageBreakBefore w:val="0"/>
        <w:widowControl w:val="0"/>
        <w:numPr>
          <w:ilvl w:val="0"/>
          <w:numId w:val="4"/>
        </w:numPr>
        <w:kinsoku/>
        <w:wordWrap/>
        <w:overflowPunct/>
        <w:topLinePunct w:val="0"/>
        <w:autoSpaceDE/>
        <w:autoSpaceDN/>
        <w:bidi w:val="0"/>
        <w:adjustRightInd/>
        <w:spacing w:line="600" w:lineRule="exact"/>
        <w:ind w:right="0" w:rightChars="0" w:firstLine="640" w:firstLineChars="200"/>
        <w:textAlignment w:val="auto"/>
        <w:outlineLvl w:val="9"/>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绩效评价工作过程。</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color w:val="auto"/>
        </w:rPr>
      </w:pPr>
      <w:r>
        <w:rPr>
          <w:rFonts w:hint="eastAsia" w:ascii="仿宋_GB2312" w:eastAsia="仿宋_GB2312"/>
          <w:color w:val="auto"/>
          <w:sz w:val="32"/>
          <w:szCs w:val="32"/>
        </w:rPr>
        <w:t>由</w:t>
      </w: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年社会建设专项-朝阳区社会组织培育孵化中心建设项目”</w:t>
      </w:r>
      <w:r>
        <w:rPr>
          <w:rFonts w:hint="eastAsia" w:ascii="仿宋_GB2312" w:eastAsia="仿宋_GB2312"/>
          <w:color w:val="auto"/>
          <w:sz w:val="32"/>
          <w:szCs w:val="32"/>
        </w:rPr>
        <w:t>的项目负责人提交</w:t>
      </w:r>
      <w:r>
        <w:rPr>
          <w:rFonts w:ascii="仿宋_GB2312" w:eastAsia="仿宋_GB2312"/>
          <w:color w:val="auto"/>
          <w:sz w:val="32"/>
          <w:szCs w:val="32"/>
        </w:rPr>
        <w:t>项目</w:t>
      </w:r>
      <w:r>
        <w:rPr>
          <w:rFonts w:hint="eastAsia" w:ascii="仿宋_GB2312" w:eastAsia="仿宋_GB2312"/>
          <w:color w:val="auto"/>
          <w:sz w:val="32"/>
          <w:szCs w:val="32"/>
        </w:rPr>
        <w:t>总</w:t>
      </w:r>
      <w:r>
        <w:rPr>
          <w:rFonts w:ascii="仿宋_GB2312" w:eastAsia="仿宋_GB2312"/>
          <w:color w:val="auto"/>
          <w:sz w:val="32"/>
          <w:szCs w:val="32"/>
        </w:rPr>
        <w:t>结，并</w:t>
      </w:r>
      <w:r>
        <w:rPr>
          <w:rFonts w:hint="eastAsia" w:ascii="仿宋_GB2312" w:eastAsia="仿宋_GB2312"/>
          <w:color w:val="auto"/>
          <w:sz w:val="32"/>
          <w:szCs w:val="32"/>
        </w:rPr>
        <w:t>对照202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年初设定的绩效目标</w:t>
      </w:r>
      <w:r>
        <w:rPr>
          <w:rFonts w:ascii="仿宋_GB2312" w:eastAsia="仿宋_GB2312"/>
          <w:color w:val="auto"/>
          <w:sz w:val="32"/>
          <w:szCs w:val="32"/>
        </w:rPr>
        <w:t>，</w:t>
      </w:r>
      <w:r>
        <w:rPr>
          <w:rFonts w:hint="eastAsia" w:ascii="仿宋_GB2312" w:eastAsia="仿宋_GB2312"/>
          <w:color w:val="auto"/>
          <w:sz w:val="32"/>
          <w:szCs w:val="32"/>
        </w:rPr>
        <w:t>填写《项目支出绩效自评表》，</w:t>
      </w:r>
      <w:r>
        <w:rPr>
          <w:rFonts w:hint="eastAsia" w:ascii="仿宋_GB2312" w:eastAsia="仿宋_GB2312"/>
          <w:color w:val="auto"/>
          <w:sz w:val="32"/>
          <w:szCs w:val="32"/>
          <w:lang w:eastAsia="zh-CN"/>
        </w:rPr>
        <w:t>业务科室及</w:t>
      </w:r>
      <w:r>
        <w:rPr>
          <w:rFonts w:hint="eastAsia" w:ascii="仿宋_GB2312" w:eastAsia="仿宋_GB2312"/>
          <w:color w:val="auto"/>
          <w:sz w:val="32"/>
          <w:szCs w:val="32"/>
        </w:rPr>
        <w:t>财务人员结合实际经费支出情况，撰写《项目</w:t>
      </w:r>
      <w:r>
        <w:rPr>
          <w:rFonts w:ascii="仿宋_GB2312" w:eastAsia="仿宋_GB2312"/>
          <w:color w:val="auto"/>
          <w:sz w:val="32"/>
          <w:szCs w:val="32"/>
        </w:rPr>
        <w:t>支出</w:t>
      </w:r>
      <w:r>
        <w:rPr>
          <w:rFonts w:hint="eastAsia" w:ascii="仿宋_GB2312" w:eastAsia="仿宋_GB2312"/>
          <w:color w:val="auto"/>
          <w:sz w:val="32"/>
          <w:szCs w:val="32"/>
        </w:rPr>
        <w:t>绩效评价报告》。</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textAlignment w:val="auto"/>
        <w:outlineLvl w:val="9"/>
        <w:rPr>
          <w:rFonts w:ascii="黑体" w:hAnsi="黑体" w:eastAsia="黑体" w:cs="黑体"/>
          <w:color w:val="auto"/>
          <w:sz w:val="32"/>
          <w:szCs w:val="32"/>
        </w:rPr>
      </w:pPr>
      <w:r>
        <w:rPr>
          <w:rFonts w:hint="eastAsia" w:ascii="黑体" w:hAnsi="黑体" w:eastAsia="黑体" w:cs="黑体"/>
          <w:color w:val="auto"/>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textAlignment w:val="auto"/>
        <w:outlineLvl w:val="9"/>
        <w:rPr>
          <w:rFonts w:hint="eastAsia" w:ascii="仿宋_GB2312" w:hAnsi="仿宋" w:eastAsia="仿宋_GB2312"/>
          <w:color w:val="auto"/>
          <w:sz w:val="32"/>
          <w:szCs w:val="32"/>
        </w:rPr>
      </w:pPr>
      <w:r>
        <w:rPr>
          <w:rFonts w:hint="eastAsia" w:ascii="仿宋_GB2312" w:hAnsi="仿宋" w:eastAsia="仿宋_GB2312"/>
          <w:color w:val="auto"/>
          <w:sz w:val="32"/>
          <w:szCs w:val="32"/>
        </w:rPr>
        <w:t>该项目总体绩效目标比较明确，绩效指标设定基本清晰、合理；项目预算编制基本合理；财务管理制度比较健全。</w:t>
      </w:r>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textAlignment w:val="auto"/>
        <w:outlineLvl w:val="9"/>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lang w:eastAsia="zh-CN"/>
        </w:rPr>
        <w:t>综上所述</w:t>
      </w:r>
      <w:r>
        <w:rPr>
          <w:rFonts w:hint="eastAsia" w:ascii="仿宋_GB2312" w:hAnsi="仿宋" w:eastAsia="仿宋_GB2312"/>
          <w:color w:val="auto"/>
          <w:sz w:val="32"/>
          <w:szCs w:val="32"/>
        </w:rPr>
        <w:t>，该项目</w:t>
      </w:r>
      <w:r>
        <w:rPr>
          <w:rFonts w:hint="eastAsia" w:ascii="仿宋_GB2312" w:hAnsi="仿宋" w:eastAsia="仿宋_GB2312"/>
          <w:color w:val="auto"/>
          <w:sz w:val="32"/>
          <w:szCs w:val="32"/>
          <w:lang w:eastAsia="zh-CN"/>
        </w:rPr>
        <w:t>绩效评价总体分数为</w:t>
      </w:r>
      <w:r>
        <w:rPr>
          <w:rFonts w:hint="eastAsia" w:ascii="仿宋_GB2312" w:hAnsi="仿宋" w:eastAsia="仿宋_GB2312"/>
          <w:color w:val="auto"/>
          <w:sz w:val="32"/>
          <w:szCs w:val="32"/>
          <w:lang w:val="en-US" w:eastAsia="zh-CN"/>
        </w:rPr>
        <w:t>91.93分，绩效评定级别为“优”</w:t>
      </w:r>
      <w:r>
        <w:rPr>
          <w:rFonts w:hint="eastAsia" w:ascii="仿宋_GB2312" w:hAnsi="仿宋" w:eastAsia="仿宋_GB2312"/>
          <w:color w:val="auto"/>
          <w:sz w:val="32"/>
          <w:szCs w:val="32"/>
          <w:lang w:eastAsia="zh-CN"/>
        </w:rPr>
        <w:t>。具体情况详见下表:</w:t>
      </w:r>
    </w:p>
    <w:tbl>
      <w:tblPr>
        <w:tblStyle w:val="9"/>
        <w:tblW w:w="10725" w:type="dxa"/>
        <w:tblInd w:w="-1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3759"/>
        <w:gridCol w:w="1566"/>
        <w:gridCol w:w="1650"/>
        <w:gridCol w:w="169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0" w:type="dxa"/>
          </w:tcPr>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0" w:firstLineChars="0"/>
              <w:jc w:val="both"/>
              <w:textAlignment w:val="auto"/>
              <w:rPr>
                <w:rFonts w:hint="eastAsia"/>
                <w:color w:val="auto"/>
                <w:vertAlign w:val="baseline"/>
                <w:lang w:eastAsia="zh-CN"/>
              </w:rPr>
            </w:pPr>
            <w:r>
              <w:rPr>
                <w:rFonts w:hint="eastAsia"/>
                <w:color w:val="auto"/>
                <w:vertAlign w:val="baseline"/>
                <w:lang w:eastAsia="zh-CN"/>
              </w:rPr>
              <w:t>序号</w:t>
            </w:r>
          </w:p>
        </w:tc>
        <w:tc>
          <w:tcPr>
            <w:tcW w:w="3759" w:type="dxa"/>
          </w:tcPr>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0" w:firstLineChars="0"/>
              <w:textAlignment w:val="auto"/>
              <w:rPr>
                <w:rFonts w:hint="eastAsia"/>
                <w:color w:val="auto"/>
                <w:vertAlign w:val="baseline"/>
                <w:lang w:eastAsia="zh-CN"/>
              </w:rPr>
            </w:pPr>
            <w:r>
              <w:rPr>
                <w:rFonts w:hint="eastAsia"/>
                <w:color w:val="auto"/>
                <w:vertAlign w:val="baseline"/>
                <w:lang w:eastAsia="zh-CN"/>
              </w:rPr>
              <w:t>项目名称</w:t>
            </w:r>
          </w:p>
        </w:tc>
        <w:tc>
          <w:tcPr>
            <w:tcW w:w="1566" w:type="dxa"/>
          </w:tcPr>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0" w:firstLineChars="0"/>
              <w:jc w:val="center"/>
              <w:textAlignment w:val="auto"/>
              <w:rPr>
                <w:rFonts w:hint="eastAsia"/>
                <w:color w:val="auto"/>
                <w:vertAlign w:val="baseline"/>
                <w:lang w:eastAsia="zh-CN"/>
              </w:rPr>
            </w:pPr>
            <w:r>
              <w:rPr>
                <w:rFonts w:hint="eastAsia"/>
                <w:color w:val="auto"/>
                <w:vertAlign w:val="baseline"/>
                <w:lang w:eastAsia="zh-CN"/>
              </w:rPr>
              <w:t>承接单位</w:t>
            </w:r>
          </w:p>
        </w:tc>
        <w:tc>
          <w:tcPr>
            <w:tcW w:w="1650" w:type="dxa"/>
          </w:tcPr>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0" w:firstLineChars="0"/>
              <w:jc w:val="center"/>
              <w:textAlignment w:val="auto"/>
              <w:rPr>
                <w:rFonts w:hint="eastAsia"/>
                <w:color w:val="auto"/>
                <w:vertAlign w:val="baseline"/>
                <w:lang w:eastAsia="zh-CN"/>
              </w:rPr>
            </w:pPr>
            <w:r>
              <w:rPr>
                <w:rFonts w:hint="eastAsia"/>
                <w:color w:val="auto"/>
                <w:vertAlign w:val="baseline"/>
                <w:lang w:eastAsia="zh-CN"/>
              </w:rPr>
              <w:t>中期分数</w:t>
            </w:r>
          </w:p>
        </w:tc>
        <w:tc>
          <w:tcPr>
            <w:tcW w:w="1695" w:type="dxa"/>
          </w:tcPr>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0" w:firstLineChars="0"/>
              <w:textAlignment w:val="auto"/>
              <w:rPr>
                <w:rFonts w:hint="eastAsia"/>
                <w:color w:val="auto"/>
                <w:vertAlign w:val="baseline"/>
                <w:lang w:eastAsia="zh-CN"/>
              </w:rPr>
            </w:pPr>
            <w:r>
              <w:rPr>
                <w:rFonts w:hint="eastAsia"/>
                <w:color w:val="auto"/>
                <w:vertAlign w:val="baseline"/>
                <w:lang w:eastAsia="zh-CN"/>
              </w:rPr>
              <w:t>末期分数</w:t>
            </w:r>
          </w:p>
        </w:tc>
        <w:tc>
          <w:tcPr>
            <w:tcW w:w="1275" w:type="dxa"/>
          </w:tcPr>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0" w:firstLineChars="0"/>
              <w:textAlignment w:val="auto"/>
              <w:rPr>
                <w:rFonts w:hint="eastAsia"/>
                <w:color w:val="auto"/>
                <w:vertAlign w:val="baseline"/>
                <w:lang w:eastAsia="zh-CN"/>
              </w:rPr>
            </w:pPr>
            <w:r>
              <w:rPr>
                <w:rFonts w:hint="eastAsia"/>
                <w:color w:val="auto"/>
                <w:vertAlign w:val="baseline"/>
                <w:lang w:eastAsia="zh-CN"/>
              </w:rPr>
              <w:t>评估等级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0" w:type="dxa"/>
          </w:tcPr>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320" w:firstLineChars="100"/>
              <w:jc w:val="both"/>
              <w:textAlignment w:val="auto"/>
              <w:rPr>
                <w:rFonts w:hint="eastAsia"/>
                <w:color w:val="auto"/>
                <w:vertAlign w:val="baseline"/>
                <w:lang w:val="en-US" w:eastAsia="zh-CN"/>
              </w:rPr>
            </w:pPr>
            <w:r>
              <w:rPr>
                <w:rFonts w:hint="eastAsia"/>
                <w:color w:val="auto"/>
                <w:vertAlign w:val="baseline"/>
                <w:lang w:val="en-US" w:eastAsia="zh-CN"/>
              </w:rPr>
              <w:t>1</w:t>
            </w:r>
          </w:p>
        </w:tc>
        <w:tc>
          <w:tcPr>
            <w:tcW w:w="3759" w:type="dxa"/>
          </w:tcPr>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0" w:firstLineChars="0"/>
              <w:textAlignment w:val="auto"/>
              <w:rPr>
                <w:rFonts w:hint="eastAsia"/>
                <w:color w:val="auto"/>
                <w:lang w:eastAsia="zh-CN"/>
              </w:rPr>
            </w:pPr>
            <w:r>
              <w:rPr>
                <w:rFonts w:hint="eastAsia"/>
                <w:color w:val="auto"/>
                <w:lang w:eastAsia="zh-CN"/>
              </w:rPr>
              <w:t>202</w:t>
            </w:r>
            <w:r>
              <w:rPr>
                <w:rFonts w:hint="eastAsia"/>
                <w:color w:val="auto"/>
                <w:lang w:val="en-US" w:eastAsia="zh-CN"/>
              </w:rPr>
              <w:t>4</w:t>
            </w:r>
            <w:r>
              <w:rPr>
                <w:rFonts w:hint="eastAsia"/>
                <w:color w:val="auto"/>
                <w:lang w:eastAsia="zh-CN"/>
              </w:rPr>
              <w:t>年团结湖街道社会组织培育孵化中心项目</w:t>
            </w:r>
          </w:p>
        </w:tc>
        <w:tc>
          <w:tcPr>
            <w:tcW w:w="1566" w:type="dxa"/>
          </w:tcPr>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0" w:firstLineChars="0"/>
              <w:jc w:val="both"/>
              <w:textAlignment w:val="auto"/>
              <w:rPr>
                <w:rFonts w:hint="eastAsia"/>
                <w:color w:val="auto"/>
                <w:vertAlign w:val="baseline"/>
                <w:lang w:val="en-US" w:eastAsia="zh-CN"/>
              </w:rPr>
            </w:pPr>
            <w:r>
              <w:rPr>
                <w:rFonts w:hint="eastAsia"/>
                <w:color w:val="auto"/>
                <w:vertAlign w:val="baseline"/>
                <w:lang w:val="en-US" w:eastAsia="zh-CN"/>
              </w:rPr>
              <w:t>团结湖街道社会组织联合会</w:t>
            </w:r>
          </w:p>
        </w:tc>
        <w:tc>
          <w:tcPr>
            <w:tcW w:w="1650" w:type="dxa"/>
          </w:tcPr>
          <w:p>
            <w:pPr>
              <w:pStyle w:val="2"/>
              <w:keepNext w:val="0"/>
              <w:keepLines w:val="0"/>
              <w:pageBreakBefore w:val="0"/>
              <w:widowControl w:val="0"/>
              <w:kinsoku/>
              <w:wordWrap/>
              <w:overflowPunct/>
              <w:topLinePunct w:val="0"/>
              <w:autoSpaceDE/>
              <w:autoSpaceDN/>
              <w:bidi w:val="0"/>
              <w:adjustRightInd/>
              <w:spacing w:before="0" w:line="600" w:lineRule="exact"/>
              <w:ind w:right="0" w:rightChars="0"/>
              <w:jc w:val="both"/>
              <w:textAlignment w:val="auto"/>
              <w:rPr>
                <w:rFonts w:hint="eastAsia"/>
                <w:color w:val="auto"/>
                <w:vertAlign w:val="baseline"/>
                <w:lang w:val="en-US" w:eastAsia="zh-CN"/>
              </w:rPr>
            </w:pPr>
            <w:r>
              <w:rPr>
                <w:rFonts w:hint="eastAsia"/>
                <w:color w:val="auto"/>
                <w:vertAlign w:val="baseline"/>
                <w:lang w:val="en-US" w:eastAsia="zh-CN"/>
              </w:rPr>
              <w:t>85.87</w:t>
            </w:r>
          </w:p>
        </w:tc>
        <w:tc>
          <w:tcPr>
            <w:tcW w:w="1695" w:type="dxa"/>
          </w:tcPr>
          <w:p>
            <w:pPr>
              <w:pStyle w:val="2"/>
              <w:keepNext w:val="0"/>
              <w:keepLines w:val="0"/>
              <w:pageBreakBefore w:val="0"/>
              <w:widowControl w:val="0"/>
              <w:kinsoku/>
              <w:wordWrap/>
              <w:overflowPunct/>
              <w:topLinePunct w:val="0"/>
              <w:autoSpaceDE/>
              <w:autoSpaceDN/>
              <w:bidi w:val="0"/>
              <w:adjustRightInd/>
              <w:spacing w:before="0" w:line="600" w:lineRule="exact"/>
              <w:ind w:right="0" w:rightChars="0"/>
              <w:jc w:val="both"/>
              <w:textAlignment w:val="auto"/>
              <w:rPr>
                <w:rFonts w:hint="eastAsia"/>
                <w:color w:val="auto"/>
                <w:vertAlign w:val="baseline"/>
                <w:lang w:val="en-US" w:eastAsia="zh-CN"/>
              </w:rPr>
            </w:pPr>
            <w:r>
              <w:rPr>
                <w:rFonts w:hint="eastAsia"/>
                <w:color w:val="auto"/>
                <w:vertAlign w:val="baseline"/>
                <w:lang w:val="en-US" w:eastAsia="zh-CN"/>
              </w:rPr>
              <w:t>91.93</w:t>
            </w:r>
          </w:p>
        </w:tc>
        <w:tc>
          <w:tcPr>
            <w:tcW w:w="1275" w:type="dxa"/>
          </w:tcPr>
          <w:p>
            <w:pPr>
              <w:pStyle w:val="2"/>
              <w:keepNext w:val="0"/>
              <w:keepLines w:val="0"/>
              <w:pageBreakBefore w:val="0"/>
              <w:widowControl w:val="0"/>
              <w:kinsoku/>
              <w:wordWrap/>
              <w:overflowPunct/>
              <w:topLinePunct w:val="0"/>
              <w:autoSpaceDE/>
              <w:autoSpaceDN/>
              <w:bidi w:val="0"/>
              <w:adjustRightInd/>
              <w:spacing w:before="0" w:line="600" w:lineRule="exact"/>
              <w:ind w:right="0" w:rightChars="0"/>
              <w:jc w:val="both"/>
              <w:textAlignment w:val="auto"/>
              <w:rPr>
                <w:rFonts w:hint="eastAsia"/>
                <w:color w:val="auto"/>
                <w:vertAlign w:val="baseline"/>
                <w:lang w:eastAsia="zh-CN"/>
              </w:rPr>
            </w:pPr>
            <w:r>
              <w:rPr>
                <w:rFonts w:hint="eastAsia"/>
                <w:color w:val="auto"/>
                <w:vertAlign w:val="baseline"/>
                <w:lang w:eastAsia="zh-CN"/>
              </w:rPr>
              <w:t>优</w:t>
            </w:r>
          </w:p>
        </w:tc>
      </w:tr>
    </w:tbl>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针对前期调研需求，运用讲座、案例研讨、现场指导等各种形式，开展各类主题的能力提升培训。针对72支活跃组织提供规范化管理、结构优化、品牌宣传等方面的培育与督导；对62支一般活跃的社会组织，着重引导和推动自主开展居民服务活动；对42支不活跃的社会组织进行走访、梳理，加大动员和激励机制，推动参与到社区活动中。目前备案169支社区社会组织，其中30余支重点社区社会组织，包括19支品牌，3支精品，1支优选。</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ascii="黑体" w:hAnsi="黑体" w:eastAsia="黑体" w:cs="黑体"/>
          <w:color w:val="auto"/>
          <w:sz w:val="32"/>
          <w:szCs w:val="32"/>
        </w:rPr>
      </w:pPr>
      <w:r>
        <w:rPr>
          <w:rFonts w:hint="eastAsia" w:ascii="黑体" w:hAnsi="黑体" w:eastAsia="黑体" w:cs="黑体"/>
          <w:color w:val="auto"/>
          <w:sz w:val="32"/>
          <w:szCs w:val="32"/>
        </w:rPr>
        <w:t>四、绩效评价指标分析</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outlineLvl w:val="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（一）项目决策情况。</w:t>
      </w:r>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jc w:val="both"/>
        <w:textAlignment w:val="auto"/>
        <w:rPr>
          <w:rFonts w:ascii="仿宋_GB2312" w:eastAsia="仿宋_GB2312"/>
          <w:bCs/>
          <w:color w:val="auto"/>
          <w:sz w:val="32"/>
          <w:szCs w:val="32"/>
        </w:rPr>
      </w:pPr>
      <w:bookmarkStart w:id="0" w:name="_Toc462125903"/>
      <w:bookmarkStart w:id="1" w:name="_Toc40971717"/>
      <w:r>
        <w:rPr>
          <w:rFonts w:hint="eastAsia" w:ascii="仿宋_GB2312" w:eastAsia="仿宋_GB2312"/>
          <w:bCs/>
          <w:color w:val="auto"/>
          <w:sz w:val="32"/>
          <w:szCs w:val="32"/>
        </w:rPr>
        <w:t>1.目标明确性分析</w:t>
      </w:r>
      <w:bookmarkEnd w:id="0"/>
      <w:bookmarkEnd w:id="1"/>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jc w:val="both"/>
        <w:textAlignment w:val="auto"/>
        <w:rPr>
          <w:rFonts w:ascii="仿宋_GB2312" w:hAnsi="宋体" w:eastAsia="仿宋_GB2312"/>
          <w:color w:val="auto"/>
          <w:sz w:val="32"/>
          <w:szCs w:val="32"/>
        </w:rPr>
      </w:pPr>
      <w:bookmarkStart w:id="2" w:name="_Toc40971718"/>
      <w:r>
        <w:rPr>
          <w:rFonts w:hint="eastAsia" w:ascii="仿宋_GB2312" w:eastAsia="仿宋_GB2312"/>
          <w:bCs/>
          <w:color w:val="auto"/>
          <w:sz w:val="32"/>
          <w:szCs w:val="32"/>
        </w:rPr>
        <w:t>项目</w:t>
      </w:r>
      <w:r>
        <w:rPr>
          <w:rFonts w:hint="eastAsia" w:ascii="仿宋_GB2312" w:hAnsi="宋体" w:eastAsia="仿宋_GB2312"/>
          <w:bCs/>
          <w:color w:val="auto"/>
          <w:sz w:val="32"/>
          <w:szCs w:val="32"/>
        </w:rPr>
        <w:t>绩效目标基本科学、清晰，能够明确反应目标。</w:t>
      </w:r>
      <w:bookmarkEnd w:id="2"/>
      <w:r>
        <w:rPr>
          <w:rFonts w:hint="eastAsia" w:ascii="仿宋_GB2312" w:hAnsi="宋体"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jc w:val="both"/>
        <w:textAlignment w:val="auto"/>
        <w:rPr>
          <w:rFonts w:ascii="仿宋_GB2312" w:eastAsia="仿宋_GB2312"/>
          <w:bCs/>
          <w:color w:val="auto"/>
          <w:sz w:val="32"/>
          <w:szCs w:val="32"/>
        </w:rPr>
      </w:pPr>
      <w:bookmarkStart w:id="3" w:name="_Toc40971719"/>
      <w:bookmarkStart w:id="4" w:name="_Toc462125904"/>
      <w:r>
        <w:rPr>
          <w:rFonts w:hint="eastAsia" w:ascii="仿宋_GB2312" w:eastAsia="仿宋_GB2312"/>
          <w:bCs/>
          <w:color w:val="auto"/>
          <w:sz w:val="32"/>
          <w:szCs w:val="32"/>
        </w:rPr>
        <w:t>2.目标合理性分析</w:t>
      </w:r>
      <w:bookmarkEnd w:id="3"/>
      <w:bookmarkEnd w:id="4"/>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jc w:val="both"/>
        <w:textAlignment w:val="auto"/>
        <w:rPr>
          <w:rFonts w:ascii="仿宋_GB2312" w:eastAsia="仿宋_GB2312"/>
          <w:bCs/>
          <w:color w:val="auto"/>
          <w:sz w:val="32"/>
          <w:szCs w:val="32"/>
        </w:rPr>
      </w:pPr>
      <w:bookmarkStart w:id="5" w:name="_Toc40971720"/>
      <w:r>
        <w:rPr>
          <w:rFonts w:hint="eastAsia" w:ascii="仿宋_GB2312" w:eastAsia="仿宋_GB2312"/>
          <w:bCs/>
          <w:color w:val="auto"/>
          <w:sz w:val="32"/>
          <w:szCs w:val="32"/>
        </w:rPr>
        <w:t>项目目标制定较为合理。符合国家法律法规，符合</w:t>
      </w:r>
      <w:r>
        <w:rPr>
          <w:rFonts w:hint="eastAsia" w:ascii="仿宋_GB2312" w:eastAsia="仿宋_GB2312"/>
          <w:bCs/>
          <w:color w:val="auto"/>
          <w:sz w:val="32"/>
          <w:szCs w:val="32"/>
          <w:lang w:eastAsia="zh-CN"/>
        </w:rPr>
        <w:t>团结湖街道办事处</w:t>
      </w:r>
      <w:r>
        <w:rPr>
          <w:rFonts w:hint="eastAsia" w:ascii="仿宋_GB2312" w:eastAsia="仿宋_GB2312"/>
          <w:bCs/>
          <w:color w:val="auto"/>
          <w:sz w:val="32"/>
          <w:szCs w:val="32"/>
        </w:rPr>
        <w:t>的职能要求。</w:t>
      </w:r>
      <w:bookmarkEnd w:id="5"/>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jc w:val="both"/>
        <w:textAlignment w:val="auto"/>
        <w:rPr>
          <w:rFonts w:ascii="仿宋_GB2312" w:eastAsia="仿宋_GB2312"/>
          <w:bCs/>
          <w:color w:val="auto"/>
          <w:sz w:val="32"/>
          <w:szCs w:val="32"/>
        </w:rPr>
      </w:pPr>
      <w:bookmarkStart w:id="6" w:name="_Toc40971721"/>
      <w:bookmarkStart w:id="7" w:name="_Toc462125905"/>
      <w:r>
        <w:rPr>
          <w:rFonts w:hint="eastAsia" w:ascii="仿宋_GB2312" w:eastAsia="仿宋_GB2312"/>
          <w:bCs/>
          <w:color w:val="auto"/>
          <w:sz w:val="32"/>
          <w:szCs w:val="32"/>
        </w:rPr>
        <w:t>3.目标细化程度分析</w:t>
      </w:r>
      <w:bookmarkEnd w:id="6"/>
      <w:bookmarkEnd w:id="7"/>
    </w:p>
    <w:p>
      <w:pPr>
        <w:keepNext w:val="0"/>
        <w:keepLines w:val="0"/>
        <w:pageBreakBefore w:val="0"/>
        <w:widowControl w:val="0"/>
        <w:kinsoku/>
        <w:wordWrap/>
        <w:overflowPunct/>
        <w:topLinePunct w:val="0"/>
        <w:autoSpaceDE/>
        <w:autoSpaceDN/>
        <w:bidi w:val="0"/>
        <w:adjustRightInd/>
        <w:snapToGrid w:val="0"/>
        <w:spacing w:line="600" w:lineRule="exact"/>
        <w:ind w:right="0" w:rightChars="0" w:firstLine="640"/>
        <w:jc w:val="both"/>
        <w:textAlignment w:val="auto"/>
        <w:rPr>
          <w:color w:val="auto"/>
        </w:rPr>
      </w:pPr>
      <w:bookmarkStart w:id="8" w:name="_Toc40971722"/>
      <w:r>
        <w:rPr>
          <w:rFonts w:hint="eastAsia" w:ascii="仿宋_GB2312" w:eastAsia="仿宋_GB2312"/>
          <w:bCs/>
          <w:color w:val="auto"/>
          <w:sz w:val="32"/>
          <w:szCs w:val="32"/>
        </w:rPr>
        <w:t>依据项目内容，从项目产出数量、质量、社会效益等方面设定了具体指标，目标细化程度基本符合项目内容。</w:t>
      </w:r>
      <w:bookmarkEnd w:id="8"/>
    </w:p>
    <w:p>
      <w:pPr>
        <w:keepNext w:val="0"/>
        <w:keepLines w:val="0"/>
        <w:pageBreakBefore w:val="0"/>
        <w:widowControl w:val="0"/>
        <w:numPr>
          <w:ilvl w:val="0"/>
          <w:numId w:val="5"/>
        </w:numPr>
        <w:kinsoku/>
        <w:wordWrap/>
        <w:overflowPunct/>
        <w:topLinePunct w:val="0"/>
        <w:autoSpaceDE/>
        <w:autoSpaceDN/>
        <w:bidi w:val="0"/>
        <w:adjustRightInd/>
        <w:spacing w:line="600" w:lineRule="exact"/>
        <w:ind w:right="0" w:rightChars="0" w:firstLine="640" w:firstLineChars="200"/>
        <w:jc w:val="both"/>
        <w:textAlignment w:val="auto"/>
        <w:outlineLvl w:val="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项目过程情况。</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color w:val="auto"/>
        </w:rPr>
      </w:pPr>
      <w:r>
        <w:rPr>
          <w:rFonts w:hint="eastAsia" w:eastAsia="仿宋_GB2312"/>
          <w:color w:val="auto"/>
          <w:kern w:val="0"/>
          <w:sz w:val="32"/>
          <w:szCs w:val="32"/>
        </w:rPr>
        <w:t>项目202</w:t>
      </w:r>
      <w:r>
        <w:rPr>
          <w:rFonts w:hint="eastAsia" w:eastAsia="仿宋_GB2312"/>
          <w:color w:val="auto"/>
          <w:kern w:val="0"/>
          <w:sz w:val="32"/>
          <w:szCs w:val="32"/>
          <w:lang w:val="en-US" w:eastAsia="zh-CN"/>
        </w:rPr>
        <w:t>4</w:t>
      </w:r>
      <w:r>
        <w:rPr>
          <w:rFonts w:hint="eastAsia" w:eastAsia="仿宋_GB2312"/>
          <w:color w:val="auto"/>
          <w:kern w:val="0"/>
          <w:sz w:val="32"/>
          <w:szCs w:val="32"/>
        </w:rPr>
        <w:t>年批复预算</w:t>
      </w:r>
      <w:r>
        <w:rPr>
          <w:rFonts w:hint="eastAsia" w:eastAsia="仿宋_GB2312"/>
          <w:color w:val="auto"/>
          <w:kern w:val="0"/>
          <w:sz w:val="32"/>
          <w:szCs w:val="32"/>
          <w:lang w:val="en-US" w:eastAsia="zh-CN"/>
        </w:rPr>
        <w:t>10</w:t>
      </w:r>
      <w:r>
        <w:rPr>
          <w:rFonts w:hint="eastAsia" w:eastAsia="仿宋_GB2312"/>
          <w:color w:val="auto"/>
          <w:kern w:val="0"/>
          <w:sz w:val="32"/>
          <w:szCs w:val="32"/>
        </w:rPr>
        <w:t>万元，实际到位资金</w:t>
      </w:r>
      <w:r>
        <w:rPr>
          <w:rFonts w:hint="eastAsia" w:eastAsia="仿宋_GB2312"/>
          <w:color w:val="auto"/>
          <w:kern w:val="0"/>
          <w:sz w:val="32"/>
          <w:szCs w:val="32"/>
          <w:lang w:val="en-US" w:eastAsia="zh-CN"/>
        </w:rPr>
        <w:t>10</w:t>
      </w:r>
      <w:r>
        <w:rPr>
          <w:rFonts w:hint="eastAsia" w:eastAsia="仿宋_GB2312"/>
          <w:color w:val="auto"/>
          <w:kern w:val="0"/>
          <w:sz w:val="32"/>
          <w:szCs w:val="32"/>
        </w:rPr>
        <w:t>万元。截至202</w:t>
      </w:r>
      <w:r>
        <w:rPr>
          <w:rFonts w:hint="eastAsia" w:eastAsia="仿宋_GB2312"/>
          <w:color w:val="auto"/>
          <w:kern w:val="0"/>
          <w:sz w:val="32"/>
          <w:szCs w:val="32"/>
          <w:lang w:val="en-US" w:eastAsia="zh-CN"/>
        </w:rPr>
        <w:t>4</w:t>
      </w:r>
      <w:r>
        <w:rPr>
          <w:rFonts w:hint="eastAsia" w:eastAsia="仿宋_GB2312"/>
          <w:color w:val="auto"/>
          <w:kern w:val="0"/>
          <w:sz w:val="32"/>
          <w:szCs w:val="32"/>
        </w:rPr>
        <w:t>年12月31日，该项目实际支出</w:t>
      </w:r>
      <w:r>
        <w:rPr>
          <w:rFonts w:hint="eastAsia" w:eastAsia="仿宋_GB2312"/>
          <w:color w:val="auto"/>
          <w:kern w:val="0"/>
          <w:sz w:val="32"/>
          <w:szCs w:val="32"/>
          <w:lang w:val="en-US" w:eastAsia="zh-CN"/>
        </w:rPr>
        <w:t>10</w:t>
      </w:r>
      <w:r>
        <w:rPr>
          <w:rFonts w:hint="eastAsia" w:eastAsia="仿宋_GB2312"/>
          <w:color w:val="auto"/>
          <w:kern w:val="0"/>
          <w:sz w:val="32"/>
          <w:szCs w:val="32"/>
        </w:rPr>
        <w:t>万元，无结余，预算执行率为100.00%。该项目在组织管理上，符合财政项目管理规定。</w:t>
      </w:r>
    </w:p>
    <w:p>
      <w:pPr>
        <w:keepNext w:val="0"/>
        <w:keepLines w:val="0"/>
        <w:pageBreakBefore w:val="0"/>
        <w:widowControl w:val="0"/>
        <w:numPr>
          <w:ilvl w:val="0"/>
          <w:numId w:val="5"/>
        </w:numPr>
        <w:kinsoku/>
        <w:wordWrap/>
        <w:overflowPunct/>
        <w:topLinePunct w:val="0"/>
        <w:autoSpaceDE/>
        <w:autoSpaceDN/>
        <w:bidi w:val="0"/>
        <w:adjustRightInd/>
        <w:spacing w:line="600" w:lineRule="exact"/>
        <w:ind w:right="0" w:rightChars="0" w:firstLine="640" w:firstLineChars="200"/>
        <w:jc w:val="both"/>
        <w:textAlignment w:val="auto"/>
        <w:outlineLvl w:val="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项目产出情况。</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hint="eastAsia" w:eastAsia="仿宋_GB2312"/>
          <w:color w:val="auto"/>
          <w:kern w:val="0"/>
          <w:sz w:val="32"/>
          <w:szCs w:val="32"/>
        </w:rPr>
      </w:pPr>
      <w:r>
        <w:rPr>
          <w:rFonts w:hint="eastAsia" w:eastAsia="仿宋_GB2312"/>
          <w:color w:val="auto"/>
          <w:kern w:val="0"/>
          <w:sz w:val="32"/>
          <w:szCs w:val="32"/>
        </w:rPr>
        <w:t>该项目计划于202</w:t>
      </w:r>
      <w:r>
        <w:rPr>
          <w:rFonts w:hint="eastAsia" w:eastAsia="仿宋_GB2312"/>
          <w:color w:val="auto"/>
          <w:kern w:val="0"/>
          <w:sz w:val="32"/>
          <w:szCs w:val="32"/>
          <w:lang w:val="en-US" w:eastAsia="zh-CN"/>
        </w:rPr>
        <w:t>4</w:t>
      </w:r>
      <w:r>
        <w:rPr>
          <w:rFonts w:hint="eastAsia" w:eastAsia="仿宋_GB2312"/>
          <w:color w:val="auto"/>
          <w:kern w:val="0"/>
          <w:sz w:val="32"/>
          <w:szCs w:val="32"/>
        </w:rPr>
        <w:t>年12月完成。实际于日期202</w:t>
      </w:r>
      <w:r>
        <w:rPr>
          <w:rFonts w:hint="eastAsia" w:eastAsia="仿宋_GB2312"/>
          <w:color w:val="auto"/>
          <w:kern w:val="0"/>
          <w:sz w:val="32"/>
          <w:szCs w:val="32"/>
          <w:lang w:val="en-US" w:eastAsia="zh-CN"/>
        </w:rPr>
        <w:t>4年</w:t>
      </w:r>
      <w:r>
        <w:rPr>
          <w:rFonts w:hint="eastAsia" w:eastAsia="仿宋_GB2312"/>
          <w:color w:val="auto"/>
          <w:kern w:val="0"/>
          <w:sz w:val="32"/>
          <w:szCs w:val="32"/>
        </w:rPr>
        <w:t>1</w:t>
      </w:r>
      <w:r>
        <w:rPr>
          <w:rFonts w:hint="eastAsia" w:eastAsia="仿宋_GB2312"/>
          <w:color w:val="auto"/>
          <w:kern w:val="0"/>
          <w:sz w:val="32"/>
          <w:szCs w:val="32"/>
          <w:lang w:val="en-US" w:eastAsia="zh-CN"/>
        </w:rPr>
        <w:t>0</w:t>
      </w:r>
      <w:r>
        <w:rPr>
          <w:rFonts w:hint="eastAsia" w:eastAsia="仿宋_GB2312"/>
          <w:color w:val="auto"/>
          <w:kern w:val="0"/>
          <w:sz w:val="32"/>
          <w:szCs w:val="32"/>
        </w:rPr>
        <w:t>月31日前完成。</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hint="eastAsia" w:eastAsia="仿宋_GB2312"/>
          <w:color w:val="auto"/>
          <w:kern w:val="0"/>
          <w:sz w:val="32"/>
          <w:szCs w:val="32"/>
          <w:lang w:val="en-US" w:eastAsia="zh-CN"/>
        </w:rPr>
      </w:pPr>
      <w:r>
        <w:rPr>
          <w:rFonts w:hint="eastAsia" w:eastAsia="仿宋_GB2312"/>
          <w:color w:val="auto"/>
          <w:kern w:val="0"/>
          <w:sz w:val="32"/>
          <w:szCs w:val="32"/>
        </w:rPr>
        <w:t>202</w:t>
      </w:r>
      <w:r>
        <w:rPr>
          <w:rFonts w:hint="eastAsia" w:eastAsia="仿宋_GB2312"/>
          <w:color w:val="auto"/>
          <w:kern w:val="0"/>
          <w:sz w:val="32"/>
          <w:szCs w:val="32"/>
          <w:lang w:val="en-US" w:eastAsia="zh-CN"/>
        </w:rPr>
        <w:t>4</w:t>
      </w:r>
      <w:r>
        <w:rPr>
          <w:rFonts w:hint="eastAsia" w:eastAsia="仿宋_GB2312"/>
          <w:color w:val="auto"/>
          <w:kern w:val="0"/>
          <w:sz w:val="32"/>
          <w:szCs w:val="32"/>
        </w:rPr>
        <w:t>年，该项目实施内容主要是采取“社工+社区+督导”服务模式，通过培训等手段，辅助社区社会组织完成定位和持续发展，发挥社区社会组织在基层社会治理中的积极作用。</w:t>
      </w:r>
      <w:r>
        <w:rPr>
          <w:rFonts w:hint="eastAsia" w:eastAsia="仿宋_GB2312"/>
          <w:color w:val="auto"/>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color w:val="auto"/>
        </w:rPr>
      </w:pPr>
      <w:r>
        <w:rPr>
          <w:rFonts w:hint="eastAsia" w:eastAsia="仿宋_GB2312"/>
          <w:color w:val="auto"/>
          <w:kern w:val="0"/>
          <w:sz w:val="32"/>
          <w:szCs w:val="32"/>
        </w:rPr>
        <w:t>评价分析认为：实施部门已按照年初设定的绩效目标完成了项目实施。</w:t>
      </w:r>
    </w:p>
    <w:p>
      <w:pPr>
        <w:keepNext w:val="0"/>
        <w:keepLines w:val="0"/>
        <w:pageBreakBefore w:val="0"/>
        <w:widowControl w:val="0"/>
        <w:numPr>
          <w:ilvl w:val="0"/>
          <w:numId w:val="5"/>
        </w:numPr>
        <w:kinsoku/>
        <w:wordWrap/>
        <w:overflowPunct/>
        <w:topLinePunct w:val="0"/>
        <w:autoSpaceDE/>
        <w:autoSpaceDN/>
        <w:bidi w:val="0"/>
        <w:adjustRightInd/>
        <w:spacing w:line="600" w:lineRule="exact"/>
        <w:ind w:right="0" w:rightChars="0" w:firstLine="640" w:firstLineChars="200"/>
        <w:jc w:val="both"/>
        <w:textAlignment w:val="auto"/>
        <w:outlineLvl w:val="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项目效益情况。</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hint="eastAsia" w:eastAsia="仿宋_GB2312"/>
          <w:color w:val="auto"/>
          <w:kern w:val="0"/>
          <w:sz w:val="32"/>
          <w:szCs w:val="32"/>
          <w:lang w:eastAsia="zh-CN"/>
        </w:rPr>
      </w:pPr>
      <w:r>
        <w:rPr>
          <w:rFonts w:hint="eastAsia" w:eastAsia="仿宋_GB2312"/>
          <w:color w:val="auto"/>
          <w:kern w:val="0"/>
          <w:sz w:val="32"/>
          <w:szCs w:val="32"/>
          <w:lang w:eastAsia="zh-CN"/>
        </w:rPr>
        <w:t>1.项目实施对社会的影响</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hint="eastAsia" w:eastAsia="仿宋_GB2312"/>
          <w:color w:val="auto"/>
          <w:kern w:val="0"/>
          <w:sz w:val="32"/>
          <w:szCs w:val="32"/>
          <w:lang w:eastAsia="zh-CN"/>
        </w:rPr>
      </w:pPr>
      <w:r>
        <w:rPr>
          <w:rFonts w:hint="eastAsia" w:eastAsia="仿宋_GB2312"/>
          <w:color w:val="auto"/>
          <w:kern w:val="0"/>
          <w:sz w:val="32"/>
          <w:szCs w:val="32"/>
          <w:lang w:eastAsia="zh-CN"/>
        </w:rPr>
        <w:t>通过该项目的实施，通过第三方公司发挥作用，通过开展系列培训和活动，辅助社区完成各项日常工作，充分发挥了社区社会组织在基层治理中的积极正向作用，提高了社区的整体工作效率。</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eastAsia="仿宋_GB2312"/>
          <w:color w:val="auto"/>
          <w:kern w:val="0"/>
          <w:sz w:val="32"/>
          <w:szCs w:val="32"/>
        </w:rPr>
      </w:pPr>
      <w:r>
        <w:rPr>
          <w:rFonts w:hint="eastAsia" w:eastAsia="仿宋_GB2312"/>
          <w:color w:val="auto"/>
          <w:kern w:val="0"/>
          <w:sz w:val="32"/>
          <w:szCs w:val="32"/>
        </w:rPr>
        <w:t>2</w:t>
      </w:r>
      <w:r>
        <w:rPr>
          <w:rFonts w:eastAsia="仿宋_GB2312"/>
          <w:color w:val="auto"/>
          <w:kern w:val="0"/>
          <w:sz w:val="32"/>
          <w:szCs w:val="32"/>
        </w:rPr>
        <w:t>.项目实施的可持续影响</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eastAsia="仿宋_GB2312"/>
          <w:color w:val="auto"/>
          <w:kern w:val="0"/>
          <w:sz w:val="32"/>
          <w:szCs w:val="32"/>
        </w:rPr>
      </w:pPr>
      <w:r>
        <w:rPr>
          <w:rFonts w:eastAsia="仿宋_GB2312"/>
          <w:color w:val="auto"/>
          <w:kern w:val="0"/>
          <w:sz w:val="32"/>
          <w:szCs w:val="32"/>
        </w:rPr>
        <w:t>通过</w:t>
      </w:r>
      <w:r>
        <w:rPr>
          <w:rFonts w:hint="eastAsia" w:eastAsia="仿宋_GB2312"/>
          <w:color w:val="auto"/>
          <w:kern w:val="0"/>
          <w:sz w:val="32"/>
          <w:szCs w:val="32"/>
        </w:rPr>
        <w:t>该</w:t>
      </w:r>
      <w:r>
        <w:rPr>
          <w:rFonts w:eastAsia="仿宋_GB2312"/>
          <w:color w:val="auto"/>
          <w:kern w:val="0"/>
          <w:sz w:val="32"/>
          <w:szCs w:val="32"/>
        </w:rPr>
        <w:t>项目的实施，进一步提升</w:t>
      </w:r>
      <w:r>
        <w:rPr>
          <w:rFonts w:hint="eastAsia" w:eastAsia="仿宋_GB2312"/>
          <w:color w:val="auto"/>
          <w:kern w:val="0"/>
          <w:sz w:val="32"/>
          <w:szCs w:val="32"/>
        </w:rPr>
        <w:t>了</w:t>
      </w:r>
      <w:r>
        <w:rPr>
          <w:rFonts w:hint="eastAsia" w:eastAsia="仿宋_GB2312"/>
          <w:color w:val="auto"/>
          <w:kern w:val="0"/>
          <w:sz w:val="32"/>
          <w:szCs w:val="32"/>
          <w:lang w:eastAsia="zh-CN"/>
        </w:rPr>
        <w:t>社区工作</w:t>
      </w:r>
      <w:r>
        <w:rPr>
          <w:rFonts w:eastAsia="仿宋_GB2312"/>
          <w:color w:val="auto"/>
          <w:kern w:val="0"/>
          <w:sz w:val="32"/>
          <w:szCs w:val="32"/>
        </w:rPr>
        <w:t>的稳定性和可持续服务能力，充分发挥</w:t>
      </w:r>
      <w:r>
        <w:rPr>
          <w:rFonts w:hint="eastAsia" w:eastAsia="仿宋_GB2312"/>
          <w:color w:val="auto"/>
          <w:kern w:val="0"/>
          <w:sz w:val="32"/>
          <w:szCs w:val="32"/>
        </w:rPr>
        <w:t>了</w:t>
      </w:r>
      <w:r>
        <w:rPr>
          <w:rFonts w:hint="eastAsia" w:eastAsia="仿宋_GB2312"/>
          <w:color w:val="auto"/>
          <w:kern w:val="0"/>
          <w:sz w:val="32"/>
          <w:szCs w:val="32"/>
          <w:lang w:eastAsia="zh-CN"/>
        </w:rPr>
        <w:t>三方组织开展各项活动</w:t>
      </w:r>
      <w:r>
        <w:rPr>
          <w:rFonts w:eastAsia="仿宋_GB2312"/>
          <w:color w:val="auto"/>
          <w:kern w:val="0"/>
          <w:sz w:val="32"/>
          <w:szCs w:val="32"/>
        </w:rPr>
        <w:t>的优越性，有效提升了</w:t>
      </w:r>
      <w:r>
        <w:rPr>
          <w:rFonts w:hint="eastAsia" w:eastAsia="仿宋_GB2312"/>
          <w:color w:val="auto"/>
          <w:kern w:val="0"/>
          <w:sz w:val="32"/>
          <w:szCs w:val="32"/>
          <w:lang w:eastAsia="zh-CN"/>
        </w:rPr>
        <w:t>工作效能</w:t>
      </w:r>
      <w:r>
        <w:rPr>
          <w:rFonts w:eastAsia="仿宋_GB2312"/>
          <w:color w:val="auto"/>
          <w:kern w:val="0"/>
          <w:sz w:val="32"/>
          <w:szCs w:val="32"/>
        </w:rPr>
        <w:t>。</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eastAsia="仿宋_GB2312"/>
          <w:color w:val="auto"/>
          <w:kern w:val="0"/>
          <w:sz w:val="32"/>
          <w:szCs w:val="32"/>
        </w:rPr>
      </w:pPr>
      <w:r>
        <w:rPr>
          <w:rFonts w:hint="default" w:eastAsia="仿宋_GB2312"/>
          <w:color w:val="auto"/>
          <w:kern w:val="0"/>
          <w:sz w:val="32"/>
          <w:szCs w:val="32"/>
        </w:rPr>
        <w:t>3.</w:t>
      </w:r>
      <w:r>
        <w:rPr>
          <w:rFonts w:eastAsia="仿宋_GB2312"/>
          <w:color w:val="auto"/>
          <w:kern w:val="0"/>
          <w:sz w:val="32"/>
          <w:szCs w:val="32"/>
        </w:rPr>
        <w:t>服务对象满意度</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color w:val="auto"/>
        </w:rPr>
      </w:pPr>
      <w:r>
        <w:rPr>
          <w:rFonts w:hint="eastAsia" w:eastAsia="仿宋_GB2312"/>
          <w:color w:val="auto"/>
          <w:kern w:val="0"/>
          <w:sz w:val="32"/>
          <w:szCs w:val="32"/>
          <w:lang w:eastAsia="zh-CN"/>
        </w:rPr>
        <w:t>项目</w:t>
      </w:r>
      <w:r>
        <w:rPr>
          <w:rFonts w:eastAsia="仿宋_GB2312"/>
          <w:color w:val="auto"/>
          <w:kern w:val="0"/>
          <w:sz w:val="32"/>
          <w:szCs w:val="32"/>
        </w:rPr>
        <w:t>实施部门</w:t>
      </w:r>
      <w:r>
        <w:rPr>
          <w:rFonts w:hint="eastAsia" w:eastAsia="仿宋_GB2312"/>
          <w:color w:val="auto"/>
          <w:kern w:val="0"/>
          <w:sz w:val="32"/>
          <w:szCs w:val="32"/>
          <w:lang w:eastAsia="zh-CN"/>
        </w:rPr>
        <w:t>对社区工作者进行了反馈意见征集</w:t>
      </w:r>
      <w:r>
        <w:rPr>
          <w:rFonts w:hint="eastAsia" w:eastAsia="仿宋_GB2312"/>
          <w:color w:val="auto"/>
          <w:kern w:val="0"/>
          <w:sz w:val="32"/>
          <w:szCs w:val="32"/>
        </w:rPr>
        <w:t>，</w:t>
      </w:r>
      <w:r>
        <w:rPr>
          <w:rFonts w:hint="eastAsia" w:eastAsia="仿宋_GB2312"/>
          <w:color w:val="auto"/>
          <w:kern w:val="0"/>
          <w:sz w:val="32"/>
          <w:szCs w:val="32"/>
          <w:lang w:eastAsia="zh-CN"/>
        </w:rPr>
        <w:t>辖区社区工作者满意度较高</w:t>
      </w:r>
      <w:r>
        <w:rPr>
          <w:rFonts w:eastAsia="仿宋_GB2312"/>
          <w:smallCaps/>
          <w:color w:val="auto"/>
          <w:sz w:val="32"/>
          <w:szCs w:val="32"/>
        </w:rPr>
        <w:t>，已达到项目预定目标。</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五、主要经验及做法、存在的问题及原因分析</w:t>
      </w:r>
    </w:p>
    <w:p>
      <w:pPr>
        <w:keepNext w:val="0"/>
        <w:keepLines w:val="0"/>
        <w:pageBreakBefore w:val="0"/>
        <w:widowControl w:val="0"/>
        <w:kinsoku/>
        <w:wordWrap/>
        <w:overflowPunct/>
        <w:topLinePunct w:val="0"/>
        <w:autoSpaceDE/>
        <w:autoSpaceDN/>
        <w:bidi w:val="0"/>
        <w:adjustRightInd/>
        <w:spacing w:line="600" w:lineRule="exact"/>
        <w:ind w:left="-4" w:leftChars="-2" w:right="0" w:rightChars="0" w:firstLine="566" w:firstLineChars="177"/>
        <w:jc w:val="both"/>
        <w:textAlignment w:val="auto"/>
        <w:rPr>
          <w:rFonts w:hint="eastAsia" w:ascii="仿宋_GB2312" w:hAnsi="仿宋_GB2312" w:eastAsia="仿宋_GB2312"/>
          <w:b w:val="0"/>
          <w:bCs w:val="0"/>
          <w:color w:val="auto"/>
          <w:sz w:val="32"/>
          <w:szCs w:val="32"/>
          <w:lang w:val="en-US" w:eastAsia="zh-CN"/>
        </w:rPr>
      </w:pPr>
      <w:r>
        <w:rPr>
          <w:rFonts w:hint="eastAsia" w:ascii="仿宋_GB2312" w:hAnsi="仿宋_GB2312" w:eastAsia="仿宋_GB2312"/>
          <w:b w:val="0"/>
          <w:bCs w:val="0"/>
          <w:color w:val="auto"/>
          <w:sz w:val="32"/>
          <w:szCs w:val="32"/>
          <w:lang w:val="en-US" w:eastAsia="zh-CN"/>
        </w:rPr>
        <w:t>对照项目成本、产出、效益效果的历史值与基准值的差距，分析项目运行管理中存在的问题，并从成本管控和优化业务管理的角度，提出升级和改进管理、提高绩效水平的具体措施和路径。</w:t>
      </w:r>
    </w:p>
    <w:p>
      <w:pPr>
        <w:keepNext w:val="0"/>
        <w:keepLines w:val="0"/>
        <w:pageBreakBefore w:val="0"/>
        <w:widowControl w:val="0"/>
        <w:kinsoku/>
        <w:wordWrap/>
        <w:overflowPunct/>
        <w:topLinePunct w:val="0"/>
        <w:autoSpaceDE/>
        <w:autoSpaceDN/>
        <w:bidi w:val="0"/>
        <w:adjustRightInd/>
        <w:spacing w:line="600" w:lineRule="exact"/>
        <w:ind w:left="-4" w:leftChars="-2" w:right="0" w:rightChars="0" w:firstLine="566" w:firstLineChars="177"/>
        <w:jc w:val="both"/>
        <w:textAlignment w:val="auto"/>
        <w:rPr>
          <w:rFonts w:hint="eastAsia" w:ascii="楷体_GB2312" w:hAnsi="宋体" w:eastAsia="楷体_GB2312"/>
          <w:bCs/>
          <w:color w:val="auto"/>
          <w:kern w:val="0"/>
          <w:sz w:val="32"/>
          <w:szCs w:val="32"/>
          <w:lang w:val="en-US" w:eastAsia="zh-CN"/>
        </w:rPr>
      </w:pPr>
      <w:r>
        <w:rPr>
          <w:rFonts w:hint="eastAsia" w:ascii="楷体_GB2312" w:hAnsi="宋体" w:eastAsia="楷体_GB2312"/>
          <w:bCs/>
          <w:color w:val="auto"/>
          <w:kern w:val="0"/>
          <w:sz w:val="32"/>
          <w:szCs w:val="32"/>
          <w:lang w:val="en-US" w:eastAsia="zh-CN"/>
        </w:rPr>
        <w:t>（一）主要问题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rPr>
          <w:rFonts w:hint="eastAsia" w:ascii="仿宋_GB2312" w:hAnsi="仿宋_GB2312" w:eastAsia="仿宋_GB2312"/>
          <w:b w:val="0"/>
          <w:bCs w:val="0"/>
          <w:color w:val="auto"/>
          <w:kern w:val="2"/>
          <w:sz w:val="32"/>
          <w:szCs w:val="32"/>
          <w:lang w:val="en-US" w:eastAsia="zh-CN" w:bidi="ar-SA"/>
        </w:rPr>
      </w:pPr>
      <w:r>
        <w:rPr>
          <w:rFonts w:hint="eastAsia" w:ascii="仿宋_GB2312" w:hAnsi="仿宋_GB2312" w:eastAsia="仿宋_GB2312"/>
          <w:b w:val="0"/>
          <w:bCs w:val="0"/>
          <w:color w:val="auto"/>
          <w:kern w:val="2"/>
          <w:sz w:val="32"/>
          <w:szCs w:val="32"/>
          <w:lang w:val="en-US" w:eastAsia="zh-CN" w:bidi="ar-SA"/>
        </w:rPr>
        <w:t>1.成本管控方面的问题。成本管控方面仍有待加强，仍需加强财务与业务间的紧密联系，在业务开展过程中，全程给与管控。</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rPr>
          <w:color w:val="auto"/>
        </w:rPr>
      </w:pPr>
      <w:r>
        <w:rPr>
          <w:rFonts w:hint="eastAsia" w:ascii="仿宋_GB2312" w:hAnsi="仿宋_GB2312" w:eastAsia="仿宋_GB2312"/>
          <w:color w:val="auto"/>
          <w:sz w:val="32"/>
          <w:szCs w:val="32"/>
          <w:lang w:val="en-US" w:eastAsia="zh-CN"/>
        </w:rPr>
        <w:t>2.产出和效益效果方面的问题。在产出和效益效果方面仍有待提升。仍需持续不懈的做好团结湖地区社区社会组织台账的更新，以及需求供给目录的更新。从而提升项目执行效果。</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六、有关建议</w:t>
      </w:r>
    </w:p>
    <w:p>
      <w:pPr>
        <w:pStyle w:val="11"/>
        <w:keepNext w:val="0"/>
        <w:keepLines w:val="0"/>
        <w:pageBreakBefore w:val="0"/>
        <w:widowControl w:val="0"/>
        <w:numPr>
          <w:ilvl w:val="0"/>
          <w:numId w:val="0"/>
        </w:numPr>
        <w:kinsoku/>
        <w:wordWrap/>
        <w:overflowPunct/>
        <w:topLinePunct w:val="0"/>
        <w:autoSpaceDE/>
        <w:autoSpaceDN/>
        <w:bidi w:val="0"/>
        <w:adjustRightInd/>
        <w:spacing w:line="600" w:lineRule="exact"/>
        <w:ind w:right="0" w:rightChars="0" w:firstLine="640" w:firstLineChars="200"/>
        <w:jc w:val="both"/>
        <w:textAlignment w:val="auto"/>
        <w:rPr>
          <w:rFonts w:hint="eastAsia" w:ascii="仿宋_GB2312" w:hAnsi="仿宋_GB2312" w:eastAsia="仿宋_GB2312"/>
          <w:b w:val="0"/>
          <w:bCs w:val="0"/>
          <w:color w:val="auto"/>
          <w:kern w:val="2"/>
          <w:sz w:val="32"/>
          <w:szCs w:val="32"/>
          <w:lang w:val="en-US" w:eastAsia="zh-CN" w:bidi="ar-SA"/>
        </w:rPr>
      </w:pPr>
      <w:r>
        <w:rPr>
          <w:rFonts w:hint="eastAsia" w:ascii="仿宋_GB2312" w:hAnsi="仿宋_GB2312" w:eastAsia="仿宋_GB2312"/>
          <w:b w:val="0"/>
          <w:bCs w:val="0"/>
          <w:color w:val="auto"/>
          <w:kern w:val="2"/>
          <w:sz w:val="32"/>
          <w:szCs w:val="32"/>
          <w:lang w:val="en-US" w:eastAsia="zh-CN" w:bidi="ar-SA"/>
        </w:rPr>
        <w:t>1.加强成本管控的措施。与项目执行人员加强日常对接及沟通，了解项目运行的整体进度及财务支出。可提升成本管控力度。</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rPr>
          <w:color w:val="auto"/>
        </w:rPr>
      </w:pPr>
      <w:r>
        <w:rPr>
          <w:rFonts w:hint="eastAsia" w:ascii="仿宋_GB2312" w:hAnsi="仿宋_GB2312" w:eastAsia="仿宋_GB2312"/>
          <w:b w:val="0"/>
          <w:bCs w:val="0"/>
          <w:color w:val="auto"/>
          <w:kern w:val="2"/>
          <w:sz w:val="32"/>
          <w:szCs w:val="32"/>
          <w:lang w:val="en-US" w:eastAsia="zh-CN" w:bidi="ar-SA"/>
        </w:rPr>
        <w:t>2.提高产出和效益效果方面的措施。项目社工要加强与社区的紧密沟通，强化督导工作机制，及时给予社区社会组织业务指导，以确保各组织对地区的作用发挥。</w:t>
      </w:r>
    </w:p>
    <w:p>
      <w:pPr>
        <w:keepNext w:val="0"/>
        <w:keepLines w:val="0"/>
        <w:pageBreakBefore w:val="0"/>
        <w:widowControl w:val="0"/>
        <w:kinsoku/>
        <w:wordWrap/>
        <w:overflowPunct/>
        <w:topLinePunct w:val="0"/>
        <w:autoSpaceDE/>
        <w:autoSpaceDN/>
        <w:bidi w:val="0"/>
        <w:adjustRightInd/>
        <w:spacing w:line="600" w:lineRule="exact"/>
        <w:ind w:right="0" w:rightChars="0"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七、其他需要说明的问题</w:t>
      </w:r>
    </w:p>
    <w:p>
      <w:pPr>
        <w:pStyle w:val="2"/>
        <w:keepNext w:val="0"/>
        <w:keepLines w:val="0"/>
        <w:pageBreakBefore w:val="0"/>
        <w:widowControl w:val="0"/>
        <w:kinsoku/>
        <w:wordWrap/>
        <w:overflowPunct/>
        <w:topLinePunct w:val="0"/>
        <w:autoSpaceDE/>
        <w:autoSpaceDN/>
        <w:bidi w:val="0"/>
        <w:adjustRightInd/>
        <w:spacing w:before="0" w:line="600" w:lineRule="exact"/>
        <w:ind w:left="0" w:leftChars="0" w:right="0" w:rightChars="0" w:firstLine="640" w:firstLineChars="200"/>
        <w:jc w:val="both"/>
        <w:textAlignment w:val="auto"/>
        <w:rPr>
          <w:rFonts w:hint="eastAsia" w:ascii="黑体" w:hAnsi="黑体" w:eastAsia="黑体" w:cs="黑体"/>
          <w:color w:val="auto"/>
          <w:sz w:val="32"/>
          <w:szCs w:val="32"/>
          <w:lang w:eastAsia="zh-CN"/>
        </w:rPr>
        <w:sectPr>
          <w:footerReference r:id="rId3" w:type="default"/>
          <w:pgSz w:w="11906" w:h="16838"/>
          <w:pgMar w:top="1440" w:right="1800" w:bottom="1440" w:left="1800" w:header="851" w:footer="992" w:gutter="0"/>
          <w:pgNumType w:fmt="numberInDash"/>
          <w:cols w:space="425" w:num="1"/>
          <w:docGrid w:type="lines" w:linePitch="312" w:charSpace="0"/>
        </w:sectPr>
      </w:pPr>
      <w:r>
        <w:rPr>
          <w:rFonts w:hint="eastAsia" w:ascii="黑体" w:hAnsi="黑体" w:eastAsia="黑体" w:cs="黑体"/>
          <w:color w:val="auto"/>
          <w:sz w:val="32"/>
          <w:szCs w:val="32"/>
          <w:lang w:eastAsia="zh-CN"/>
        </w:rPr>
        <w:t>无</w:t>
      </w:r>
      <w:bookmarkStart w:id="9" w:name="_GoBack"/>
      <w:bookmarkEnd w:id="9"/>
    </w:p>
    <w:p>
      <w:pPr>
        <w:pStyle w:val="2"/>
        <w:ind w:left="0" w:leftChars="0" w:firstLine="0" w:firstLineChars="0"/>
        <w:rPr>
          <w:rFonts w:hint="eastAsia" w:ascii="黑体" w:hAnsi="黑体" w:eastAsia="黑体" w:cs="黑体"/>
          <w:color w:val="0000FF"/>
          <w:sz w:val="32"/>
          <w:szCs w:val="32"/>
          <w:lang w:eastAsia="zh-CN"/>
        </w:rPr>
      </w:pPr>
      <w:r>
        <w:rPr>
          <w:rFonts w:hint="eastAsia" w:ascii="黑体" w:hAnsi="黑体" w:eastAsia="黑体" w:cs="黑体"/>
          <w:color w:val="0000FF"/>
          <w:sz w:val="32"/>
          <w:szCs w:val="32"/>
          <w:lang w:eastAsia="zh-CN"/>
        </w:rPr>
        <w:drawing>
          <wp:inline distT="0" distB="0" distL="114300" distR="114300">
            <wp:extent cx="9234170" cy="5274310"/>
            <wp:effectExtent l="0" t="0" r="5080" b="2540"/>
            <wp:docPr id="12" name="图片 1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
                    <pic:cNvPicPr>
                      <a:picLocks noChangeAspect="1"/>
                    </pic:cNvPicPr>
                  </pic:nvPicPr>
                  <pic:blipFill>
                    <a:blip r:embed="rId5"/>
                    <a:stretch>
                      <a:fillRect/>
                    </a:stretch>
                  </pic:blipFill>
                  <pic:spPr>
                    <a:xfrm>
                      <a:off x="0" y="0"/>
                      <a:ext cx="9234170" cy="5274310"/>
                    </a:xfrm>
                    <a:prstGeom prst="rect">
                      <a:avLst/>
                    </a:prstGeom>
                  </pic:spPr>
                </pic:pic>
              </a:graphicData>
            </a:graphic>
          </wp:inline>
        </w:drawing>
      </w:r>
    </w:p>
    <w:p>
      <w:pPr>
        <w:pStyle w:val="2"/>
        <w:ind w:left="0" w:leftChars="0" w:firstLine="0" w:firstLineChars="0"/>
        <w:rPr>
          <w:rFonts w:hint="eastAsia" w:ascii="黑体" w:hAnsi="黑体" w:eastAsia="黑体" w:cs="黑体"/>
          <w:color w:val="0000FF"/>
          <w:sz w:val="32"/>
          <w:szCs w:val="32"/>
          <w:lang w:eastAsia="zh-CN"/>
        </w:rPr>
      </w:pPr>
      <w:r>
        <w:rPr>
          <w:rFonts w:hint="eastAsia" w:ascii="黑体" w:hAnsi="黑体" w:eastAsia="黑体" w:cs="黑体"/>
          <w:color w:val="0000FF"/>
          <w:sz w:val="32"/>
          <w:szCs w:val="32"/>
          <w:lang w:eastAsia="zh-CN"/>
        </w:rPr>
        <w:drawing>
          <wp:inline distT="0" distB="0" distL="114300" distR="114300">
            <wp:extent cx="9230995" cy="5269230"/>
            <wp:effectExtent l="0" t="0" r="8255" b="7620"/>
            <wp:docPr id="13" name="图片 1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
                    <pic:cNvPicPr>
                      <a:picLocks noChangeAspect="1"/>
                    </pic:cNvPicPr>
                  </pic:nvPicPr>
                  <pic:blipFill>
                    <a:blip r:embed="rId6"/>
                    <a:stretch>
                      <a:fillRect/>
                    </a:stretch>
                  </pic:blipFill>
                  <pic:spPr>
                    <a:xfrm>
                      <a:off x="0" y="0"/>
                      <a:ext cx="9230995" cy="5269230"/>
                    </a:xfrm>
                    <a:prstGeom prst="rect">
                      <a:avLst/>
                    </a:prstGeom>
                  </pic:spPr>
                </pic:pic>
              </a:graphicData>
            </a:graphic>
          </wp:inline>
        </w:drawing>
      </w:r>
      <w:r>
        <w:rPr>
          <w:rFonts w:hint="eastAsia" w:ascii="黑体" w:hAnsi="黑体" w:eastAsia="黑体" w:cs="黑体"/>
          <w:color w:val="0000FF"/>
          <w:sz w:val="32"/>
          <w:szCs w:val="32"/>
          <w:lang w:eastAsia="zh-CN"/>
        </w:rPr>
        <w:br w:type="page"/>
      </w:r>
    </w:p>
    <w:p>
      <w:pPr>
        <w:pStyle w:val="2"/>
        <w:ind w:left="0" w:leftChars="0" w:firstLine="0" w:firstLineChars="0"/>
        <w:rPr>
          <w:rFonts w:hint="eastAsia" w:ascii="黑体" w:hAnsi="黑体" w:eastAsia="黑体" w:cs="黑体"/>
          <w:color w:val="0000FF"/>
          <w:sz w:val="32"/>
          <w:szCs w:val="32"/>
          <w:lang w:eastAsia="zh-CN"/>
        </w:rPr>
      </w:pPr>
      <w:r>
        <w:rPr>
          <w:rFonts w:hint="eastAsia" w:ascii="黑体" w:hAnsi="黑体" w:eastAsia="黑体" w:cs="黑体"/>
          <w:color w:val="0000FF"/>
          <w:sz w:val="32"/>
          <w:szCs w:val="32"/>
          <w:lang w:eastAsia="zh-CN"/>
        </w:rPr>
        <w:drawing>
          <wp:inline distT="0" distB="0" distL="114300" distR="114300">
            <wp:extent cx="9231630" cy="5270500"/>
            <wp:effectExtent l="0" t="0" r="7620" b="6350"/>
            <wp:docPr id="14" name="图片 1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3"/>
                    <pic:cNvPicPr>
                      <a:picLocks noChangeAspect="1"/>
                    </pic:cNvPicPr>
                  </pic:nvPicPr>
                  <pic:blipFill>
                    <a:blip r:embed="rId7"/>
                    <a:stretch>
                      <a:fillRect/>
                    </a:stretch>
                  </pic:blipFill>
                  <pic:spPr>
                    <a:xfrm>
                      <a:off x="0" y="0"/>
                      <a:ext cx="9231630" cy="5270500"/>
                    </a:xfrm>
                    <a:prstGeom prst="rect">
                      <a:avLst/>
                    </a:prstGeom>
                  </pic:spPr>
                </pic:pic>
              </a:graphicData>
            </a:graphic>
          </wp:inline>
        </w:drawing>
      </w:r>
    </w:p>
    <w:p>
      <w:pPr>
        <w:spacing w:line="24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drawing>
          <wp:inline distT="0" distB="0" distL="114300" distR="114300">
            <wp:extent cx="9246870" cy="4893945"/>
            <wp:effectExtent l="0" t="0" r="11430" b="1905"/>
            <wp:docPr id="15" name="图片 1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4"/>
                    <pic:cNvPicPr>
                      <a:picLocks noChangeAspect="1"/>
                    </pic:cNvPicPr>
                  </pic:nvPicPr>
                  <pic:blipFill>
                    <a:blip r:embed="rId8"/>
                    <a:stretch>
                      <a:fillRect/>
                    </a:stretch>
                  </pic:blipFill>
                  <pic:spPr>
                    <a:xfrm>
                      <a:off x="0" y="0"/>
                      <a:ext cx="9246870" cy="4893945"/>
                    </a:xfrm>
                    <a:prstGeom prst="rect">
                      <a:avLst/>
                    </a:prstGeom>
                  </pic:spPr>
                </pic:pic>
              </a:graphicData>
            </a:graphic>
          </wp:inline>
        </w:drawing>
      </w:r>
    </w:p>
    <w:p>
      <w:pPr>
        <w:pStyle w:val="2"/>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drawing>
          <wp:inline distT="0" distB="0" distL="114300" distR="114300">
            <wp:extent cx="9260840" cy="4766945"/>
            <wp:effectExtent l="0" t="0" r="16510" b="14605"/>
            <wp:docPr id="16" name="图片 1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5"/>
                    <pic:cNvPicPr>
                      <a:picLocks noChangeAspect="1"/>
                    </pic:cNvPicPr>
                  </pic:nvPicPr>
                  <pic:blipFill>
                    <a:blip r:embed="rId9"/>
                    <a:stretch>
                      <a:fillRect/>
                    </a:stretch>
                  </pic:blipFill>
                  <pic:spPr>
                    <a:xfrm>
                      <a:off x="0" y="0"/>
                      <a:ext cx="9260840" cy="4766945"/>
                    </a:xfrm>
                    <a:prstGeom prst="rect">
                      <a:avLst/>
                    </a:prstGeom>
                  </pic:spPr>
                </pic:pic>
              </a:graphicData>
            </a:graphic>
          </wp:inline>
        </w:drawing>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drawing>
          <wp:inline distT="0" distB="0" distL="114300" distR="114300">
            <wp:extent cx="9312910" cy="4599940"/>
            <wp:effectExtent l="0" t="0" r="2540" b="10160"/>
            <wp:docPr id="17" name="图片 1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6"/>
                    <pic:cNvPicPr>
                      <a:picLocks noChangeAspect="1"/>
                    </pic:cNvPicPr>
                  </pic:nvPicPr>
                  <pic:blipFill>
                    <a:blip r:embed="rId10"/>
                    <a:stretch>
                      <a:fillRect/>
                    </a:stretch>
                  </pic:blipFill>
                  <pic:spPr>
                    <a:xfrm>
                      <a:off x="0" y="0"/>
                      <a:ext cx="9312910" cy="4599940"/>
                    </a:xfrm>
                    <a:prstGeom prst="rect">
                      <a:avLst/>
                    </a:prstGeom>
                  </pic:spPr>
                </pic:pic>
              </a:graphicData>
            </a:graphic>
          </wp:inline>
        </w:drawing>
      </w:r>
    </w:p>
    <w:p>
      <w:pPr>
        <w:jc w:val="left"/>
        <w:rPr>
          <w:rFonts w:hint="eastAsia"/>
          <w:lang w:val="en-US" w:eastAsia="zh-CN"/>
        </w:rPr>
      </w:pPr>
    </w:p>
    <w:sectPr>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Arial">
    <w:panose1 w:val="020B0604020202020204"/>
    <w:charset w:val="00"/>
    <w:family w:val="roman"/>
    <w:pitch w:val="default"/>
    <w:sig w:usb0="E0002AFF" w:usb1="C0007843" w:usb2="00000009" w:usb3="00000000" w:csb0="400001FF" w:csb1="FFFF0000"/>
  </w:font>
  <w:font w:name="仿宋_GB2312">
    <w:panose1 w:val="02010609030101010101"/>
    <w:charset w:val="86"/>
    <w:family w:val="decorative"/>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_GBK">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方正黑体_GBK">
    <w:altName w:val="微软雅黑"/>
    <w:panose1 w:val="02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3000509000000000000"/>
    <w:charset w:val="86"/>
    <w:family w:val="script"/>
    <w:pitch w:val="default"/>
    <w:sig w:usb0="00000000" w:usb1="00000000" w:usb2="00000000" w:usb3="00000000" w:csb0="0016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CC"/>
    <w:family w:val="swiss"/>
    <w:pitch w:val="default"/>
    <w:sig w:usb0="E0002AFF" w:usb1="C0007843" w:usb2="00000009" w:usb3="00000000" w:csb0="400001FF" w:csb1="FFFF0000"/>
  </w:font>
  <w:font w:name="Calibri">
    <w:panose1 w:val="020F0502020204030204"/>
    <w:charset w:val="CC"/>
    <w:family w:val="swiss"/>
    <w:pitch w:val="default"/>
    <w:sig w:usb0="E00002FF" w:usb1="4000ACFF" w:usb2="00000001" w:usb3="00000000" w:csb0="2000019F" w:csb1="00000000"/>
  </w:font>
  <w:font w:name="Cambria Math">
    <w:panose1 w:val="02040503050406030204"/>
    <w:charset w:val="CC"/>
    <w:family w:val="roman"/>
    <w:pitch w:val="default"/>
    <w:sig w:usb0="E00002FF" w:usb1="420024FF" w:usb2="00000000" w:usb3="00000000" w:csb0="2000019F" w:csb1="00000000"/>
  </w:font>
  <w:font w:name="WLUPWD+TimesNewRomanPS-BoldMT">
    <w:panose1 w:val="02000500000000000000"/>
    <w:charset w:val="01"/>
    <w:family w:val="auto"/>
    <w:pitch w:val="default"/>
    <w:sig w:usb0="00000000" w:usb1="00000000" w:usb2="00000000" w:usb3="00000000" w:csb0="00000000" w:csb1="00000000"/>
  </w:font>
  <w:font w:name="ICGQVP+Wingdings-Regular">
    <w:panose1 w:val="02000500000000000000"/>
    <w:charset w:val="01"/>
    <w:family w:val="auto"/>
    <w:pitch w:val="default"/>
    <w:sig w:usb0="00000000" w:usb1="00000000" w:usb2="00000000" w:usb3="00000000" w:csb0="00000000" w:csb1="00000000"/>
  </w:font>
  <w:font w:name="RWOKIN+FangSong_GB2312">
    <w:panose1 w:val="02000500000000000000"/>
    <w:charset w:val="01"/>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886A0B"/>
    <w:multiLevelType w:val="singleLevel"/>
    <w:tmpl w:val="67886A0B"/>
    <w:lvl w:ilvl="0" w:tentative="0">
      <w:start w:val="1"/>
      <w:numFmt w:val="chineseCounting"/>
      <w:suff w:val="nothing"/>
      <w:lvlText w:val="%1、"/>
      <w:lvlJc w:val="left"/>
    </w:lvl>
  </w:abstractNum>
  <w:abstractNum w:abstractNumId="1">
    <w:nsid w:val="67AD578F"/>
    <w:multiLevelType w:val="singleLevel"/>
    <w:tmpl w:val="67AD578F"/>
    <w:lvl w:ilvl="0" w:tentative="0">
      <w:start w:val="2"/>
      <w:numFmt w:val="chineseCounting"/>
      <w:suff w:val="nothing"/>
      <w:lvlText w:val="（%1）"/>
      <w:lvlJc w:val="left"/>
    </w:lvl>
  </w:abstractNum>
  <w:abstractNum w:abstractNumId="2">
    <w:nsid w:val="67AD5950"/>
    <w:multiLevelType w:val="singleLevel"/>
    <w:tmpl w:val="67AD5950"/>
    <w:lvl w:ilvl="0" w:tentative="0">
      <w:start w:val="2"/>
      <w:numFmt w:val="chineseCounting"/>
      <w:suff w:val="nothing"/>
      <w:lvlText w:val="（%1）"/>
      <w:lvlJc w:val="left"/>
    </w:lvl>
  </w:abstractNum>
  <w:abstractNum w:abstractNumId="3">
    <w:nsid w:val="67AD5D74"/>
    <w:multiLevelType w:val="singleLevel"/>
    <w:tmpl w:val="67AD5D74"/>
    <w:lvl w:ilvl="0" w:tentative="0">
      <w:start w:val="1"/>
      <w:numFmt w:val="chineseCounting"/>
      <w:suff w:val="nothing"/>
      <w:lvlText w:val="（%1）"/>
      <w:lvlJc w:val="left"/>
    </w:lvl>
  </w:abstractNum>
  <w:abstractNum w:abstractNumId="4">
    <w:nsid w:val="67AD5F95"/>
    <w:multiLevelType w:val="singleLevel"/>
    <w:tmpl w:val="67AD5F95"/>
    <w:lvl w:ilvl="0" w:tentative="0">
      <w:start w:val="2"/>
      <w:numFmt w:val="chineseCounting"/>
      <w:suff w:val="nothing"/>
      <w:lvlText w:val="（%1）"/>
      <w:lvlJc w:val="left"/>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BB3BDA"/>
    <w:rsid w:val="00F84B2A"/>
    <w:rsid w:val="01571E8E"/>
    <w:rsid w:val="036067BD"/>
    <w:rsid w:val="03B02DF6"/>
    <w:rsid w:val="040A6D14"/>
    <w:rsid w:val="06381AF5"/>
    <w:rsid w:val="076B7E6B"/>
    <w:rsid w:val="083E51F8"/>
    <w:rsid w:val="09AF64DB"/>
    <w:rsid w:val="0A8A585C"/>
    <w:rsid w:val="0E792B5F"/>
    <w:rsid w:val="0EF10375"/>
    <w:rsid w:val="107673BB"/>
    <w:rsid w:val="109D2AA4"/>
    <w:rsid w:val="110E4155"/>
    <w:rsid w:val="146E5B34"/>
    <w:rsid w:val="17090D22"/>
    <w:rsid w:val="184A2772"/>
    <w:rsid w:val="1A21175E"/>
    <w:rsid w:val="1ABB11DF"/>
    <w:rsid w:val="1BAF1B92"/>
    <w:rsid w:val="1E860A54"/>
    <w:rsid w:val="1FA31EA6"/>
    <w:rsid w:val="20566FB3"/>
    <w:rsid w:val="219B7009"/>
    <w:rsid w:val="22B06DAD"/>
    <w:rsid w:val="22F547DE"/>
    <w:rsid w:val="23850A8B"/>
    <w:rsid w:val="23B627B9"/>
    <w:rsid w:val="243B2416"/>
    <w:rsid w:val="25FA2976"/>
    <w:rsid w:val="264A7279"/>
    <w:rsid w:val="29246E7E"/>
    <w:rsid w:val="2C276C5C"/>
    <w:rsid w:val="2C7029BE"/>
    <w:rsid w:val="2D242F2E"/>
    <w:rsid w:val="30605129"/>
    <w:rsid w:val="31A14430"/>
    <w:rsid w:val="31AF3171"/>
    <w:rsid w:val="35355BA2"/>
    <w:rsid w:val="367821C7"/>
    <w:rsid w:val="37173543"/>
    <w:rsid w:val="387D13C8"/>
    <w:rsid w:val="3A2E2595"/>
    <w:rsid w:val="3BB74C7A"/>
    <w:rsid w:val="3E1B107B"/>
    <w:rsid w:val="3F326434"/>
    <w:rsid w:val="3F476845"/>
    <w:rsid w:val="3FF76880"/>
    <w:rsid w:val="418F7070"/>
    <w:rsid w:val="429026A9"/>
    <w:rsid w:val="42E0379B"/>
    <w:rsid w:val="43201D05"/>
    <w:rsid w:val="43744EF9"/>
    <w:rsid w:val="45064633"/>
    <w:rsid w:val="46157ED7"/>
    <w:rsid w:val="48576824"/>
    <w:rsid w:val="4D9F4FA3"/>
    <w:rsid w:val="4DCF74FA"/>
    <w:rsid w:val="4FE22B87"/>
    <w:rsid w:val="50290C58"/>
    <w:rsid w:val="50291D90"/>
    <w:rsid w:val="50926D10"/>
    <w:rsid w:val="51423CAD"/>
    <w:rsid w:val="51664192"/>
    <w:rsid w:val="51AE6F56"/>
    <w:rsid w:val="55824169"/>
    <w:rsid w:val="55A167D8"/>
    <w:rsid w:val="55A17ABC"/>
    <w:rsid w:val="56910EE1"/>
    <w:rsid w:val="57677AC4"/>
    <w:rsid w:val="576D3AC0"/>
    <w:rsid w:val="5B1D2D8E"/>
    <w:rsid w:val="5C073259"/>
    <w:rsid w:val="5D1C3479"/>
    <w:rsid w:val="5DD603E9"/>
    <w:rsid w:val="611E1A7C"/>
    <w:rsid w:val="62CE5C35"/>
    <w:rsid w:val="64545245"/>
    <w:rsid w:val="648D1BE4"/>
    <w:rsid w:val="655F6BFE"/>
    <w:rsid w:val="67A37C35"/>
    <w:rsid w:val="67FB3897"/>
    <w:rsid w:val="6A234FFC"/>
    <w:rsid w:val="6A237BB7"/>
    <w:rsid w:val="6B6B2C13"/>
    <w:rsid w:val="6E7C4486"/>
    <w:rsid w:val="6EE6290E"/>
    <w:rsid w:val="6F1F2CC0"/>
    <w:rsid w:val="6F2A6612"/>
    <w:rsid w:val="6F783279"/>
    <w:rsid w:val="6FD2391F"/>
    <w:rsid w:val="70BD0BCE"/>
    <w:rsid w:val="710807C2"/>
    <w:rsid w:val="71AE6998"/>
    <w:rsid w:val="75676AB8"/>
    <w:rsid w:val="77384FBA"/>
    <w:rsid w:val="79A304E1"/>
    <w:rsid w:val="7AAC2541"/>
    <w:rsid w:val="7AB7FF50"/>
    <w:rsid w:val="7B7D2EBF"/>
    <w:rsid w:val="7BFEB0DB"/>
    <w:rsid w:val="7D95556B"/>
    <w:rsid w:val="CEFD3F3D"/>
    <w:rsid w:val="EA3F77F2"/>
    <w:rsid w:val="EEFE5989"/>
    <w:rsid w:val="EFCF3EAE"/>
    <w:rsid w:val="F5B764A2"/>
    <w:rsid w:val="F77F09F4"/>
    <w:rsid w:val="FFD7BFFC"/>
    <w:rsid w:val="FFFA6B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w:basedOn w:val="3"/>
    <w:uiPriority w:val="0"/>
    <w:pPr>
      <w:ind w:firstLine="420" w:firstLineChars="100"/>
    </w:pPr>
  </w:style>
  <w:style w:type="paragraph" w:styleId="3">
    <w:name w:val="Body Text"/>
    <w:basedOn w:val="1"/>
    <w:uiPriority w:val="0"/>
    <w:pPr>
      <w:spacing w:before="48"/>
      <w:ind w:left="111"/>
    </w:pPr>
    <w:rPr>
      <w:rFonts w:ascii="仿宋" w:hAnsi="仿宋" w:eastAsia="仿宋"/>
      <w:sz w:val="32"/>
      <w:szCs w:val="32"/>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列出段落1"/>
    <w:basedOn w:val="1"/>
    <w:qFormat/>
    <w:uiPriority w:val="34"/>
    <w:pPr>
      <w:ind w:firstLine="420" w:firstLineChars="200"/>
    </w:pPr>
    <w:rPr>
      <w:rFonts w:ascii="Calibri" w:hAnsi="Calibri" w:cs="黑体"/>
      <w:szCs w:val="22"/>
    </w:rPr>
  </w:style>
  <w:style w:type="paragraph" w:customStyle="1" w:styleId="11">
    <w:name w:val="正文缩进1"/>
    <w:basedOn w:val="1"/>
    <w:qFormat/>
    <w:uiPriority w:val="0"/>
    <w:pPr>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266</Words>
  <Characters>21</Characters>
  <Lines>1</Lines>
  <Paragraphs>1</Paragraphs>
  <ScaleCrop>false</ScaleCrop>
  <LinksUpToDate>false</LinksUpToDate>
  <CharactersWithSpaces>286</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北京市朝阳区团结湖街道社区服务中心</cp:lastModifiedBy>
  <cp:lastPrinted>2025-01-16T07:21:00Z</cp:lastPrinted>
  <dcterms:modified xsi:type="dcterms:W3CDTF">2025-02-13T03:12:51Z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