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hint="eastAsia" w:ascii="黑体" w:hAnsi="黑体" w:eastAsia="黑体" w:cs="黑体"/>
          <w:sz w:val="32"/>
          <w:szCs w:val="32"/>
        </w:rPr>
      </w:pPr>
    </w:p>
    <w:p>
      <w:pPr>
        <w:spacing w:line="480" w:lineRule="exact"/>
        <w:rPr>
          <w:rFonts w:ascii="方正小标宋简体" w:eastAsia="方正小标宋简体"/>
          <w:sz w:val="36"/>
          <w:szCs w:val="36"/>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pageBreakBefore w:val="0"/>
        <w:kinsoku/>
        <w:wordWrap/>
        <w:overflowPunct/>
        <w:topLinePunct w:val="0"/>
        <w:bidi w:val="0"/>
        <w:snapToGrid/>
        <w:spacing w:line="600" w:lineRule="exact"/>
        <w:ind w:right="0" w:rightChars="0" w:firstLine="640" w:firstLineChars="20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一、部门概况</w:t>
      </w:r>
    </w:p>
    <w:p>
      <w:pPr>
        <w:pageBreakBefore w:val="0"/>
        <w:kinsoku/>
        <w:wordWrap/>
        <w:overflowPunct/>
        <w:topLinePunct w:val="0"/>
        <w:bidi w:val="0"/>
        <w:snapToGrid/>
        <w:spacing w:line="600" w:lineRule="exact"/>
        <w:ind w:right="0" w:rightChars="0" w:firstLine="640" w:firstLineChars="200"/>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（一）机构设置及职责工作任务情况</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北京市朝阳区人民政府团结湖街道办事处机构设置根据中共北京市朝阳区委办公室、北京市朝阳区人民政府办公室关于印发《中共北京市朝阳区委团结湖街道工作委员会、北京市朝阳区人民政府团结湖街道办事处职能配置、内设机构和人员编制规定》（京朝办字[2019]62号）的通知要求，内设8个科室，分别为综合办公室、党群工作办公室、平安建设办公室等；下属3家全额拨款预算单位，分别为团结湖街道便民服务中心、团结湖街道市民活动中心、团结湖街道市民诉求处置中心。</w:t>
      </w:r>
    </w:p>
    <w:p>
      <w:pPr>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2024年主要工作任务包括：各业务科室各司其职，相互协调配合，完成日常工作任务，做好辖区内各项工作的统筹协调和服务保障工作。</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团结湖街道办事处主要职责是</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p>
    <w:p>
      <w:pPr>
        <w:pageBreakBefore w:val="0"/>
        <w:widowControl w:val="0"/>
        <w:numPr>
          <w:ilvl w:val="0"/>
          <w:numId w:val="1"/>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贯彻执行法律、法规、规章和市、区政府的决定、命令，依法管理基层公共事务。</w:t>
      </w:r>
    </w:p>
    <w:p>
      <w:pPr>
        <w:pageBreakBefore w:val="0"/>
        <w:widowControl w:val="0"/>
        <w:numPr>
          <w:ilvl w:val="0"/>
          <w:numId w:val="1"/>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承担辖区市容环境卫生、绿化美化的管理工作，推进街巷长、河长制工作，组织、协调城市管理综合执法和环境秩序综合治理工作，推进城市精细化管理。</w:t>
      </w:r>
    </w:p>
    <w:p>
      <w:pPr>
        <w:pageBreakBefore w:val="0"/>
        <w:widowControl w:val="0"/>
        <w:numPr>
          <w:numId w:val="0"/>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3.协助依法履行安全生产、消防安全、食品安全、环境保护、劳动保障、流动人口及出租房屋监督管理工作，承担辖区应急、防汛和防灾减灾工作。</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4.参与制定并组织实施社区建设规划和公共服务设施规划，组织辖区单位、居民和志愿者队伍为社区发展服务。</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5.负责社区居民委员会建设，指导社区居民委员会工作，培育、发展社区社会组织，指导、监督社区业主委员会。</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6.推进居民自治，及时处理并向上级政府反映居民的意见和要求。动员社会力量参与社区治理，推动形成社区共治合力。</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7.组织开展群众性文化、体育、科普活动，开展法治宣传和社会公德教育，推动社区公益事业发展。</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8.组织开展公共服务，落实人力社保、民政、卫生健康、教育、住房保障、便民服务等政策，维护老年人、妇女、未成年人、残疾人等合法权益。</w:t>
      </w:r>
    </w:p>
    <w:p>
      <w:pPr>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9.承办区政府交办的其他事项。</w:t>
      </w:r>
      <w:r>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 xml:space="preserve"> </w:t>
      </w:r>
    </w:p>
    <w:p>
      <w:pPr>
        <w:pageBreakBefore w:val="0"/>
        <w:kinsoku/>
        <w:wordWrap/>
        <w:overflowPunct/>
        <w:topLinePunct w:val="0"/>
        <w:bidi w:val="0"/>
        <w:snapToGrid/>
        <w:spacing w:line="600" w:lineRule="exact"/>
        <w:ind w:right="0" w:rightChars="0" w:firstLine="640" w:firstLineChars="200"/>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（二）部门整体绩效目标设立情况</w:t>
      </w:r>
    </w:p>
    <w:p>
      <w:pPr>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按照团结湖街道办事处部门职责及年初工作计划，为提高预算资金管理水平，检验经费支出预期目标实现程度，</w:t>
      </w:r>
      <w:bookmarkStart w:id="0" w:name="_Hlk53567156"/>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考核经费支出效率和综合效果，</w:t>
      </w:r>
      <w:bookmarkEnd w:id="0"/>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根据《北京市项目支出绩效评价管理办法》，团结湖街道办事处组织相关部门有序开展绩效评价工作，在预算申报时合理确定绩效指标，涵盖各业务部门职责及工作要点，目标与职责任务匹配一致，初步建立绩效评价体系，提高全员预算资金绩效管理意识，将绩效理念融入预算编制、执行、监督全过程。</w:t>
      </w:r>
    </w:p>
    <w:p>
      <w:pPr>
        <w:pStyle w:val="3"/>
        <w:keepNext/>
        <w:keepLines/>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1"/>
        <w:rPr>
          <w:color w:val="000000" w:themeColor="text1"/>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整体绩效目标设立主要包括各部门绩效考核各项指标、预决算公开、资金及资产管理、内部管理制度建设等设定及完成情况，项目绩效总目标和阶段性目标完成情况及预期经济、社会效益等。目前我街道日常绩效工作主要由综合办及各业务办公室共同负责。综合办主要负责财政收支进度、财务管理、财政制度执行等，各业务科室主要负责绩效目标设定、阶段性目标达成、绩效目标实现等。</w:t>
      </w:r>
    </w:p>
    <w:p>
      <w:pPr>
        <w:pageBreakBefore w:val="0"/>
        <w:numPr>
          <w:ilvl w:val="0"/>
          <w:numId w:val="2"/>
        </w:numPr>
        <w:kinsoku/>
        <w:wordWrap/>
        <w:overflowPunct/>
        <w:topLinePunct w:val="0"/>
        <w:bidi w:val="0"/>
        <w:snapToGrid/>
        <w:spacing w:line="600" w:lineRule="exact"/>
        <w:ind w:right="0" w:rightChars="0" w:firstLine="640" w:firstLineChars="20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当年</w:t>
      </w:r>
      <w:r>
        <w:rPr>
          <w:rFonts w:ascii="黑体" w:hAnsi="黑体" w:eastAsia="黑体" w:cs="宋体"/>
          <w:color w:val="000000" w:themeColor="text1"/>
          <w:kern w:val="0"/>
          <w:sz w:val="32"/>
          <w:szCs w:val="32"/>
          <w14:textFill>
            <w14:solidFill>
              <w14:schemeClr w14:val="tx1"/>
            </w14:solidFill>
          </w14:textFill>
        </w:rPr>
        <w:t>预算执行情况</w:t>
      </w:r>
    </w:p>
    <w:p>
      <w:pPr>
        <w:pageBreakBefore w:val="0"/>
        <w:numPr>
          <w:numId w:val="0"/>
        </w:numPr>
        <w:kinsoku/>
        <w:wordWrap/>
        <w:overflowPunct/>
        <w:topLinePunct w:val="0"/>
        <w:bidi w:val="0"/>
        <w:snapToGrid/>
        <w:spacing w:line="600" w:lineRule="exact"/>
        <w:ind w:right="0" w:rightChars="0"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年全</w:t>
      </w:r>
      <w:r>
        <w:rPr>
          <w:rFonts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rPr>
        <w:t>预算数</w:t>
      </w:r>
      <w:r>
        <w:rPr>
          <w:rFonts w:hint="eastAsia" w:ascii="仿宋_GB2312" w:hAnsi="仿宋" w:eastAsia="仿宋_GB2312"/>
          <w:strike w:val="0"/>
          <w:dstrike w:val="0"/>
          <w:color w:val="auto"/>
          <w:sz w:val="32"/>
          <w:szCs w:val="32"/>
          <w:highlight w:val="none"/>
          <w:u w:val="none"/>
        </w:rPr>
        <w:t>9196.23</w:t>
      </w:r>
      <w:r>
        <w:rPr>
          <w:rFonts w:hint="eastAsia" w:ascii="仿宋_GB2312" w:hAnsi="宋体" w:eastAsia="仿宋_GB2312" w:cs="宋体"/>
          <w:color w:val="auto"/>
          <w:kern w:val="0"/>
          <w:sz w:val="32"/>
          <w:szCs w:val="32"/>
        </w:rPr>
        <w:t>万元</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其中</w:t>
      </w:r>
      <w:r>
        <w:rPr>
          <w:rFonts w:ascii="仿宋_GB2312" w:hAnsi="宋体" w:eastAsia="仿宋_GB2312" w:cs="宋体"/>
          <w:color w:val="auto"/>
          <w:kern w:val="0"/>
          <w:sz w:val="32"/>
          <w:szCs w:val="32"/>
        </w:rPr>
        <w:t>，基本</w:t>
      </w:r>
      <w:r>
        <w:rPr>
          <w:rFonts w:hint="eastAsia" w:ascii="仿宋_GB2312" w:hAnsi="宋体" w:eastAsia="仿宋_GB2312" w:cs="宋体"/>
          <w:color w:val="auto"/>
          <w:kern w:val="0"/>
          <w:sz w:val="32"/>
          <w:szCs w:val="32"/>
        </w:rPr>
        <w:t>支出</w:t>
      </w:r>
      <w:r>
        <w:rPr>
          <w:rFonts w:ascii="仿宋_GB2312" w:hAnsi="宋体" w:eastAsia="仿宋_GB2312" w:cs="宋体"/>
          <w:color w:val="auto"/>
          <w:kern w:val="0"/>
          <w:sz w:val="32"/>
          <w:szCs w:val="32"/>
        </w:rPr>
        <w:t>预算数</w:t>
      </w:r>
      <w:r>
        <w:rPr>
          <w:rFonts w:hint="eastAsia" w:ascii="仿宋_GB2312" w:hAnsi="宋体" w:eastAsia="仿宋_GB2312" w:cs="宋体"/>
          <w:color w:val="auto"/>
          <w:kern w:val="0"/>
          <w:sz w:val="32"/>
          <w:szCs w:val="32"/>
          <w:lang w:val="en-US" w:eastAsia="zh-CN"/>
        </w:rPr>
        <w:t>3718.67</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项目支出预算数</w:t>
      </w:r>
      <w:r>
        <w:rPr>
          <w:rFonts w:hint="eastAsia" w:ascii="仿宋_GB2312" w:hAnsi="宋体" w:eastAsia="仿宋_GB2312" w:cs="宋体"/>
          <w:color w:val="auto"/>
          <w:kern w:val="0"/>
          <w:sz w:val="32"/>
          <w:szCs w:val="32"/>
          <w:lang w:val="en-US" w:eastAsia="zh-CN"/>
        </w:rPr>
        <w:t>5477.56</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。资金总体支出17064.53万元，其中，基本支出3962.85万元，项目支出13101.69万元，</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其他支出。</w:t>
      </w:r>
    </w:p>
    <w:p>
      <w:pPr>
        <w:pageBreakBefore w:val="0"/>
        <w:kinsoku/>
        <w:wordWrap/>
        <w:overflowPunct/>
        <w:topLinePunct w:val="0"/>
        <w:bidi w:val="0"/>
        <w:snapToGrid/>
        <w:spacing w:line="600" w:lineRule="exact"/>
        <w:ind w:left="105" w:leftChars="50" w:right="0" w:rightChars="0" w:firstLine="480" w:firstLineChars="15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三</w:t>
      </w:r>
      <w:r>
        <w:rPr>
          <w:rFonts w:ascii="黑体" w:hAnsi="黑体" w:eastAsia="黑体" w:cs="宋体"/>
          <w:color w:val="000000" w:themeColor="text1"/>
          <w:kern w:val="0"/>
          <w:sz w:val="32"/>
          <w:szCs w:val="32"/>
          <w14:textFill>
            <w14:solidFill>
              <w14:schemeClr w14:val="tx1"/>
            </w14:solidFill>
          </w14:textFill>
        </w:rPr>
        <w:t>、整体绩效目标实现情况</w:t>
      </w:r>
    </w:p>
    <w:p>
      <w:pPr>
        <w:pageBreakBefore w:val="0"/>
        <w:kinsoku/>
        <w:wordWrap/>
        <w:overflowPunct/>
        <w:topLinePunct w:val="0"/>
        <w:bidi w:val="0"/>
        <w:snapToGrid/>
        <w:spacing w:line="600" w:lineRule="exact"/>
        <w:ind w:left="105" w:leftChars="50" w:right="0" w:rightChars="0" w:firstLine="480" w:firstLineChars="150"/>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（一）产出完成情况分析</w:t>
      </w:r>
    </w:p>
    <w:p>
      <w:pPr>
        <w:pageBreakBefore w:val="0"/>
        <w:kinsoku/>
        <w:wordWrap/>
        <w:overflowPunct/>
        <w:topLinePunct w:val="0"/>
        <w:bidi w:val="0"/>
        <w:snapToGrid/>
        <w:spacing w:line="600" w:lineRule="exact"/>
        <w:ind w:left="105" w:leftChars="50" w:right="0" w:rightChars="0" w:firstLine="480" w:firstLineChars="15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1.产出数量</w:t>
      </w:r>
      <w:r>
        <w:rPr>
          <w:rFonts w:hint="eastAsia" w:ascii="仿宋_GB2312" w:hAnsi="宋体" w:eastAsia="仿宋_GB2312" w:cs="宋体"/>
          <w:color w:val="000000" w:themeColor="text1"/>
          <w:kern w:val="0"/>
          <w:sz w:val="32"/>
          <w:szCs w:val="32"/>
          <w:lang w:eastAsia="zh-CN"/>
          <w14:textFill>
            <w14:solidFill>
              <w14:schemeClr w14:val="tx1"/>
            </w14:solidFill>
          </w14:textFill>
        </w:rPr>
        <w:t>和质量</w:t>
      </w:r>
    </w:p>
    <w:p>
      <w:pPr>
        <w:pStyle w:val="4"/>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截至2024年底，保障了行政编制在职人员70人，事业编制在职人员36人的日常基本支出，能够保证各预算单位正常运转。完成了预算单位年内重点职能工作保障项目，包括困难人群补助资金、辖区环境建设项目资金等项目。积极开展在档困难家庭生活救助、子女助学、医疗救助工作，帮助在档困难家庭实现解困脱困，各项资金拨付标准均符合相关法律法规及本部门本单位规章制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项目实施过程中针对不同项目的性质，安排主题相关的系列活动。在保证活动开展数量的前提下，不断提高活动质量。例如：开展就业扶持工作、党建工作主题活动。各项活动开展</w:t>
      </w: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在构建地区和谐局面、切实维护职工合法权益、维护社会稳定、推动地区环境整体建设等方面起到积极作用。</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产出进度</w:t>
      </w:r>
    </w:p>
    <w:p>
      <w:pPr>
        <w:pStyle w:val="4"/>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2024年，各预算单位根据预算申报内容和年度各项工作安排执行相关项目，项目专款专用，资金拨付及预算调整均有完整的审批程序。</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依据项目实际进展，加强资金支出管理，严格执行经费预算批复，及时根据工作变化做好经费预算调整，支出进度与工作进度相匹配，产出进度达到了年度确定的目标。在项目过程中，由各部门和财政科一起监督项目进程，并进行阶段性的工作总结。</w:t>
      </w:r>
    </w:p>
    <w:p>
      <w:pPr>
        <w:pageBreakBefore w:val="0"/>
        <w:numPr>
          <w:ilvl w:val="0"/>
          <w:numId w:val="3"/>
        </w:numPr>
        <w:kinsoku/>
        <w:wordWrap/>
        <w:overflowPunct/>
        <w:topLinePunct w:val="0"/>
        <w:bidi w:val="0"/>
        <w:snapToGrid/>
        <w:spacing w:line="600" w:lineRule="exact"/>
        <w:ind w:left="105" w:leftChars="50" w:right="0" w:rightChars="0" w:firstLine="480" w:firstLineChars="15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产出</w:t>
      </w:r>
      <w:r>
        <w:rPr>
          <w:rFonts w:ascii="仿宋_GB2312" w:hAnsi="宋体" w:eastAsia="仿宋_GB2312" w:cs="宋体"/>
          <w:color w:val="000000" w:themeColor="text1"/>
          <w:kern w:val="0"/>
          <w:sz w:val="32"/>
          <w:szCs w:val="32"/>
          <w14:textFill>
            <w14:solidFill>
              <w14:schemeClr w14:val="tx1"/>
            </w14:solidFill>
          </w14:textFill>
        </w:rPr>
        <w:t>成本</w:t>
      </w:r>
    </w:p>
    <w:p>
      <w:pPr>
        <w:pageBreakBefore w:val="0"/>
        <w:numPr>
          <w:numId w:val="0"/>
        </w:numPr>
        <w:kinsoku/>
        <w:wordWrap/>
        <w:overflowPunct/>
        <w:topLinePunct w:val="0"/>
        <w:bidi w:val="0"/>
        <w:snapToGrid/>
        <w:spacing w:line="600" w:lineRule="exact"/>
        <w:ind w:right="0" w:rightChars="0"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按照年度确定的工作目标和实际履职工作需要，</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在预算执行过程中，能够遵守相关政策法规的要求，严格财政支出的成本控制</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。基本支出占总支出的比重大，其主要用于保障人员等基本支出；项目支出则能够保障各部门和各业务科室运转类保障性支出，在年度预算内控制了成本支出。</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在执行中对偏差情况及时预算调整，提高了预算执行率，也进一步减少预算成本占用。</w:t>
      </w:r>
      <w:r>
        <w:rPr>
          <w:rFonts w:hint="eastAsia" w:ascii="仿宋_GB2312" w:hAnsi="宋体" w:eastAsia="仿宋_GB2312" w:cs="宋体"/>
          <w:color w:val="000000" w:themeColor="text1"/>
          <w:kern w:val="0"/>
          <w:sz w:val="32"/>
          <w:szCs w:val="32"/>
          <w14:textFill>
            <w14:solidFill>
              <w14:schemeClr w14:val="tx1"/>
            </w14:solidFill>
          </w14:textFill>
        </w:rPr>
        <w:t xml:space="preserve">                                     </w:t>
      </w:r>
    </w:p>
    <w:p>
      <w:pPr>
        <w:pageBreakBefore w:val="0"/>
        <w:kinsoku/>
        <w:wordWrap/>
        <w:overflowPunct/>
        <w:topLinePunct w:val="0"/>
        <w:bidi w:val="0"/>
        <w:snapToGrid/>
        <w:spacing w:line="600" w:lineRule="exact"/>
        <w:ind w:left="105" w:leftChars="50" w:right="0" w:rightChars="0" w:firstLine="480" w:firstLineChars="150"/>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（二）效果</w:t>
      </w:r>
      <w:r>
        <w:rPr>
          <w:rFonts w:ascii="楷体_GB2312" w:eastAsia="楷体_GB2312"/>
          <w:color w:val="000000" w:themeColor="text1"/>
          <w:sz w:val="32"/>
          <w:szCs w:val="32"/>
          <w14:textFill>
            <w14:solidFill>
              <w14:schemeClr w14:val="tx1"/>
            </w14:solidFill>
          </w14:textFill>
        </w:rPr>
        <w:t>实现情况分析</w:t>
      </w:r>
    </w:p>
    <w:p>
      <w:pPr>
        <w:keepNext w:val="0"/>
        <w:keepLines w:val="0"/>
        <w:pageBreakBefore w:val="0"/>
        <w:widowControl w:val="0"/>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1.经济</w:t>
      </w:r>
      <w:r>
        <w:rPr>
          <w:rFonts w:ascii="仿宋_GB2312" w:hAnsi="宋体" w:eastAsia="仿宋_GB2312" w:cs="宋体"/>
          <w:color w:val="000000" w:themeColor="text1"/>
          <w:kern w:val="0"/>
          <w:sz w:val="32"/>
          <w:szCs w:val="32"/>
          <w14:textFill>
            <w14:solidFill>
              <w14:schemeClr w14:val="tx1"/>
            </w14:solidFill>
          </w14:textFill>
        </w:rPr>
        <w:t>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部门预算资金较好保障了各部门运转及主要职能工作，能够按照单位整体工作要点，保质保量完成各项工作任务。</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对于经济效益指标，严格控制项目成本，确保项目不超额支出。对于特殊群体慰问和社会保障工作项目，我们将严格按照区级政策要求，按标准准时进行项目资金发放。</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妥善应对突发事件，重大环境和群众信访案件的查办能力不断提升；改善人居生活环境质量，提升居民生活便利，保障人民生命、财产安全；督促商家加大安全生产工作力度。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对于公共服务项目，我们将保持各服务机构在年度内可以正常运转，加强人员培训，提高社会面稳定，促进群众团结、地区和谐发展。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对于民生建设专项，我们从群众提出的实际问题出发，根据工作需要和群众需求开展了一系列老旧小区改造项目，真正的从根本上直接解决民生问题，保障了社区环境的安全稳定。各个项目按照民生需求设计，项目执行接受监督。</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环境效益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对于辖区环境整治和提升项目，我们将环境效益作为重点指标。不断推动环境质量改善、维护生态环境有所改善。主要围绕居民日常生活所需开展环境整治项目，例如垃圾清运、危树修整等项目，对周边环境进行定期维护，不断增强居民幸福度和满意度。</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可持续</w:t>
      </w:r>
      <w:r>
        <w:rPr>
          <w:rFonts w:ascii="仿宋_GB2312" w:hAnsi="宋体" w:eastAsia="仿宋_GB2312" w:cs="宋体"/>
          <w:color w:val="000000" w:themeColor="text1"/>
          <w:kern w:val="0"/>
          <w:sz w:val="32"/>
          <w:szCs w:val="32"/>
          <w14:textFill>
            <w14:solidFill>
              <w14:schemeClr w14:val="tx1"/>
            </w14:solidFill>
          </w14:textFill>
        </w:rPr>
        <w:t>性影响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团结湖街道不断加强机关干部队伍建设，提升服务保障能力。搭建交流学习、协同联动平台，加强指导联络，提高工作整体水平。一方面，我们不断提升服务水平和服务质量，为居民提供更高质量的工作；另一方面，本年度许多项目为环境建设、老旧小区整治项目，均为长期工程项目，竣工后能为居民提供更高质量生活。</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服务对象</w:t>
      </w:r>
      <w:r>
        <w:rPr>
          <w:rFonts w:ascii="仿宋_GB2312" w:hAnsi="宋体" w:eastAsia="仿宋_GB2312" w:cs="宋体"/>
          <w:color w:val="000000" w:themeColor="text1"/>
          <w:kern w:val="0"/>
          <w:sz w:val="32"/>
          <w:szCs w:val="32"/>
          <w14:textFill>
            <w14:solidFill>
              <w14:schemeClr w14:val="tx1"/>
            </w14:solidFill>
          </w14:textFill>
        </w:rPr>
        <w:t>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在项目推进过程中，除了对资金使用情况监控，我们也不断关注服务对象满意度，以便更高效的推进项目。针对周边工程项目的开展，我们做好了事前询问、事中反馈、事后回访这三个步骤，使得每一个项目落实到位。对于发放给社区工作者、巡逻执勤志愿者等的经费，我们也在项目完成后开展满意度调查。总体</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服务对象对项目实施满意度较高。</w:t>
      </w:r>
    </w:p>
    <w:p>
      <w:pPr>
        <w:pageBreakBefore w:val="0"/>
        <w:kinsoku/>
        <w:wordWrap/>
        <w:overflowPunct/>
        <w:topLinePunct w:val="0"/>
        <w:bidi w:val="0"/>
        <w:snapToGrid/>
        <w:spacing w:line="600" w:lineRule="exact"/>
        <w:ind w:left="105" w:leftChars="50" w:right="0" w:rightChars="0" w:firstLine="480" w:firstLineChars="150"/>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四</w:t>
      </w:r>
      <w:r>
        <w:rPr>
          <w:rFonts w:ascii="黑体" w:hAnsi="黑体" w:eastAsia="黑体" w:cs="宋体"/>
          <w:color w:val="000000" w:themeColor="text1"/>
          <w:kern w:val="0"/>
          <w:sz w:val="32"/>
          <w:szCs w:val="32"/>
          <w14:textFill>
            <w14:solidFill>
              <w14:schemeClr w14:val="tx1"/>
            </w14:solidFill>
          </w14:textFill>
        </w:rPr>
        <w:t>、预算管理</w:t>
      </w:r>
      <w:r>
        <w:rPr>
          <w:rFonts w:hint="eastAsia" w:ascii="黑体" w:hAnsi="黑体" w:eastAsia="黑体" w:cs="宋体"/>
          <w:color w:val="000000" w:themeColor="text1"/>
          <w:kern w:val="0"/>
          <w:sz w:val="32"/>
          <w:szCs w:val="32"/>
          <w14:textFill>
            <w14:solidFill>
              <w14:schemeClr w14:val="tx1"/>
            </w14:solidFill>
          </w14:textFill>
        </w:rPr>
        <w:t>情况分</w:t>
      </w:r>
      <w:r>
        <w:rPr>
          <w:rFonts w:ascii="黑体" w:hAnsi="黑体" w:eastAsia="黑体" w:cs="宋体"/>
          <w:color w:val="000000" w:themeColor="text1"/>
          <w:kern w:val="0"/>
          <w:sz w:val="32"/>
          <w:szCs w:val="32"/>
          <w14:textFill>
            <w14:solidFill>
              <w14:schemeClr w14:val="tx1"/>
            </w14:solidFill>
          </w14:textFill>
        </w:rPr>
        <w:t>析</w:t>
      </w:r>
    </w:p>
    <w:p>
      <w:pPr>
        <w:pageBreakBefore w:val="0"/>
        <w:kinsoku/>
        <w:wordWrap/>
        <w:overflowPunct/>
        <w:topLinePunct w:val="0"/>
        <w:bidi w:val="0"/>
        <w:snapToGrid/>
        <w:spacing w:line="600" w:lineRule="exact"/>
        <w:ind w:left="105" w:leftChars="50" w:right="0" w:rightChars="0" w:firstLine="480" w:firstLineChars="150"/>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（一）财务管理</w:t>
      </w:r>
    </w:p>
    <w:p>
      <w:pPr>
        <w:keepNext w:val="0"/>
        <w:keepLines w:val="0"/>
        <w:pageBreakBefore w:val="0"/>
        <w:widowControl w:val="0"/>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1.财务</w:t>
      </w:r>
      <w:r>
        <w:rPr>
          <w:rFonts w:ascii="仿宋_GB2312" w:hAnsi="宋体" w:eastAsia="仿宋_GB2312" w:cs="宋体"/>
          <w:color w:val="000000" w:themeColor="text1"/>
          <w:kern w:val="0"/>
          <w:sz w:val="32"/>
          <w:szCs w:val="32"/>
          <w14:textFill>
            <w14:solidFill>
              <w14:schemeClr w14:val="tx1"/>
            </w14:solidFill>
          </w14:textFill>
        </w:rPr>
        <w:t>管理制度健全性</w:t>
      </w:r>
    </w:p>
    <w:p>
      <w:pPr>
        <w:pStyle w:val="4"/>
        <w:keepNext w:val="0"/>
        <w:keepLines w:val="0"/>
        <w:pageBreakBefore w:val="0"/>
        <w:widowControl w:val="0"/>
        <w:kinsoku/>
        <w:wordWrap/>
        <w:overflowPunct/>
        <w:topLinePunct w:val="0"/>
        <w:autoSpaceDE/>
        <w:autoSpaceDN/>
        <w:bidi w:val="0"/>
        <w:adjustRightInd/>
        <w:snapToGrid/>
        <w:spacing w:line="600" w:lineRule="exact"/>
        <w:ind w:right="0" w:rightChars="0" w:firstLine="560"/>
        <w:jc w:val="both"/>
        <w:textAlignment w:val="auto"/>
        <w:outlineLvl w:val="9"/>
        <w:rPr>
          <w:color w:val="000000" w:themeColor="text1"/>
          <w14:textFill>
            <w14:solidFill>
              <w14:schemeClr w14:val="tx1"/>
            </w14:solidFill>
          </w14:textFill>
        </w:rPr>
      </w:pP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为做好预算管理工作，规范预算的执行程序，提高项目执行效率，团结湖街道</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严格按照内控规范要求，执行各项管理制度，规范经费支出，并接受审计监督。</w:t>
      </w:r>
    </w:p>
    <w:p>
      <w:pPr>
        <w:keepNext w:val="0"/>
        <w:keepLines w:val="0"/>
        <w:pageBreakBefore w:val="0"/>
        <w:widowControl w:val="0"/>
        <w:numPr>
          <w:numId w:val="0"/>
        </w:numPr>
        <w:kinsoku/>
        <w:wordWrap/>
        <w:overflowPunct/>
        <w:topLinePunct w:val="0"/>
        <w:autoSpaceDE/>
        <w:autoSpaceDN/>
        <w:bidi w:val="0"/>
        <w:adjustRightInd/>
        <w:snapToGrid/>
        <w:spacing w:line="600" w:lineRule="exact"/>
        <w:ind w:leftChars="200" w:right="0" w:rightChars="0"/>
        <w:jc w:val="both"/>
        <w:textAlignment w:val="auto"/>
        <w:outlineLvl w:val="9"/>
        <w:rPr>
          <w:rFonts w:hint="eastAsia"/>
          <w:color w:val="000000" w:themeColor="text1"/>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14:textFill>
            <w14:solidFill>
              <w14:schemeClr w14:val="tx1"/>
            </w14:solidFill>
          </w14:textFill>
        </w:rPr>
        <w:t>资金使用合规性</w:t>
      </w:r>
      <w:r>
        <w:rPr>
          <w:rFonts w:ascii="仿宋_GB2312" w:hAnsi="宋体" w:eastAsia="仿宋_GB2312" w:cs="宋体"/>
          <w:color w:val="000000" w:themeColor="text1"/>
          <w:kern w:val="0"/>
          <w:sz w:val="32"/>
          <w:szCs w:val="32"/>
          <w14:textFill>
            <w14:solidFill>
              <w14:schemeClr w14:val="tx1"/>
            </w14:solidFill>
          </w14:textFill>
        </w:rPr>
        <w:t>和安全性</w:t>
      </w:r>
    </w:p>
    <w:p>
      <w:pPr>
        <w:keepNext w:val="0"/>
        <w:keepLines w:val="0"/>
        <w:pageBreakBefore w:val="0"/>
        <w:widowControl w:val="0"/>
        <w:numPr>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在2024年部门预算管理中，</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严格按照预算管理要求执行。一方面，从预算编制入手，</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将厉行节约与部门预算管理相结合，从严从紧编制预算，严格控制“三公经费”等一般性支出。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另一方面，不断加强财务管理，规范审批程序，强化内部控制。</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加大执行环节控制，提高预算资金使用的合规性和安全性，严格按照部门预算批复执行，坚持统筹兼顾、指标控制、从严考核的原则，严格执行专项资金管理制度，不挪用和挤占项目资金，确保资金使用安全。</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会计</w:t>
      </w:r>
      <w:r>
        <w:rPr>
          <w:rFonts w:ascii="仿宋_GB2312" w:hAnsi="宋体" w:eastAsia="仿宋_GB2312" w:cs="宋体"/>
          <w:color w:val="000000" w:themeColor="text1"/>
          <w:kern w:val="0"/>
          <w:sz w:val="32"/>
          <w:szCs w:val="32"/>
          <w14:textFill>
            <w14:solidFill>
              <w14:schemeClr w14:val="tx1"/>
            </w14:solidFill>
          </w14:textFill>
        </w:rPr>
        <w:t>基础信息完善性</w:t>
      </w:r>
    </w:p>
    <w:p>
      <w:pPr>
        <w:pStyle w:val="4"/>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严格按照政府会计制度开展工作，加强对预算、财务、采购等知识的学习，确保会计核算的规范，</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保证会计资料准确、完整，部门基础信息管理较好。根据财政局关于做好部门预决算公开的相关要求，及时并完整的向社会公开部门的预决算信息。</w:t>
      </w:r>
    </w:p>
    <w:p>
      <w:pPr>
        <w:pageBreakBefore w:val="0"/>
        <w:numPr>
          <w:ilvl w:val="0"/>
          <w:numId w:val="6"/>
        </w:numPr>
        <w:kinsoku/>
        <w:wordWrap/>
        <w:overflowPunct/>
        <w:topLinePunct w:val="0"/>
        <w:bidi w:val="0"/>
        <w:snapToGrid/>
        <w:spacing w:line="600" w:lineRule="exact"/>
        <w:ind w:left="105" w:leftChars="50" w:right="0" w:rightChars="0" w:firstLine="480" w:firstLineChars="150"/>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资产管理</w:t>
      </w:r>
    </w:p>
    <w:p>
      <w:pPr>
        <w:pageBreakBefore w:val="0"/>
        <w:numPr>
          <w:ilvl w:val="0"/>
          <w:numId w:val="0"/>
        </w:numPr>
        <w:kinsoku/>
        <w:wordWrap/>
        <w:overflowPunct/>
        <w:topLinePunct w:val="0"/>
        <w:bidi w:val="0"/>
        <w:snapToGrid/>
        <w:spacing w:line="600" w:lineRule="exact"/>
        <w:ind w:right="0" w:rightChars="0" w:firstLine="640" w:firstLineChars="200"/>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严格执行资产管理各项规定，扎实落实资产管理工作。资产配置按存量实行严格的控制管理，强化资产配置的预算理念，细化资产配置的预算编制，规范执行资产采购的审批程序，</w:t>
      </w:r>
      <w:r>
        <w:rPr>
          <w:rFonts w:hint="eastAsia" w:ascii="仿宋_GB2312" w:hAnsi="仿宋" w:eastAsia="仿宋_GB2312" w:cs="仿宋"/>
          <w:bCs/>
          <w:color w:val="000000" w:themeColor="text1"/>
          <w:kern w:val="2"/>
          <w:sz w:val="32"/>
          <w:szCs w:val="32"/>
          <w:lang w:val="en-US" w:eastAsia="zh-CN" w:bidi="ar-SA"/>
          <w14:textFill>
            <w14:solidFill>
              <w14:schemeClr w14:val="tx1"/>
            </w14:solidFill>
          </w14:textFill>
        </w:rPr>
        <w:t>对不能正常使用并达到最高使用年限的资产进行报废处置。项目单位固定资产管理制度较明确，相关部门和岗位的职责权限明确。</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left="105" w:leftChars="50" w:right="0" w:rightChars="0" w:firstLine="480" w:firstLineChars="15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绩效管理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按照年度绩效评价工作要求，团结湖街道办事处对 2024年完成的纳入考核范围的项目进行自评，全部项目均填报了项目支出绩效自评表。从部门预算绩效完成情况看，总体完成较好，财政资金使用效益得到发挥。从评价结果看，项目立项符合部门职责和相关管理制度，制定的项目绩效目标合理，各项工作有序开展，达到了预期目标。</w:t>
      </w:r>
    </w:p>
    <w:p>
      <w:pPr>
        <w:pStyle w:val="4"/>
        <w:keepNext w:val="0"/>
        <w:keepLines w:val="0"/>
        <w:pageBreakBefore w:val="0"/>
        <w:widowControl w:val="0"/>
        <w:kinsoku/>
        <w:wordWrap/>
        <w:overflowPunct/>
        <w:topLinePunct w:val="0"/>
        <w:autoSpaceDE/>
        <w:autoSpaceDN/>
        <w:bidi w:val="0"/>
        <w:adjustRightInd/>
        <w:snapToGrid/>
        <w:spacing w:line="600" w:lineRule="exact"/>
        <w:ind w:right="0" w:rightChars="0" w:firstLine="560"/>
        <w:jc w:val="both"/>
        <w:textAlignment w:val="auto"/>
        <w:outlineLvl w:val="9"/>
        <w:rPr>
          <w:color w:val="000000" w:themeColor="text1"/>
          <w14:textFill>
            <w14:solidFill>
              <w14:schemeClr w14:val="tx1"/>
            </w14:solidFill>
          </w14:textFill>
        </w:rPr>
      </w:pP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在项目管理方面，在项目实施过程中进行定期和不定期检查，通过规范业务流程，构筑内部监督管理体系。进一步细化项目预算内容和规划目标，针对重点工作内容制定相关专项方案，为合理设定部门整体绩效目标、产出指标、精准编制预算提供可靠依据。</w:t>
      </w:r>
    </w:p>
    <w:p>
      <w:pPr>
        <w:pageBreakBefore w:val="0"/>
        <w:numPr>
          <w:numId w:val="0"/>
        </w:numPr>
        <w:kinsoku/>
        <w:wordWrap/>
        <w:overflowPunct/>
        <w:topLinePunct w:val="0"/>
        <w:bidi w:val="0"/>
        <w:snapToGrid/>
        <w:spacing w:line="600" w:lineRule="exact"/>
        <w:ind w:leftChars="200" w:right="0" w:rightChars="0"/>
        <w:rPr>
          <w:rFonts w:hint="eastAsia" w:ascii="黑体" w:hAnsi="黑体" w:eastAsia="黑体" w:cs="宋体"/>
          <w:color w:val="auto"/>
          <w:kern w:val="0"/>
          <w:sz w:val="32"/>
          <w:szCs w:val="32"/>
          <w:lang w:eastAsia="zh-CN"/>
        </w:rPr>
      </w:pPr>
      <w:r>
        <w:rPr>
          <w:rFonts w:hint="eastAsia" w:ascii="楷体_GB2312" w:eastAsia="楷体_GB2312"/>
          <w:color w:val="auto"/>
          <w:sz w:val="32"/>
          <w:szCs w:val="32"/>
          <w:lang w:eastAsia="zh-CN"/>
        </w:rPr>
        <w:t>（四）</w:t>
      </w:r>
      <w:r>
        <w:rPr>
          <w:rFonts w:hint="eastAsia" w:ascii="楷体_GB2312" w:eastAsia="楷体_GB2312"/>
          <w:color w:val="auto"/>
          <w:sz w:val="32"/>
          <w:szCs w:val="32"/>
        </w:rPr>
        <w:t>结转结余率</w:t>
      </w:r>
    </w:p>
    <w:p>
      <w:pPr>
        <w:numPr>
          <w:ilvl w:val="0"/>
          <w:numId w:val="0"/>
        </w:numPr>
        <w:spacing w:line="600" w:lineRule="exact"/>
        <w:ind w:firstLine="640" w:firstLineChars="200"/>
        <w:rPr>
          <w:rFonts w:hint="eastAsia"/>
          <w:color w:val="auto"/>
        </w:rPr>
      </w:pPr>
      <w:r>
        <w:rPr>
          <w:rFonts w:hint="eastAsia" w:ascii="仿宋_GB2312" w:hAnsi="宋体" w:eastAsia="仿宋_GB2312" w:cs="宋体"/>
          <w:color w:val="auto"/>
          <w:kern w:val="0"/>
          <w:sz w:val="32"/>
          <w:szCs w:val="32"/>
          <w:lang w:val="en-US" w:eastAsia="zh-CN"/>
        </w:rPr>
        <w:t>2024年预算年末结转结余292.372045万元，2024年支出预算数9196.23万元，</w:t>
      </w:r>
      <w:r>
        <w:rPr>
          <w:rFonts w:hint="eastAsia" w:ascii="仿宋_GB2312" w:hAnsi="宋体" w:eastAsia="仿宋_GB2312" w:cs="宋体"/>
          <w:color w:val="auto"/>
          <w:kern w:val="0"/>
          <w:sz w:val="32"/>
          <w:szCs w:val="32"/>
          <w:lang w:val="en-US" w:eastAsia="zh-CN"/>
        </w:rPr>
        <w:t>本年结转结余率为3.18%。</w:t>
      </w:r>
    </w:p>
    <w:p>
      <w:pPr>
        <w:pageBreakBefore w:val="0"/>
        <w:numPr>
          <w:ilvl w:val="0"/>
          <w:numId w:val="6"/>
        </w:numPr>
        <w:kinsoku/>
        <w:wordWrap/>
        <w:overflowPunct/>
        <w:topLinePunct w:val="0"/>
        <w:bidi w:val="0"/>
        <w:snapToGrid/>
        <w:spacing w:line="600" w:lineRule="exact"/>
        <w:ind w:left="105" w:leftChars="50" w:right="0" w:rightChars="0" w:firstLine="480" w:firstLineChars="150"/>
        <w:rPr>
          <w:rFonts w:hint="eastAsia" w:ascii="楷体_GB2312" w:eastAsia="楷体_GB2312"/>
          <w:color w:val="auto"/>
          <w:sz w:val="32"/>
          <w:szCs w:val="32"/>
          <w:lang w:eastAsia="zh-CN"/>
        </w:rPr>
      </w:pPr>
      <w:r>
        <w:rPr>
          <w:rFonts w:hint="eastAsia" w:ascii="楷体_GB2312" w:eastAsia="楷体_GB2312"/>
          <w:color w:val="auto"/>
          <w:sz w:val="32"/>
          <w:szCs w:val="32"/>
        </w:rPr>
        <w:t>部门</w:t>
      </w:r>
      <w:r>
        <w:rPr>
          <w:rFonts w:ascii="楷体_GB2312" w:eastAsia="楷体_GB2312"/>
          <w:color w:val="auto"/>
          <w:sz w:val="32"/>
          <w:szCs w:val="32"/>
        </w:rPr>
        <w:t>预决算差异率</w:t>
      </w:r>
    </w:p>
    <w:p>
      <w:pPr>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firstLine="640" w:firstLineChars="200"/>
        <w:jc w:val="both"/>
        <w:textAlignment w:val="auto"/>
        <w:outlineLvl w:val="9"/>
      </w:pPr>
      <w:r>
        <w:rPr>
          <w:rFonts w:hint="eastAsia" w:ascii="仿宋_GB2312" w:hAnsi="宋体" w:eastAsia="仿宋_GB2312" w:cs="宋体"/>
          <w:color w:val="auto"/>
          <w:kern w:val="0"/>
          <w:sz w:val="32"/>
          <w:szCs w:val="32"/>
          <w:lang w:val="en-US" w:eastAsia="zh-CN"/>
        </w:rPr>
        <w:t>2024年，年初全年支出预算数为9196.23</w:t>
      </w:r>
      <w:r>
        <w:rPr>
          <w:rFonts w:hint="eastAsia" w:ascii="仿宋_GB2312" w:hAnsi="宋体" w:eastAsia="仿宋_GB2312" w:cs="宋体"/>
          <w:color w:val="auto"/>
          <w:kern w:val="0"/>
          <w:sz w:val="32"/>
          <w:szCs w:val="32"/>
          <w:lang w:val="en-US" w:eastAsia="zh-CN"/>
        </w:rPr>
        <w:t>万元，年末全年支出部门决算数为17064.53万元，部门预决算差异率为85.56%。增减变动原因进行说明如下：主要老旧小区综合整治项目经费增加。</w:t>
      </w:r>
      <w:bookmarkStart w:id="1" w:name="_GoBack"/>
      <w:bookmarkEnd w:id="1"/>
    </w:p>
    <w:p>
      <w:pPr>
        <w:keepNext w:val="0"/>
        <w:keepLines w:val="0"/>
        <w:pageBreakBefore w:val="0"/>
        <w:kinsoku/>
        <w:wordWrap/>
        <w:overflowPunct/>
        <w:topLinePunct w:val="0"/>
        <w:bidi w:val="0"/>
        <w:snapToGrid/>
        <w:spacing w:line="600" w:lineRule="exact"/>
        <w:ind w:left="105" w:leftChars="50" w:right="0" w:rightChars="0" w:firstLine="480" w:firstLineChars="150"/>
        <w:jc w:val="both"/>
        <w:outlineLvl w:val="9"/>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五、总体</w:t>
      </w:r>
      <w:r>
        <w:rPr>
          <w:rFonts w:ascii="黑体" w:hAnsi="黑体" w:eastAsia="黑体"/>
          <w:color w:val="000000" w:themeColor="text1"/>
          <w:sz w:val="32"/>
          <w:szCs w:val="32"/>
          <w14:textFill>
            <w14:solidFill>
              <w14:schemeClr w14:val="tx1"/>
            </w14:solidFill>
          </w14:textFill>
        </w:rPr>
        <w:t>评价结论</w:t>
      </w:r>
    </w:p>
    <w:p>
      <w:pPr>
        <w:keepNext w:val="0"/>
        <w:keepLines w:val="0"/>
        <w:pageBreakBefore w:val="0"/>
        <w:kinsoku/>
        <w:wordWrap/>
        <w:overflowPunct/>
        <w:topLinePunct w:val="0"/>
        <w:bidi w:val="0"/>
        <w:snapToGrid/>
        <w:spacing w:line="600" w:lineRule="exact"/>
        <w:ind w:left="105" w:leftChars="50" w:right="0" w:rightChars="0" w:firstLine="480" w:firstLineChars="150"/>
        <w:jc w:val="both"/>
        <w:outlineLvl w:val="9"/>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（一）评价</w:t>
      </w:r>
      <w:r>
        <w:rPr>
          <w:rFonts w:ascii="楷体_GB2312" w:eastAsia="楷体_GB2312"/>
          <w:color w:val="000000" w:themeColor="text1"/>
          <w:sz w:val="32"/>
          <w:szCs w:val="32"/>
          <w14:textFill>
            <w14:solidFill>
              <w14:schemeClr w14:val="tx1"/>
            </w14:solidFill>
          </w14:textFill>
        </w:rPr>
        <w:t>得分</w:t>
      </w:r>
      <w:r>
        <w:rPr>
          <w:rFonts w:hint="eastAsia" w:ascii="楷体_GB2312" w:eastAsia="楷体_GB2312"/>
          <w:color w:val="000000" w:themeColor="text1"/>
          <w:sz w:val="32"/>
          <w:szCs w:val="32"/>
          <w14:textFill>
            <w14:solidFill>
              <w14:schemeClr w14:val="tx1"/>
            </w14:solidFill>
          </w14:textFill>
        </w:rPr>
        <w:t>情况</w:t>
      </w:r>
    </w:p>
    <w:p>
      <w:pPr>
        <w:keepNext w:val="0"/>
        <w:keepLines w:val="0"/>
        <w:pageBreakBefore w:val="0"/>
        <w:numPr>
          <w:ilvl w:val="0"/>
          <w:numId w:val="0"/>
        </w:numPr>
        <w:kinsoku/>
        <w:wordWrap/>
        <w:overflowPunct/>
        <w:topLinePunct w:val="0"/>
        <w:bidi w:val="0"/>
        <w:snapToGrid/>
        <w:spacing w:line="600" w:lineRule="exact"/>
        <w:ind w:right="0" w:rightChars="0" w:firstLine="640" w:firstLineChars="200"/>
        <w:jc w:val="both"/>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经评价，2024年度部门整体支出绩效评价结果为“优秀”。在产出进度方面整体项目进度符合预期，绝大部分项目完成了100%支出；从效果实现角度来看，各项指标基本顺利完成，经济效益和社会效益指标完成情况较好，能够从实际问题出发制定项目指标。在项目推进过程中，除了对于资金使用情况的跟踪外，我们也不忘跟踪服务对象的满意度，以便我们可以更高效的推进项目。</w:t>
      </w:r>
    </w:p>
    <w:p>
      <w:pPr>
        <w:keepNext w:val="0"/>
        <w:keepLines w:val="0"/>
        <w:pageBreakBefore w:val="0"/>
        <w:numPr>
          <w:ilvl w:val="0"/>
          <w:numId w:val="7"/>
        </w:numPr>
        <w:kinsoku/>
        <w:wordWrap/>
        <w:overflowPunct/>
        <w:topLinePunct w:val="0"/>
        <w:bidi w:val="0"/>
        <w:snapToGrid/>
        <w:spacing w:line="600" w:lineRule="exact"/>
        <w:ind w:left="105" w:leftChars="50" w:right="0" w:rightChars="0" w:firstLine="480" w:firstLineChars="150"/>
        <w:jc w:val="both"/>
        <w:outlineLvl w:val="9"/>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存在的问题及原因分析</w:t>
      </w:r>
    </w:p>
    <w:p>
      <w:pPr>
        <w:pStyle w:val="7"/>
        <w:keepNext w:val="0"/>
        <w:keepLines w:val="0"/>
        <w:pageBreakBefore w:val="0"/>
        <w:numPr>
          <w:ilvl w:val="0"/>
          <w:numId w:val="0"/>
        </w:numPr>
        <w:kinsoku/>
        <w:wordWrap/>
        <w:overflowPunct/>
        <w:topLinePunct w:val="0"/>
        <w:bidi w:val="0"/>
        <w:snapToGrid/>
        <w:spacing w:line="600" w:lineRule="exact"/>
        <w:ind w:right="0" w:rightChars="0" w:firstLine="640" w:firstLineChars="200"/>
        <w:jc w:val="both"/>
        <w:outlineLvl w:val="9"/>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项目实施方案需进一步健全完善，应结合具体项目实施特点，形成项目实施工作方案，进一步明确实施部门责任。</w:t>
      </w:r>
    </w:p>
    <w:p>
      <w:pPr>
        <w:pStyle w:val="7"/>
        <w:keepNext w:val="0"/>
        <w:keepLines w:val="0"/>
        <w:pageBreakBefore w:val="0"/>
        <w:numPr>
          <w:ilvl w:val="0"/>
          <w:numId w:val="0"/>
        </w:numPr>
        <w:kinsoku/>
        <w:wordWrap/>
        <w:overflowPunct/>
        <w:topLinePunct w:val="0"/>
        <w:bidi w:val="0"/>
        <w:snapToGrid/>
        <w:spacing w:line="600" w:lineRule="exact"/>
        <w:ind w:right="0" w:rightChars="0"/>
        <w:jc w:val="both"/>
        <w:outlineLvl w:val="9"/>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项目执行的绩效资料收集、整理需进一步强化,重点项目开展对象满意度调查，更加全面地搜集项目效益效果资料。</w:t>
      </w:r>
    </w:p>
    <w:p>
      <w:pPr>
        <w:pageBreakBefore w:val="0"/>
        <w:numPr>
          <w:ilvl w:val="0"/>
          <w:numId w:val="0"/>
        </w:numPr>
        <w:kinsoku/>
        <w:wordWrap/>
        <w:overflowPunct/>
        <w:topLinePunct w:val="0"/>
        <w:bidi w:val="0"/>
        <w:snapToGrid/>
        <w:spacing w:line="600" w:lineRule="exact"/>
        <w:ind w:right="0" w:rightChars="0" w:firstLine="640" w:firstLineChars="200"/>
        <w:rPr>
          <w:rFonts w:hint="eastAsia"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六、措施建议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一、强化绩效管理意识，相关部门定期开展绩效管理工作指导，使得项目负责部门明确责任意识和绩效管理的重要性，并在部门内制定相应的绩效管理措施。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二、健全完善项目实施方案和管理制度。明确项目管理要素，合理安排项目人员分工、进度计划，加强项目实施过程控制及监督管理。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三、注重项目效益指标的实现情况，选择适当的方式、方法，全面开展服务对象满意度调查及分析，充分反映项目服务对象满意度。</w:t>
      </w:r>
    </w:p>
    <w:p>
      <w:pPr>
        <w:pStyle w:val="7"/>
        <w:rPr>
          <w:rFonts w:hint="eastAsia"/>
          <w:lang w:val="en-US" w:eastAsia="zh-CN"/>
        </w:rPr>
      </w:pPr>
    </w:p>
    <w:p>
      <w:pPr>
        <w:pageBreakBefore w:val="0"/>
        <w:numPr>
          <w:ilvl w:val="0"/>
          <w:numId w:val="0"/>
        </w:numPr>
        <w:kinsoku/>
        <w:wordWrap/>
        <w:overflowPunct/>
        <w:topLinePunct w:val="0"/>
        <w:bidi w:val="0"/>
        <w:snapToGrid/>
        <w:spacing w:line="600" w:lineRule="exact"/>
        <w:ind w:right="0" w:rightChars="0" w:firstLine="640" w:firstLineChars="200"/>
        <w:jc w:val="right"/>
        <w:rPr>
          <w:rFonts w:hint="eastAsia"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团结湖街道办事处</w:t>
      </w:r>
    </w:p>
    <w:p>
      <w:pPr>
        <w:pageBreakBefore w:val="0"/>
        <w:numPr>
          <w:ilvl w:val="0"/>
          <w:numId w:val="0"/>
        </w:numPr>
        <w:kinsoku/>
        <w:wordWrap/>
        <w:overflowPunct/>
        <w:topLinePunct w:val="0"/>
        <w:bidi w:val="0"/>
        <w:snapToGrid/>
        <w:spacing w:line="600" w:lineRule="exact"/>
        <w:ind w:right="0" w:rightChars="0" w:firstLine="640" w:firstLineChars="200"/>
        <w:jc w:val="right"/>
        <w:rPr>
          <w:color w:val="000000" w:themeColor="text1"/>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2025年2月12日</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Calibri Light">
    <w:panose1 w:val="020F0302020204030204"/>
    <w:charset w:val="00"/>
    <w:family w:val="decorative"/>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书宋_GBK">
    <w:altName w:val="Arial Unicode MS"/>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仿宋_GBK">
    <w:altName w:val="Arial Unicode MS"/>
    <w:panose1 w:val="02000000000000000000"/>
    <w:charset w:val="86"/>
    <w:family w:val="auto"/>
    <w:pitch w:val="default"/>
    <w:sig w:usb0="00000000" w:usb1="00000000" w:usb2="00000000" w:usb3="00000000" w:csb0="00040000" w:csb1="00000000"/>
  </w:font>
  <w:font w:name="方正黑体_GBK">
    <w:altName w:val="Arial Unicode MS"/>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AC3BDA"/>
    <w:multiLevelType w:val="singleLevel"/>
    <w:tmpl w:val="67AC3BDA"/>
    <w:lvl w:ilvl="0" w:tentative="0">
      <w:start w:val="1"/>
      <w:numFmt w:val="decimal"/>
      <w:suff w:val="nothing"/>
      <w:lvlText w:val="%1."/>
      <w:lvlJc w:val="left"/>
    </w:lvl>
  </w:abstractNum>
  <w:abstractNum w:abstractNumId="1">
    <w:nsid w:val="67AC4005"/>
    <w:multiLevelType w:val="singleLevel"/>
    <w:tmpl w:val="67AC4005"/>
    <w:lvl w:ilvl="0" w:tentative="0">
      <w:start w:val="2"/>
      <w:numFmt w:val="decimal"/>
      <w:suff w:val="nothing"/>
      <w:lvlText w:val="%1."/>
      <w:lvlJc w:val="left"/>
    </w:lvl>
  </w:abstractNum>
  <w:abstractNum w:abstractNumId="2">
    <w:nsid w:val="67AC41BE"/>
    <w:multiLevelType w:val="singleLevel"/>
    <w:tmpl w:val="67AC41BE"/>
    <w:lvl w:ilvl="0" w:tentative="0">
      <w:start w:val="2"/>
      <w:numFmt w:val="decimal"/>
      <w:suff w:val="nothing"/>
      <w:lvlText w:val="%1."/>
      <w:lvlJc w:val="left"/>
    </w:lvl>
  </w:abstractNum>
  <w:abstractNum w:abstractNumId="3">
    <w:nsid w:val="67AC4A00"/>
    <w:multiLevelType w:val="singleLevel"/>
    <w:tmpl w:val="67AC4A00"/>
    <w:lvl w:ilvl="0" w:tentative="0">
      <w:start w:val="3"/>
      <w:numFmt w:val="decimal"/>
      <w:suff w:val="nothing"/>
      <w:lvlText w:val="%1."/>
      <w:lvlJc w:val="left"/>
    </w:lvl>
  </w:abstractNum>
  <w:abstractNum w:abstractNumId="4">
    <w:nsid w:val="67AC4A38"/>
    <w:multiLevelType w:val="singleLevel"/>
    <w:tmpl w:val="67AC4A38"/>
    <w:lvl w:ilvl="0" w:tentative="0">
      <w:start w:val="2"/>
      <w:numFmt w:val="chineseCounting"/>
      <w:suff w:val="nothing"/>
      <w:lvlText w:val="（%1）"/>
      <w:lvlJc w:val="left"/>
    </w:lvl>
  </w:abstractNum>
  <w:abstractNum w:abstractNumId="5">
    <w:nsid w:val="67AC4AE0"/>
    <w:multiLevelType w:val="singleLevel"/>
    <w:tmpl w:val="67AC4AE0"/>
    <w:lvl w:ilvl="0" w:tentative="0">
      <w:start w:val="2"/>
      <w:numFmt w:val="chineseCounting"/>
      <w:suff w:val="nothing"/>
      <w:lvlText w:val="（%1）"/>
      <w:lvlJc w:val="left"/>
    </w:lvl>
  </w:abstractNum>
  <w:abstractNum w:abstractNumId="6">
    <w:nsid w:val="67AC4F9E"/>
    <w:multiLevelType w:val="singleLevel"/>
    <w:tmpl w:val="67AC4F9E"/>
    <w:lvl w:ilvl="0" w:tentative="0">
      <w:start w:val="2"/>
      <w:numFmt w:val="chineseCounting"/>
      <w:suff w:val="nothing"/>
      <w:lvlText w:val="%1、"/>
      <w:lvlJc w:val="left"/>
    </w:lvl>
  </w:abstractNum>
  <w:num w:numId="1">
    <w:abstractNumId w:val="0"/>
  </w:num>
  <w:num w:numId="2">
    <w:abstractNumId w:val="6"/>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57202C"/>
    <w:rsid w:val="005E3946"/>
    <w:rsid w:val="00B03B70"/>
    <w:rsid w:val="00CF07EE"/>
    <w:rsid w:val="00E617B2"/>
    <w:rsid w:val="00EC7EFC"/>
    <w:rsid w:val="00F42C33"/>
    <w:rsid w:val="015A6A8C"/>
    <w:rsid w:val="03B51907"/>
    <w:rsid w:val="04E63BA7"/>
    <w:rsid w:val="05ED74B5"/>
    <w:rsid w:val="0AF62277"/>
    <w:rsid w:val="0B445F38"/>
    <w:rsid w:val="0B7F1E8B"/>
    <w:rsid w:val="0CFB506A"/>
    <w:rsid w:val="102F28C2"/>
    <w:rsid w:val="127068C6"/>
    <w:rsid w:val="13456EBD"/>
    <w:rsid w:val="135435DB"/>
    <w:rsid w:val="1371418B"/>
    <w:rsid w:val="140A0D0C"/>
    <w:rsid w:val="1562752B"/>
    <w:rsid w:val="15A3318A"/>
    <w:rsid w:val="163E3461"/>
    <w:rsid w:val="1651104A"/>
    <w:rsid w:val="172B046A"/>
    <w:rsid w:val="178C065A"/>
    <w:rsid w:val="18931CC8"/>
    <w:rsid w:val="18B61E1F"/>
    <w:rsid w:val="18B831C3"/>
    <w:rsid w:val="1A3A7BAD"/>
    <w:rsid w:val="1ABD0414"/>
    <w:rsid w:val="1BC92742"/>
    <w:rsid w:val="1CFA34F8"/>
    <w:rsid w:val="1D3232EE"/>
    <w:rsid w:val="1D56473E"/>
    <w:rsid w:val="1D7A2312"/>
    <w:rsid w:val="1DD44FC6"/>
    <w:rsid w:val="1DD9289B"/>
    <w:rsid w:val="1DFA20F5"/>
    <w:rsid w:val="1ED57A3C"/>
    <w:rsid w:val="1F8E6564"/>
    <w:rsid w:val="1F923CAB"/>
    <w:rsid w:val="1FDA0AB0"/>
    <w:rsid w:val="206E0E9D"/>
    <w:rsid w:val="207675CD"/>
    <w:rsid w:val="207F11C8"/>
    <w:rsid w:val="22B0555B"/>
    <w:rsid w:val="22DD3AAA"/>
    <w:rsid w:val="22F84D1A"/>
    <w:rsid w:val="243B70D0"/>
    <w:rsid w:val="255D778F"/>
    <w:rsid w:val="266C0E20"/>
    <w:rsid w:val="270A0077"/>
    <w:rsid w:val="28325C0A"/>
    <w:rsid w:val="2A840855"/>
    <w:rsid w:val="2AF97416"/>
    <w:rsid w:val="2D605507"/>
    <w:rsid w:val="2E35496F"/>
    <w:rsid w:val="2ED03D4B"/>
    <w:rsid w:val="2F321339"/>
    <w:rsid w:val="2F694E9D"/>
    <w:rsid w:val="2FFC49BB"/>
    <w:rsid w:val="30DB6BC2"/>
    <w:rsid w:val="32E57712"/>
    <w:rsid w:val="35070C6F"/>
    <w:rsid w:val="355356A8"/>
    <w:rsid w:val="36302B6D"/>
    <w:rsid w:val="37492964"/>
    <w:rsid w:val="37572060"/>
    <w:rsid w:val="392E7A10"/>
    <w:rsid w:val="3A030D21"/>
    <w:rsid w:val="3A26782A"/>
    <w:rsid w:val="3A901CF0"/>
    <w:rsid w:val="3B7B55B3"/>
    <w:rsid w:val="3CA74288"/>
    <w:rsid w:val="3DFA317F"/>
    <w:rsid w:val="3DFA42CA"/>
    <w:rsid w:val="3E932340"/>
    <w:rsid w:val="3F377506"/>
    <w:rsid w:val="3F866155"/>
    <w:rsid w:val="3F9D49F2"/>
    <w:rsid w:val="405E5502"/>
    <w:rsid w:val="4164324C"/>
    <w:rsid w:val="41A66A30"/>
    <w:rsid w:val="42B42247"/>
    <w:rsid w:val="43B533EE"/>
    <w:rsid w:val="47382567"/>
    <w:rsid w:val="4A1467D7"/>
    <w:rsid w:val="4AB307E2"/>
    <w:rsid w:val="4B6C7BB0"/>
    <w:rsid w:val="4C1704B6"/>
    <w:rsid w:val="4C7D0403"/>
    <w:rsid w:val="4CB37F58"/>
    <w:rsid w:val="4D57237F"/>
    <w:rsid w:val="4DDD3F5C"/>
    <w:rsid w:val="4E794C35"/>
    <w:rsid w:val="4EE64B3D"/>
    <w:rsid w:val="4F223AD6"/>
    <w:rsid w:val="4F650672"/>
    <w:rsid w:val="52842713"/>
    <w:rsid w:val="53642D2D"/>
    <w:rsid w:val="53682C64"/>
    <w:rsid w:val="53D80550"/>
    <w:rsid w:val="53DB1C84"/>
    <w:rsid w:val="546270FA"/>
    <w:rsid w:val="5A142CE5"/>
    <w:rsid w:val="5B1D39DF"/>
    <w:rsid w:val="5C46654B"/>
    <w:rsid w:val="5C941E82"/>
    <w:rsid w:val="5CAA6BBD"/>
    <w:rsid w:val="5D685DE7"/>
    <w:rsid w:val="5DC6590A"/>
    <w:rsid w:val="5E423AFE"/>
    <w:rsid w:val="5EBB5F29"/>
    <w:rsid w:val="5EEA76A4"/>
    <w:rsid w:val="5F880A3F"/>
    <w:rsid w:val="5FEB1463"/>
    <w:rsid w:val="60CB22FF"/>
    <w:rsid w:val="61F9322A"/>
    <w:rsid w:val="63DB5BF4"/>
    <w:rsid w:val="63FF0DC0"/>
    <w:rsid w:val="65076393"/>
    <w:rsid w:val="65B15D90"/>
    <w:rsid w:val="66536805"/>
    <w:rsid w:val="670B245F"/>
    <w:rsid w:val="675B17E4"/>
    <w:rsid w:val="67D87DF3"/>
    <w:rsid w:val="69C91FDD"/>
    <w:rsid w:val="6CFF3CA9"/>
    <w:rsid w:val="6E1F1B34"/>
    <w:rsid w:val="718630A2"/>
    <w:rsid w:val="72E32492"/>
    <w:rsid w:val="737A3B9E"/>
    <w:rsid w:val="73AF6866"/>
    <w:rsid w:val="74C955E4"/>
    <w:rsid w:val="754B7A0F"/>
    <w:rsid w:val="75613E64"/>
    <w:rsid w:val="75E2650F"/>
    <w:rsid w:val="764D54A3"/>
    <w:rsid w:val="77FD6D7F"/>
    <w:rsid w:val="78E65722"/>
    <w:rsid w:val="7932142C"/>
    <w:rsid w:val="79B57D1D"/>
    <w:rsid w:val="79BB1189"/>
    <w:rsid w:val="7A4E0EA4"/>
    <w:rsid w:val="7A86530D"/>
    <w:rsid w:val="7A9274D1"/>
    <w:rsid w:val="7CA25C96"/>
    <w:rsid w:val="7D931801"/>
    <w:rsid w:val="7DF8193E"/>
    <w:rsid w:val="7E274193"/>
    <w:rsid w:val="7EDE173D"/>
    <w:rsid w:val="7F941DC1"/>
    <w:rsid w:val="7FF106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ind w:firstLine="0" w:firstLineChars="0"/>
      <w:jc w:val="center"/>
      <w:outlineLvl w:val="1"/>
    </w:pPr>
    <w:rPr>
      <w:rFonts w:ascii="Cambria" w:hAnsi="Cambria" w:cs="Cambria"/>
      <w:sz w:val="36"/>
      <w:szCs w:val="36"/>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paragraph" w:styleId="4">
    <w:name w:val="Normal Indent"/>
    <w:basedOn w:val="1"/>
    <w:unhideWhenUsed/>
    <w:uiPriority w:val="0"/>
    <w:pPr>
      <w:ind w:firstLine="200" w:firstLineChars="200"/>
    </w:pPr>
  </w:style>
  <w:style w:type="paragraph" w:styleId="5">
    <w:name w:val="Body Text Indent"/>
    <w:basedOn w:val="1"/>
    <w:unhideWhenUsed/>
    <w:uiPriority w:val="0"/>
    <w:pPr>
      <w:widowControl/>
      <w:autoSpaceDE w:val="0"/>
      <w:autoSpaceDN w:val="0"/>
      <w:adjustRightInd w:val="0"/>
      <w:spacing w:line="312" w:lineRule="atLeast"/>
      <w:ind w:firstLine="540"/>
      <w:textAlignment w:val="bottom"/>
    </w:pPr>
    <w:rPr>
      <w:rFonts w:eastAsia="黑体"/>
      <w:kern w:val="0"/>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Body Text First Indent 2"/>
    <w:basedOn w:val="5"/>
    <w:unhideWhenUsed/>
    <w:uiPriority w:val="0"/>
    <w:pPr>
      <w:ind w:firstLine="420" w:firstLineChars="200"/>
    </w:pPr>
  </w:style>
  <w:style w:type="paragraph" w:styleId="8">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字符"/>
    <w:basedOn w:val="9"/>
    <w:link w:val="8"/>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75</Words>
  <Characters>430</Characters>
  <Lines>3</Lines>
  <Paragraphs>1</Paragraphs>
  <ScaleCrop>false</ScaleCrop>
  <LinksUpToDate>false</LinksUpToDate>
  <CharactersWithSpaces>504</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北京市朝阳区团结湖街道社区服务中心</cp:lastModifiedBy>
  <cp:lastPrinted>2025-01-16T06:24:00Z</cp:lastPrinted>
  <dcterms:modified xsi:type="dcterms:W3CDTF">2025-02-12T08:13:35Z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