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426"/>
        <w:gridCol w:w="713"/>
        <w:gridCol w:w="609"/>
        <w:gridCol w:w="535"/>
        <w:gridCol w:w="504"/>
        <w:gridCol w:w="141"/>
        <w:gridCol w:w="836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2020</w:t>
            </w:r>
            <w:r>
              <w:rPr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2020年农村地区党群服务中心建设经费-豆各庄乡党群服务中心建设项目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豆各庄乡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豆各庄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闫英娟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65479030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579.89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579.89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579.89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579.89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/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 xml:space="preserve">1. 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确保地区党群服务中心完成改造建设投入使用</w:t>
            </w:r>
          </w:p>
          <w:p>
            <w:pPr>
              <w:widowControl/>
              <w:spacing w:line="240" w:lineRule="exact"/>
              <w:jc w:val="both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2. 确保党群服务中心硬件软件满足地区党群活动需求，地区群众可以在此进行各种活动</w:t>
            </w: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正在进一步完善设计方案，初步确定运维方案，目前正在完善消防设计方案。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完成4层楼层的设计改造工作，按照功能布局建成展示厅、办公区、图书馆、多功能厅等空间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符合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不符合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未完成建设，尚在完善设计方案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达成可持续使用标准，确保党群服务中心成为地区的标志性阵地，可长期使用，在东城保障房、马家湾政策房入住后长远保证群众党群活动使用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符合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不符合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未完成建设，尚在完善设计方案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上半年完成工程的60%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符合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不符合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未完成建设，尚在完善设计方案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 w:val="0"/>
                <w:color w:val="000000"/>
                <w:kern w:val="0"/>
                <w:sz w:val="18"/>
                <w:szCs w:val="18"/>
              </w:rPr>
              <w:t>指标2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年底前完成全部工程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符合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不符合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未完成建设，尚在完善设计方案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总成本不超过社会平均成本5%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符合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不符合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地区新增1所地区级别的党群服务中心，弥补地区缺乏综合型大型党群中心的空白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符合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不符合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未完成建设，尚在完善设计方案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地区党群文化建设进一步提升，社会效益发挥良好，满足地区群众活动空间场地保障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符合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不符合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未完成建设，尚在完善设计方案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促进地区生态向好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符合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不符合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未完成建设，尚在完善设计方案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促进地区可持续发展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符合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不符合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未完成建设，尚在完善设计方案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社区居民对党群中心满意度100%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符合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不符合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未完成建设，尚在完善设计方案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exact"/>
          <w:jc w:val="center"/>
        </w:trPr>
        <w:tc>
          <w:tcPr>
            <w:tcW w:w="6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hint="default" w:eastAsia="宋体"/>
          <w:b w:val="0"/>
          <w:sz w:val="32"/>
          <w:szCs w:val="32"/>
          <w:lang w:val="en-US" w:eastAsia="zh-CN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hint="eastAsia" w:ascii="宋体" w:hAnsi="宋体"/>
          <w:sz w:val="24"/>
          <w:szCs w:val="32"/>
          <w:lang w:eastAsia="zh-CN"/>
        </w:rPr>
        <w:t>窦黎明</w:t>
      </w:r>
      <w:r>
        <w:rPr>
          <w:rFonts w:ascii="宋体" w:hAnsi="宋体"/>
          <w:sz w:val="24"/>
          <w:szCs w:val="32"/>
        </w:rPr>
        <w:t xml:space="preserve">     </w:t>
      </w:r>
      <w:r>
        <w:rPr>
          <w:rFonts w:hint="eastAsia" w:ascii="宋体" w:hAnsi="宋体"/>
          <w:sz w:val="24"/>
          <w:szCs w:val="32"/>
        </w:rPr>
        <w:t xml:space="preserve"> 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  <w:lang w:val="en-US" w:eastAsia="zh-CN"/>
        </w:rPr>
        <w:t>65479030</w:t>
      </w:r>
      <w:r>
        <w:rPr>
          <w:rFonts w:ascii="宋体" w:hAnsi="宋体"/>
          <w:sz w:val="24"/>
          <w:szCs w:val="32"/>
        </w:rPr>
        <w:t xml:space="preserve">    </w:t>
      </w:r>
      <w:r>
        <w:rPr>
          <w:rFonts w:hint="eastAsia" w:ascii="宋体" w:hAnsi="宋体"/>
          <w:sz w:val="24"/>
          <w:szCs w:val="32"/>
        </w:rPr>
        <w:t xml:space="preserve">   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  <w:lang w:val="en-US" w:eastAsia="zh-CN"/>
        </w:rPr>
        <w:t>2021.2.19</w:t>
      </w:r>
    </w:p>
    <w:sectPr>
      <w:footerReference r:id="rId3" w:type="default"/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15052"/>
    <w:rsid w:val="00031CEE"/>
    <w:rsid w:val="00057190"/>
    <w:rsid w:val="00080BB1"/>
    <w:rsid w:val="0008562A"/>
    <w:rsid w:val="00094D39"/>
    <w:rsid w:val="000A7CE4"/>
    <w:rsid w:val="000C0FFF"/>
    <w:rsid w:val="000D7D2F"/>
    <w:rsid w:val="000F016F"/>
    <w:rsid w:val="00115A6A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EE8"/>
    <w:rsid w:val="002C6350"/>
    <w:rsid w:val="003331AC"/>
    <w:rsid w:val="003331D0"/>
    <w:rsid w:val="00367AE6"/>
    <w:rsid w:val="00393E47"/>
    <w:rsid w:val="003B3305"/>
    <w:rsid w:val="003B7516"/>
    <w:rsid w:val="003D0D38"/>
    <w:rsid w:val="003F2606"/>
    <w:rsid w:val="00427CFF"/>
    <w:rsid w:val="004343B0"/>
    <w:rsid w:val="00462ED5"/>
    <w:rsid w:val="00492123"/>
    <w:rsid w:val="00492568"/>
    <w:rsid w:val="004C6CC2"/>
    <w:rsid w:val="004E131E"/>
    <w:rsid w:val="004E7C1C"/>
    <w:rsid w:val="00522946"/>
    <w:rsid w:val="005400B0"/>
    <w:rsid w:val="005525D9"/>
    <w:rsid w:val="00557B43"/>
    <w:rsid w:val="00563D78"/>
    <w:rsid w:val="00567FD5"/>
    <w:rsid w:val="00595CAE"/>
    <w:rsid w:val="005C6773"/>
    <w:rsid w:val="005D0885"/>
    <w:rsid w:val="005D59CE"/>
    <w:rsid w:val="00627AF6"/>
    <w:rsid w:val="006721BB"/>
    <w:rsid w:val="0067443B"/>
    <w:rsid w:val="00676E0B"/>
    <w:rsid w:val="006C7A52"/>
    <w:rsid w:val="007033FE"/>
    <w:rsid w:val="00751683"/>
    <w:rsid w:val="007668EF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90E1C"/>
    <w:rsid w:val="00994DE8"/>
    <w:rsid w:val="009D370F"/>
    <w:rsid w:val="009E0EF3"/>
    <w:rsid w:val="009F11F4"/>
    <w:rsid w:val="009F447A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B17E4"/>
    <w:rsid w:val="00DE5F9B"/>
    <w:rsid w:val="00E15B86"/>
    <w:rsid w:val="00E63A10"/>
    <w:rsid w:val="00E821B8"/>
    <w:rsid w:val="00EA2619"/>
    <w:rsid w:val="00EE2A07"/>
    <w:rsid w:val="00EF5211"/>
    <w:rsid w:val="00F74CFE"/>
    <w:rsid w:val="00F849D5"/>
    <w:rsid w:val="00FA72DB"/>
    <w:rsid w:val="032957F5"/>
    <w:rsid w:val="0AA21793"/>
    <w:rsid w:val="0D4E44D4"/>
    <w:rsid w:val="0F530C32"/>
    <w:rsid w:val="0FD71D45"/>
    <w:rsid w:val="10E72CEF"/>
    <w:rsid w:val="12BC5E8F"/>
    <w:rsid w:val="193F288E"/>
    <w:rsid w:val="1BBE66FB"/>
    <w:rsid w:val="201A6AA4"/>
    <w:rsid w:val="21866767"/>
    <w:rsid w:val="2391413A"/>
    <w:rsid w:val="27476F64"/>
    <w:rsid w:val="283A0986"/>
    <w:rsid w:val="28A82627"/>
    <w:rsid w:val="32377778"/>
    <w:rsid w:val="32DE5719"/>
    <w:rsid w:val="357B59EF"/>
    <w:rsid w:val="367D75EC"/>
    <w:rsid w:val="37ED6604"/>
    <w:rsid w:val="382B6775"/>
    <w:rsid w:val="38D07F45"/>
    <w:rsid w:val="3C3E6B07"/>
    <w:rsid w:val="3DC55B1C"/>
    <w:rsid w:val="3DD215D7"/>
    <w:rsid w:val="3E871149"/>
    <w:rsid w:val="3F1F6AC5"/>
    <w:rsid w:val="3F4A4E36"/>
    <w:rsid w:val="3F4D6D62"/>
    <w:rsid w:val="42610D54"/>
    <w:rsid w:val="45EA6449"/>
    <w:rsid w:val="460359DE"/>
    <w:rsid w:val="467B19A8"/>
    <w:rsid w:val="49F03628"/>
    <w:rsid w:val="4A490D40"/>
    <w:rsid w:val="4B4E1C15"/>
    <w:rsid w:val="4B792F7C"/>
    <w:rsid w:val="4CBA109B"/>
    <w:rsid w:val="4D0F0E47"/>
    <w:rsid w:val="4EA55961"/>
    <w:rsid w:val="4EAF4135"/>
    <w:rsid w:val="50A63B85"/>
    <w:rsid w:val="520D21A8"/>
    <w:rsid w:val="536369BE"/>
    <w:rsid w:val="549A7AFA"/>
    <w:rsid w:val="557B6719"/>
    <w:rsid w:val="56E90DFD"/>
    <w:rsid w:val="5B6629E8"/>
    <w:rsid w:val="5D617737"/>
    <w:rsid w:val="5DD76D87"/>
    <w:rsid w:val="5E1E2F31"/>
    <w:rsid w:val="603764FC"/>
    <w:rsid w:val="60B80E61"/>
    <w:rsid w:val="632426D4"/>
    <w:rsid w:val="63B75075"/>
    <w:rsid w:val="651F5D30"/>
    <w:rsid w:val="696B68DD"/>
    <w:rsid w:val="6A261F45"/>
    <w:rsid w:val="6D125E72"/>
    <w:rsid w:val="6F013EA0"/>
    <w:rsid w:val="6FB32B39"/>
    <w:rsid w:val="713314F2"/>
    <w:rsid w:val="74277F58"/>
    <w:rsid w:val="765E0959"/>
    <w:rsid w:val="76EF5736"/>
    <w:rsid w:val="7A892F86"/>
    <w:rsid w:val="7B026C9A"/>
    <w:rsid w:val="7BF23AC2"/>
    <w:rsid w:val="7BFF178D"/>
    <w:rsid w:val="7D16648A"/>
    <w:rsid w:val="7DBA2D67"/>
    <w:rsid w:val="7DD153BC"/>
    <w:rsid w:val="7F470DF0"/>
    <w:rsid w:val="7F5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254</Words>
  <Characters>1448</Characters>
  <Lines>12</Lines>
  <Paragraphs>3</Paragraphs>
  <ScaleCrop>false</ScaleCrop>
  <LinksUpToDate>false</LinksUpToDate>
  <CharactersWithSpaces>1699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caizheng</cp:lastModifiedBy>
  <cp:lastPrinted>2021-02-05T07:51:00Z</cp:lastPrinted>
  <dcterms:modified xsi:type="dcterms:W3CDTF">2021-03-19T07:42:35Z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