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黑体" w:hAnsi="黑体" w:eastAsia="黑体" w:cs="黑体"/>
          <w:sz w:val="32"/>
          <w:szCs w:val="32"/>
        </w:rPr>
      </w:pPr>
    </w:p>
    <w:p>
      <w:pPr>
        <w:spacing w:line="480" w:lineRule="exact"/>
        <w:rPr>
          <w:rFonts w:ascii="方正小标宋简体" w:eastAsia="方正小标宋简体"/>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1</w:t>
      </w:r>
      <w:bookmarkStart w:id="0" w:name="_GoBack"/>
      <w:bookmarkEnd w:id="0"/>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（一）部门机构设置情况</w:t>
      </w:r>
    </w:p>
    <w:p>
      <w:pPr>
        <w:ind w:firstLine="640" w:firstLineChars="200"/>
        <w:rPr>
          <w:rFonts w:hint="eastAsia" w:ascii="仿宋" w:hAnsi="仿宋" w:eastAsia="仿宋"/>
          <w:bCs/>
          <w:sz w:val="32"/>
          <w:szCs w:val="32"/>
        </w:rPr>
      </w:pPr>
      <w:r>
        <w:rPr>
          <w:rFonts w:hint="eastAsia" w:ascii="仿宋" w:hAnsi="仿宋" w:eastAsia="仿宋"/>
          <w:bCs/>
          <w:sz w:val="32"/>
          <w:szCs w:val="32"/>
        </w:rPr>
        <w:t>根据中共北京市朝阳区委办公室、北京市朝阳区人民政府办公室批准《北京市朝阳区十八里店乡（地区）机构改革方案》（京朝办发【2020】23号），设立北京市朝阳区十八里店乡人民政府。</w:t>
      </w:r>
    </w:p>
    <w:p>
      <w:pPr>
        <w:ind w:firstLine="640" w:firstLineChars="200"/>
        <w:rPr>
          <w:rFonts w:ascii="仿宋" w:hAnsi="仿宋" w:eastAsia="仿宋"/>
          <w:bCs/>
          <w:sz w:val="32"/>
          <w:szCs w:val="32"/>
        </w:rPr>
      </w:pPr>
      <w:r>
        <w:rPr>
          <w:rFonts w:hint="eastAsia" w:ascii="仿宋" w:hAnsi="仿宋" w:eastAsia="仿宋"/>
          <w:bCs/>
          <w:sz w:val="32"/>
          <w:szCs w:val="32"/>
        </w:rPr>
        <w:t>十八里店乡（地区）所属事业单位5个：⑴.北京市朝阳区十八里店乡（地区）便民服务中心；⑵.北京市朝阳区十八里店乡（地区）市民活动中心；⑶.北京市朝阳区十八里店乡（地区）市民诉求处置中心；⑷.北京市朝阳区十八里店乡(地区)农村合作经济经营管理站；⑸.北京市朝阳区十八里店乡（地区）社会公共事务服务中心。</w:t>
      </w:r>
    </w:p>
    <w:p>
      <w:pPr>
        <w:ind w:firstLine="640" w:firstLineChars="200"/>
        <w:rPr>
          <w:rFonts w:ascii="仿宋" w:hAnsi="仿宋" w:eastAsia="仿宋"/>
          <w:bCs/>
          <w:sz w:val="32"/>
          <w:szCs w:val="32"/>
        </w:rPr>
      </w:pPr>
      <w:r>
        <w:rPr>
          <w:rFonts w:hint="eastAsia" w:ascii="仿宋" w:hAnsi="仿宋" w:eastAsia="仿宋"/>
          <w:bCs/>
          <w:sz w:val="32"/>
          <w:szCs w:val="32"/>
        </w:rPr>
        <w:t>（二）部门职能情况</w:t>
      </w:r>
    </w:p>
    <w:p>
      <w:pPr>
        <w:ind w:firstLine="640" w:firstLineChars="200"/>
        <w:rPr>
          <w:rFonts w:ascii="仿宋" w:hAnsi="仿宋" w:eastAsia="仿宋"/>
          <w:bCs/>
          <w:sz w:val="32"/>
          <w:szCs w:val="32"/>
        </w:rPr>
      </w:pPr>
      <w:r>
        <w:rPr>
          <w:rFonts w:hint="eastAsia" w:ascii="仿宋" w:hAnsi="仿宋" w:eastAsia="仿宋"/>
          <w:bCs/>
          <w:sz w:val="32"/>
          <w:szCs w:val="32"/>
        </w:rPr>
        <w:t xml:space="preserve">十八里店乡人民政府（地区办事处）主要职责： </w:t>
      </w:r>
    </w:p>
    <w:p>
      <w:pPr>
        <w:ind w:firstLine="640" w:firstLineChars="200"/>
        <w:rPr>
          <w:rFonts w:ascii="仿宋" w:hAnsi="仿宋" w:eastAsia="仿宋"/>
          <w:bCs/>
          <w:sz w:val="32"/>
          <w:szCs w:val="32"/>
        </w:rPr>
      </w:pPr>
      <w:r>
        <w:rPr>
          <w:rFonts w:hint="eastAsia" w:ascii="仿宋" w:hAnsi="仿宋" w:eastAsia="仿宋"/>
          <w:bCs/>
          <w:sz w:val="32"/>
          <w:szCs w:val="32"/>
        </w:rPr>
        <w:t>（1）贯彻执行法律、法规、规章和市、区政府的决定、命令，执行本级人民代表大会的决议，发布决定和命令。</w:t>
      </w:r>
    </w:p>
    <w:p>
      <w:pPr>
        <w:ind w:firstLine="640" w:firstLineChars="200"/>
        <w:rPr>
          <w:rFonts w:ascii="仿宋" w:hAnsi="仿宋" w:eastAsia="仿宋"/>
          <w:bCs/>
          <w:sz w:val="32"/>
          <w:szCs w:val="32"/>
        </w:rPr>
      </w:pPr>
      <w:r>
        <w:rPr>
          <w:rFonts w:hint="eastAsia" w:ascii="仿宋" w:hAnsi="仿宋" w:eastAsia="仿宋"/>
          <w:bCs/>
          <w:sz w:val="32"/>
          <w:szCs w:val="32"/>
        </w:rPr>
        <w:t>（2）执行本行政区域内的经济和社会发展计划、预算，管理本行政区域内的经济、教育、科学、文化、卫生、体育事业和财政、民政、司法行政、计划生育等行政工作。</w:t>
      </w:r>
    </w:p>
    <w:p>
      <w:pPr>
        <w:ind w:firstLine="640" w:firstLineChars="200"/>
        <w:rPr>
          <w:rFonts w:ascii="仿宋" w:hAnsi="仿宋" w:eastAsia="仿宋"/>
          <w:bCs/>
          <w:sz w:val="32"/>
          <w:szCs w:val="32"/>
        </w:rPr>
      </w:pPr>
      <w:r>
        <w:rPr>
          <w:rFonts w:hint="eastAsia" w:ascii="仿宋" w:hAnsi="仿宋" w:eastAsia="仿宋"/>
          <w:bCs/>
          <w:sz w:val="32"/>
          <w:szCs w:val="32"/>
        </w:rPr>
        <w:t>（3）保护社会主义全民所有的财产和劳动群众集体所有的财产，保护公民私人所有的合法财产，维护社会秩序，保障公民的人身权利、民主权利和其他权利。</w:t>
      </w:r>
    </w:p>
    <w:p>
      <w:pPr>
        <w:ind w:firstLine="640" w:firstLineChars="200"/>
        <w:rPr>
          <w:rFonts w:ascii="仿宋" w:hAnsi="仿宋" w:eastAsia="仿宋"/>
          <w:bCs/>
          <w:sz w:val="32"/>
          <w:szCs w:val="32"/>
        </w:rPr>
      </w:pPr>
      <w:r>
        <w:rPr>
          <w:rFonts w:hint="eastAsia" w:ascii="仿宋" w:hAnsi="仿宋" w:eastAsia="仿宋"/>
          <w:bCs/>
          <w:sz w:val="32"/>
          <w:szCs w:val="32"/>
        </w:rPr>
        <w:t>（4）保护各种经济组织的合法权益。</w:t>
      </w:r>
    </w:p>
    <w:p>
      <w:pPr>
        <w:ind w:firstLine="640" w:firstLineChars="200"/>
        <w:rPr>
          <w:rFonts w:ascii="仿宋" w:hAnsi="仿宋" w:eastAsia="仿宋"/>
          <w:bCs/>
          <w:sz w:val="32"/>
          <w:szCs w:val="32"/>
        </w:rPr>
      </w:pPr>
      <w:r>
        <w:rPr>
          <w:rFonts w:hint="eastAsia" w:ascii="仿宋" w:hAnsi="仿宋" w:eastAsia="仿宋"/>
          <w:bCs/>
          <w:sz w:val="32"/>
          <w:szCs w:val="32"/>
        </w:rPr>
        <w:t>（5）保障少数民族的权利和尊重少数民族的风俗习惯。</w:t>
      </w:r>
    </w:p>
    <w:p>
      <w:pPr>
        <w:ind w:firstLine="640" w:firstLineChars="200"/>
        <w:rPr>
          <w:rFonts w:ascii="仿宋" w:hAnsi="仿宋" w:eastAsia="仿宋"/>
          <w:bCs/>
          <w:sz w:val="32"/>
          <w:szCs w:val="32"/>
        </w:rPr>
      </w:pPr>
      <w:r>
        <w:rPr>
          <w:rFonts w:hint="eastAsia" w:ascii="仿宋" w:hAnsi="仿宋" w:eastAsia="仿宋"/>
          <w:bCs/>
          <w:sz w:val="32"/>
          <w:szCs w:val="32"/>
        </w:rPr>
        <w:t>（6）保障宪法和法律赋予妇女的男女平等、同工同酬和婚姻自由等各项权利。</w:t>
      </w:r>
    </w:p>
    <w:p>
      <w:pPr>
        <w:ind w:firstLine="640" w:firstLineChars="200"/>
        <w:rPr>
          <w:rFonts w:ascii="仿宋" w:hAnsi="仿宋" w:eastAsia="仿宋"/>
          <w:bCs/>
          <w:sz w:val="32"/>
          <w:szCs w:val="32"/>
        </w:rPr>
      </w:pPr>
      <w:r>
        <w:rPr>
          <w:rFonts w:hint="eastAsia" w:ascii="仿宋" w:hAnsi="仿宋" w:eastAsia="仿宋"/>
          <w:bCs/>
          <w:sz w:val="32"/>
          <w:szCs w:val="32"/>
        </w:rPr>
        <w:t>（7）推进村（社区）发展建设，指导村民委员会、社区居民委员会工作，支持和促进依法自治，完善服务功能，提升治理水平；组织动员辖区单位和各类社会组织参与基层治理工作，统筹辖区资源，实现共建共治共享。</w:t>
      </w:r>
    </w:p>
    <w:p>
      <w:pPr>
        <w:ind w:firstLine="640" w:firstLineChars="200"/>
        <w:rPr>
          <w:rFonts w:ascii="仿宋" w:hAnsi="仿宋" w:eastAsia="仿宋"/>
          <w:bCs/>
          <w:sz w:val="32"/>
          <w:szCs w:val="32"/>
        </w:rPr>
      </w:pPr>
      <w:r>
        <w:rPr>
          <w:rFonts w:hint="eastAsia" w:ascii="仿宋" w:hAnsi="仿宋" w:eastAsia="仿宋"/>
          <w:bCs/>
          <w:sz w:val="32"/>
          <w:szCs w:val="32"/>
        </w:rPr>
        <w:t>（8）负责农村经济体制改革工作，组织指导农业和农村经济结构调整，实施农村集体经济产权制度改革，规范农村集体经济管理。</w:t>
      </w:r>
    </w:p>
    <w:p>
      <w:pPr>
        <w:ind w:firstLine="640" w:firstLineChars="200"/>
        <w:rPr>
          <w:rFonts w:ascii="仿宋" w:hAnsi="仿宋" w:eastAsia="仿宋"/>
          <w:bCs/>
          <w:sz w:val="32"/>
          <w:szCs w:val="32"/>
        </w:rPr>
      </w:pPr>
      <w:r>
        <w:rPr>
          <w:rFonts w:hint="eastAsia" w:ascii="仿宋" w:hAnsi="仿宋" w:eastAsia="仿宋"/>
          <w:bCs/>
          <w:sz w:val="32"/>
          <w:szCs w:val="32"/>
        </w:rPr>
        <w:t>（9）负责乡村规划建设和农村土地开发建设管理工作，落实农村基础设施建设，改善农村公共生活设施，加快农村城市化建设。</w:t>
      </w:r>
    </w:p>
    <w:p>
      <w:pPr>
        <w:ind w:firstLine="640" w:firstLineChars="200"/>
        <w:rPr>
          <w:rFonts w:ascii="仿宋" w:hAnsi="仿宋" w:eastAsia="仿宋"/>
          <w:bCs/>
          <w:sz w:val="32"/>
          <w:szCs w:val="32"/>
        </w:rPr>
      </w:pPr>
      <w:r>
        <w:rPr>
          <w:rFonts w:hint="eastAsia" w:ascii="仿宋" w:hAnsi="仿宋" w:eastAsia="仿宋"/>
          <w:bCs/>
          <w:sz w:val="32"/>
          <w:szCs w:val="32"/>
        </w:rPr>
        <w:t>（10）负责协同有关部门开展房屋安全管理、拆迁现场管理、施工单位依法施工监督、小区物业管理指导检查以及住宅小区公共配套设施落实情况的检查督促工作。</w:t>
      </w:r>
    </w:p>
    <w:p>
      <w:pPr>
        <w:ind w:firstLine="640" w:firstLineChars="200"/>
        <w:rPr>
          <w:rFonts w:ascii="仿宋" w:hAnsi="仿宋" w:eastAsia="仿宋"/>
          <w:bCs/>
          <w:sz w:val="32"/>
          <w:szCs w:val="32"/>
        </w:rPr>
      </w:pPr>
      <w:r>
        <w:rPr>
          <w:rFonts w:hint="eastAsia" w:ascii="仿宋" w:hAnsi="仿宋" w:eastAsia="仿宋"/>
          <w:bCs/>
          <w:sz w:val="32"/>
          <w:szCs w:val="32"/>
        </w:rPr>
        <w:t>（11）负责环境综合整治工作，组织监督对违法建筑、违法占用道路、无照经营行为的查处工作；负责本地区市容市貌、环境卫生、绿化美化、节水用水、环保和防空减灾等工作。</w:t>
      </w:r>
    </w:p>
    <w:p>
      <w:pPr>
        <w:ind w:firstLine="640" w:firstLineChars="200"/>
        <w:rPr>
          <w:rFonts w:ascii="仿宋" w:hAnsi="仿宋" w:eastAsia="仿宋"/>
          <w:bCs/>
          <w:sz w:val="32"/>
          <w:szCs w:val="32"/>
        </w:rPr>
      </w:pPr>
      <w:r>
        <w:rPr>
          <w:rFonts w:hint="eastAsia" w:ascii="仿宋" w:hAnsi="仿宋" w:eastAsia="仿宋"/>
          <w:bCs/>
          <w:sz w:val="32"/>
          <w:szCs w:val="32"/>
        </w:rPr>
        <w:t>（12）负责本地区社会治安综合治理以及安全生产监督、流动人口和出租房屋管理工作，协助开展交通安全、消防安全监管，维护社会秩序。</w:t>
      </w:r>
    </w:p>
    <w:p>
      <w:pPr>
        <w:ind w:firstLine="640" w:firstLineChars="200"/>
        <w:rPr>
          <w:rFonts w:ascii="仿宋" w:hAnsi="仿宋" w:eastAsia="仿宋"/>
          <w:bCs/>
          <w:sz w:val="32"/>
          <w:szCs w:val="32"/>
        </w:rPr>
      </w:pPr>
      <w:r>
        <w:rPr>
          <w:rFonts w:hint="eastAsia" w:ascii="仿宋" w:hAnsi="仿宋" w:eastAsia="仿宋"/>
          <w:bCs/>
          <w:sz w:val="32"/>
          <w:szCs w:val="32"/>
        </w:rPr>
        <w:t>（13）组织开展法制宣传和法律援助工作，接待群众来信来访，调解民事纠纷，化解社会矛盾，处理群体突发事件。</w:t>
      </w:r>
    </w:p>
    <w:p>
      <w:pPr>
        <w:ind w:firstLine="640" w:firstLineChars="200"/>
        <w:rPr>
          <w:rFonts w:ascii="仿宋" w:hAnsi="仿宋" w:eastAsia="仿宋"/>
          <w:bCs/>
          <w:sz w:val="32"/>
          <w:szCs w:val="32"/>
        </w:rPr>
      </w:pPr>
      <w:r>
        <w:rPr>
          <w:rFonts w:hint="eastAsia" w:ascii="仿宋" w:hAnsi="仿宋" w:eastAsia="仿宋"/>
          <w:bCs/>
          <w:sz w:val="32"/>
          <w:szCs w:val="32"/>
        </w:rPr>
        <w:t>（14）政府交办的其他事项。</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（三）部门整体绩效目标设立情况</w:t>
      </w:r>
    </w:p>
    <w:p>
      <w:pPr>
        <w:spacing w:line="600" w:lineRule="exact"/>
        <w:ind w:firstLine="640" w:firstLineChars="200"/>
        <w:rPr>
          <w:rFonts w:ascii="仿宋" w:hAnsi="仿宋" w:eastAsia="仿宋"/>
          <w:bCs/>
          <w:sz w:val="32"/>
          <w:szCs w:val="32"/>
          <w:highlight w:val="yellow"/>
        </w:rPr>
      </w:pPr>
      <w:r>
        <w:rPr>
          <w:rFonts w:hint="eastAsia" w:ascii="仿宋" w:hAnsi="仿宋" w:eastAsia="仿宋"/>
          <w:bCs/>
          <w:sz w:val="32"/>
          <w:szCs w:val="32"/>
          <w:highlight w:val="none"/>
        </w:rPr>
        <w:t>1、202</w:t>
      </w:r>
      <w:r>
        <w:rPr>
          <w:rFonts w:hint="eastAsia" w:ascii="仿宋" w:hAnsi="仿宋" w:eastAsia="仿宋"/>
          <w:bCs/>
          <w:sz w:val="32"/>
          <w:szCs w:val="32"/>
          <w:highlight w:val="none"/>
          <w:lang w:val="en-US" w:eastAsia="zh-CN"/>
        </w:rPr>
        <w:t>4</w:t>
      </w:r>
      <w:r>
        <w:rPr>
          <w:rFonts w:hint="eastAsia" w:ascii="仿宋" w:hAnsi="仿宋" w:eastAsia="仿宋"/>
          <w:bCs/>
          <w:sz w:val="32"/>
          <w:szCs w:val="32"/>
          <w:highlight w:val="none"/>
        </w:rPr>
        <w:t>年部门整体</w:t>
      </w:r>
      <w:r>
        <w:rPr>
          <w:rFonts w:ascii="仿宋" w:hAnsi="仿宋" w:eastAsia="仿宋"/>
          <w:bCs/>
          <w:sz w:val="32"/>
          <w:szCs w:val="32"/>
          <w:highlight w:val="none"/>
        </w:rPr>
        <w:t>全年</w:t>
      </w:r>
      <w:r>
        <w:rPr>
          <w:rFonts w:hint="eastAsia" w:ascii="仿宋" w:hAnsi="仿宋" w:eastAsia="仿宋"/>
          <w:bCs/>
          <w:sz w:val="32"/>
          <w:szCs w:val="32"/>
          <w:highlight w:val="none"/>
        </w:rPr>
        <w:t>预算数</w:t>
      </w:r>
      <w:r>
        <w:rPr>
          <w:rFonts w:hint="eastAsia" w:ascii="仿宋_GB2312" w:hAnsi="仿宋" w:eastAsia="仿宋_GB2312"/>
          <w:sz w:val="32"/>
          <w:szCs w:val="32"/>
          <w:highlight w:val="none"/>
        </w:rPr>
        <w:t>18,560.67</w:t>
      </w:r>
      <w:r>
        <w:rPr>
          <w:rFonts w:hint="eastAsia" w:ascii="仿宋" w:hAnsi="仿宋" w:eastAsia="仿宋"/>
          <w:bCs/>
          <w:sz w:val="32"/>
          <w:szCs w:val="32"/>
          <w:highlight w:val="none"/>
        </w:rPr>
        <w:t>万元</w:t>
      </w:r>
      <w:r>
        <w:rPr>
          <w:rFonts w:ascii="仿宋" w:hAnsi="仿宋" w:eastAsia="仿宋"/>
          <w:bCs/>
          <w:sz w:val="32"/>
          <w:szCs w:val="32"/>
          <w:highlight w:val="none"/>
        </w:rPr>
        <w:t>，</w:t>
      </w:r>
      <w:r>
        <w:rPr>
          <w:rFonts w:hint="eastAsia" w:ascii="仿宋" w:hAnsi="仿宋" w:eastAsia="仿宋"/>
          <w:bCs/>
          <w:sz w:val="32"/>
          <w:szCs w:val="32"/>
          <w:highlight w:val="none"/>
        </w:rPr>
        <w:t>其中</w:t>
      </w:r>
      <w:r>
        <w:rPr>
          <w:rFonts w:ascii="仿宋" w:hAnsi="仿宋" w:eastAsia="仿宋"/>
          <w:bCs/>
          <w:sz w:val="32"/>
          <w:szCs w:val="32"/>
          <w:highlight w:val="none"/>
        </w:rPr>
        <w:t>，基本</w:t>
      </w:r>
      <w:r>
        <w:rPr>
          <w:rFonts w:hint="eastAsia" w:ascii="仿宋" w:hAnsi="仿宋" w:eastAsia="仿宋"/>
          <w:bCs/>
          <w:sz w:val="32"/>
          <w:szCs w:val="32"/>
          <w:highlight w:val="none"/>
        </w:rPr>
        <w:t>支出</w:t>
      </w:r>
      <w:r>
        <w:rPr>
          <w:rFonts w:ascii="仿宋" w:hAnsi="仿宋" w:eastAsia="仿宋"/>
          <w:bCs/>
          <w:sz w:val="32"/>
          <w:szCs w:val="32"/>
          <w:highlight w:val="none"/>
        </w:rPr>
        <w:t>预算数</w:t>
      </w:r>
      <w:r>
        <w:rPr>
          <w:rFonts w:hint="eastAsia" w:ascii="仿宋" w:hAnsi="仿宋" w:eastAsia="仿宋"/>
          <w:bCs/>
          <w:sz w:val="32"/>
          <w:szCs w:val="32"/>
          <w:highlight w:val="none"/>
        </w:rPr>
        <w:t>6,027.13</w:t>
      </w:r>
      <w:r>
        <w:rPr>
          <w:rFonts w:ascii="仿宋" w:hAnsi="仿宋" w:eastAsia="仿宋"/>
          <w:bCs/>
          <w:sz w:val="32"/>
          <w:szCs w:val="32"/>
          <w:highlight w:val="none"/>
        </w:rPr>
        <w:t>万元，</w:t>
      </w:r>
      <w:r>
        <w:rPr>
          <w:rFonts w:hint="eastAsia" w:ascii="仿宋" w:hAnsi="仿宋" w:eastAsia="仿宋"/>
          <w:bCs/>
          <w:sz w:val="32"/>
          <w:szCs w:val="32"/>
          <w:highlight w:val="none"/>
        </w:rPr>
        <w:t>项目支出预算数12,533.54</w:t>
      </w:r>
      <w:r>
        <w:rPr>
          <w:rFonts w:ascii="仿宋" w:hAnsi="仿宋" w:eastAsia="仿宋"/>
          <w:bCs/>
          <w:sz w:val="32"/>
          <w:szCs w:val="32"/>
          <w:highlight w:val="none"/>
        </w:rPr>
        <w:t>万元，其他支出</w:t>
      </w:r>
      <w:r>
        <w:rPr>
          <w:rFonts w:hint="eastAsia" w:ascii="仿宋" w:hAnsi="仿宋" w:eastAsia="仿宋"/>
          <w:bCs/>
          <w:sz w:val="32"/>
          <w:szCs w:val="32"/>
          <w:highlight w:val="none"/>
        </w:rPr>
        <w:t>预算数0</w:t>
      </w:r>
      <w:r>
        <w:rPr>
          <w:rFonts w:ascii="仿宋" w:hAnsi="仿宋" w:eastAsia="仿宋"/>
          <w:bCs/>
          <w:sz w:val="32"/>
          <w:szCs w:val="32"/>
          <w:highlight w:val="none"/>
        </w:rPr>
        <w:t>万元</w:t>
      </w:r>
      <w:r>
        <w:rPr>
          <w:rFonts w:hint="eastAsia" w:ascii="仿宋" w:hAnsi="仿宋" w:eastAsia="仿宋"/>
          <w:bCs/>
          <w:sz w:val="32"/>
          <w:szCs w:val="32"/>
          <w:highlight w:val="none"/>
        </w:rPr>
        <w:t>。</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2、</w:t>
      </w:r>
      <w:r>
        <w:rPr>
          <w:rFonts w:hint="eastAsia" w:ascii="仿宋_GB2312" w:eastAsia="仿宋_GB2312"/>
          <w:bCs/>
          <w:color w:val="000000" w:themeColor="text1"/>
          <w:sz w:val="32"/>
          <w:szCs w:val="32"/>
        </w:rPr>
        <w:t>202</w:t>
      </w:r>
      <w:r>
        <w:rPr>
          <w:rFonts w:hint="eastAsia" w:ascii="仿宋_GB2312" w:eastAsia="仿宋_GB2312"/>
          <w:bCs/>
          <w:color w:val="000000" w:themeColor="text1"/>
          <w:sz w:val="32"/>
          <w:szCs w:val="32"/>
          <w:lang w:val="en-US" w:eastAsia="zh-CN"/>
        </w:rPr>
        <w:t>4</w:t>
      </w:r>
      <w:r>
        <w:rPr>
          <w:rFonts w:hint="eastAsia" w:ascii="仿宋_GB2312" w:eastAsia="仿宋_GB2312"/>
          <w:bCs/>
          <w:color w:val="000000" w:themeColor="text1"/>
          <w:sz w:val="32"/>
          <w:szCs w:val="32"/>
        </w:rPr>
        <w:t>年十八里店乡部门</w:t>
      </w:r>
      <w:r>
        <w:rPr>
          <w:rFonts w:hint="eastAsia" w:ascii="仿宋" w:hAnsi="仿宋" w:eastAsia="仿宋"/>
          <w:bCs/>
          <w:sz w:val="32"/>
          <w:szCs w:val="32"/>
        </w:rPr>
        <w:t>整体绩效目标：</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1）保障人员支出，机构正常运行支出，通过举办培训加强干部及居民的思想政治建设。</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2）通过固定资产购置提高本乡科室及社区办事时效。</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3）通过环境工程施工提升辖区宜居环境。</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4）通过绿化工程开产提升辖区绿化水平。</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5）通过安全、司法等工作开展保障辖区百姓安全。</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6）通过日常工作开展提升辖区百姓满意度，提高辖区百姓幸福指数。</w:t>
      </w:r>
    </w:p>
    <w:p>
      <w:pPr>
        <w:spacing w:line="600" w:lineRule="exact"/>
        <w:ind w:left="420" w:leftChars="200" w:firstLine="320" w:firstLineChars="100"/>
        <w:rPr>
          <w:rFonts w:ascii="仿宋" w:hAnsi="仿宋" w:eastAsia="仿宋"/>
          <w:bCs/>
          <w:sz w:val="32"/>
          <w:szCs w:val="32"/>
        </w:rPr>
      </w:pPr>
      <w:r>
        <w:rPr>
          <w:rFonts w:hint="eastAsia" w:ascii="仿宋" w:hAnsi="仿宋" w:eastAsia="仿宋"/>
          <w:bCs/>
          <w:sz w:val="32"/>
          <w:szCs w:val="32"/>
        </w:rPr>
        <w:t>3、评价原则。绩效评价遵循科学公正原则、统筹兼顾原则、激励约束原则和公开透明原则。</w:t>
      </w:r>
    </w:p>
    <w:p>
      <w:pPr>
        <w:spacing w:line="600" w:lineRule="exact"/>
        <w:ind w:left="420" w:leftChars="200" w:firstLine="320" w:firstLineChars="100"/>
        <w:rPr>
          <w:rFonts w:ascii="仿宋" w:hAnsi="仿宋" w:eastAsia="仿宋"/>
          <w:bCs/>
          <w:sz w:val="32"/>
          <w:szCs w:val="32"/>
        </w:rPr>
      </w:pPr>
      <w:r>
        <w:rPr>
          <w:rFonts w:hint="eastAsia" w:ascii="仿宋" w:hAnsi="仿宋" w:eastAsia="仿宋"/>
          <w:bCs/>
          <w:sz w:val="32"/>
          <w:szCs w:val="32"/>
        </w:rPr>
        <w:t>4、评价方法。本次绩效评价采取比较法，目标比较法是对建设项目的产出及效果与项目实施计划目标进行比较，分析预计目标的完成程度。</w:t>
      </w:r>
    </w:p>
    <w:p>
      <w:pPr>
        <w:spacing w:line="600" w:lineRule="exact"/>
        <w:ind w:left="420" w:leftChars="200" w:firstLine="320" w:firstLineChars="100"/>
        <w:rPr>
          <w:rFonts w:ascii="仿宋" w:hAnsi="仿宋" w:eastAsia="仿宋"/>
          <w:bCs/>
          <w:sz w:val="32"/>
          <w:szCs w:val="32"/>
        </w:rPr>
      </w:pPr>
      <w:r>
        <w:rPr>
          <w:rFonts w:hint="eastAsia" w:ascii="仿宋" w:hAnsi="仿宋" w:eastAsia="仿宋"/>
          <w:bCs/>
          <w:sz w:val="32"/>
          <w:szCs w:val="32"/>
        </w:rPr>
        <w:t>5、评价标准。包括数量指标、质量指标、时效指标、成本指标、社会效益指标等方面用于对绩效指标完成情况进行比较。</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202</w:t>
      </w:r>
      <w:r>
        <w:rPr>
          <w:rFonts w:hint="eastAsia" w:ascii="仿宋_GB2312" w:hAnsi="宋体" w:eastAsia="仿宋_GB2312"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年</w:t>
      </w:r>
      <w:r>
        <w:rPr>
          <w:rFonts w:ascii="仿宋_GB2312" w:hAnsi="宋体" w:eastAsia="仿宋_GB2312" w:cs="宋体"/>
          <w:color w:val="000000"/>
          <w:kern w:val="0"/>
          <w:sz w:val="32"/>
          <w:szCs w:val="32"/>
          <w:highlight w:val="none"/>
        </w:rPr>
        <w:t>全年</w:t>
      </w:r>
      <w:r>
        <w:rPr>
          <w:rFonts w:hint="eastAsia" w:ascii="仿宋_GB2312" w:hAnsi="宋体" w:eastAsia="仿宋_GB2312" w:cs="宋体"/>
          <w:color w:val="000000"/>
          <w:kern w:val="0"/>
          <w:sz w:val="32"/>
          <w:szCs w:val="32"/>
          <w:highlight w:val="none"/>
          <w:lang w:eastAsia="zh-CN"/>
        </w:rPr>
        <w:t>执行</w:t>
      </w:r>
      <w:r>
        <w:rPr>
          <w:rFonts w:hint="eastAsia" w:ascii="仿宋_GB2312" w:hAnsi="宋体" w:eastAsia="仿宋_GB2312" w:cs="宋体"/>
          <w:color w:val="000000"/>
          <w:kern w:val="0"/>
          <w:sz w:val="32"/>
          <w:szCs w:val="32"/>
          <w:highlight w:val="none"/>
        </w:rPr>
        <w:t>数803,876.62万元</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其中</w:t>
      </w:r>
      <w:r>
        <w:rPr>
          <w:rFonts w:ascii="仿宋_GB2312" w:hAnsi="宋体" w:eastAsia="仿宋_GB2312" w:cs="宋体"/>
          <w:color w:val="000000"/>
          <w:kern w:val="0"/>
          <w:sz w:val="32"/>
          <w:szCs w:val="32"/>
          <w:highlight w:val="none"/>
        </w:rPr>
        <w:t>，基本</w:t>
      </w:r>
      <w:r>
        <w:rPr>
          <w:rFonts w:hint="eastAsia" w:ascii="仿宋_GB2312" w:hAnsi="宋体" w:eastAsia="仿宋_GB2312" w:cs="宋体"/>
          <w:color w:val="000000"/>
          <w:kern w:val="0"/>
          <w:sz w:val="32"/>
          <w:szCs w:val="32"/>
          <w:highlight w:val="none"/>
        </w:rPr>
        <w:t>支出</w:t>
      </w:r>
      <w:r>
        <w:rPr>
          <w:rFonts w:hint="eastAsia" w:ascii="仿宋_GB2312" w:hAnsi="宋体" w:eastAsia="仿宋_GB2312" w:cs="宋体"/>
          <w:color w:val="000000"/>
          <w:kern w:val="0"/>
          <w:sz w:val="32"/>
          <w:szCs w:val="32"/>
          <w:highlight w:val="none"/>
          <w:lang w:eastAsia="zh-CN"/>
        </w:rPr>
        <w:t>执行</w:t>
      </w:r>
      <w:r>
        <w:rPr>
          <w:rFonts w:ascii="仿宋_GB2312" w:hAnsi="宋体" w:eastAsia="仿宋_GB2312" w:cs="宋体"/>
          <w:color w:val="000000"/>
          <w:kern w:val="0"/>
          <w:sz w:val="32"/>
          <w:szCs w:val="32"/>
          <w:highlight w:val="none"/>
        </w:rPr>
        <w:t>数</w:t>
      </w:r>
      <w:r>
        <w:rPr>
          <w:rFonts w:hint="eastAsia" w:ascii="仿宋_GB2312" w:hAnsi="宋体" w:eastAsia="仿宋_GB2312" w:cs="宋体"/>
          <w:color w:val="000000"/>
          <w:kern w:val="0"/>
          <w:sz w:val="32"/>
          <w:szCs w:val="32"/>
          <w:highlight w:val="none"/>
        </w:rPr>
        <w:t>6,358.19</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项目支出</w:t>
      </w:r>
      <w:r>
        <w:rPr>
          <w:rFonts w:hint="eastAsia" w:ascii="仿宋_GB2312" w:hAnsi="宋体" w:eastAsia="仿宋_GB2312" w:cs="宋体"/>
          <w:color w:val="000000"/>
          <w:kern w:val="0"/>
          <w:sz w:val="32"/>
          <w:szCs w:val="32"/>
          <w:highlight w:val="none"/>
          <w:lang w:eastAsia="zh-CN"/>
        </w:rPr>
        <w:t>执行</w:t>
      </w:r>
      <w:r>
        <w:rPr>
          <w:rFonts w:hint="eastAsia" w:ascii="仿宋_GB2312" w:hAnsi="宋体" w:eastAsia="仿宋_GB2312" w:cs="宋体"/>
          <w:color w:val="000000"/>
          <w:kern w:val="0"/>
          <w:sz w:val="32"/>
          <w:szCs w:val="32"/>
          <w:highlight w:val="none"/>
        </w:rPr>
        <w:t>数797,494.07</w:t>
      </w:r>
      <w:r>
        <w:rPr>
          <w:rFonts w:ascii="仿宋_GB2312" w:hAnsi="宋体" w:eastAsia="仿宋_GB2312" w:cs="宋体"/>
          <w:color w:val="000000"/>
          <w:kern w:val="0"/>
          <w:sz w:val="32"/>
          <w:szCs w:val="32"/>
          <w:highlight w:val="none"/>
        </w:rPr>
        <w:t>万元，其他支出</w:t>
      </w:r>
      <w:r>
        <w:rPr>
          <w:rFonts w:hint="eastAsia" w:ascii="仿宋_GB2312" w:hAnsi="宋体" w:eastAsia="仿宋_GB2312" w:cs="宋体"/>
          <w:color w:val="000000"/>
          <w:kern w:val="0"/>
          <w:sz w:val="32"/>
          <w:szCs w:val="32"/>
          <w:highlight w:val="none"/>
        </w:rPr>
        <w:t>预算数0</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资金总体</w:t>
      </w:r>
      <w:r>
        <w:rPr>
          <w:rFonts w:hint="eastAsia" w:ascii="仿宋_GB2312" w:hAnsi="宋体" w:eastAsia="仿宋_GB2312" w:cs="宋体"/>
          <w:color w:val="000000"/>
          <w:kern w:val="0"/>
          <w:sz w:val="32"/>
          <w:szCs w:val="32"/>
          <w:highlight w:val="none"/>
        </w:rPr>
        <w:t>支出803,876.62</w:t>
      </w:r>
      <w:r>
        <w:rPr>
          <w:rFonts w:ascii="仿宋_GB2312" w:hAnsi="宋体" w:eastAsia="仿宋_GB2312" w:cs="宋体"/>
          <w:color w:val="000000"/>
          <w:kern w:val="0"/>
          <w:sz w:val="32"/>
          <w:szCs w:val="32"/>
          <w:highlight w:val="none"/>
        </w:rPr>
        <w:t>万元，其中，基本支出</w:t>
      </w:r>
      <w:r>
        <w:rPr>
          <w:rFonts w:hint="eastAsia" w:ascii="仿宋_GB2312" w:hAnsi="宋体" w:eastAsia="仿宋_GB2312" w:cs="宋体"/>
          <w:color w:val="000000"/>
          <w:kern w:val="0"/>
          <w:sz w:val="32"/>
          <w:szCs w:val="32"/>
          <w:highlight w:val="none"/>
        </w:rPr>
        <w:t>6,358.19</w:t>
      </w:r>
      <w:r>
        <w:rPr>
          <w:rFonts w:ascii="仿宋_GB2312" w:hAnsi="宋体" w:eastAsia="仿宋_GB2312" w:cs="宋体"/>
          <w:color w:val="000000"/>
          <w:kern w:val="0"/>
          <w:sz w:val="32"/>
          <w:szCs w:val="32"/>
          <w:highlight w:val="none"/>
        </w:rPr>
        <w:t>万元，项目</w:t>
      </w:r>
      <w:r>
        <w:rPr>
          <w:rFonts w:hint="eastAsia" w:ascii="仿宋_GB2312" w:hAnsi="宋体" w:eastAsia="仿宋_GB2312" w:cs="宋体"/>
          <w:color w:val="000000"/>
          <w:kern w:val="0"/>
          <w:sz w:val="32"/>
          <w:szCs w:val="32"/>
          <w:highlight w:val="none"/>
        </w:rPr>
        <w:t>支出797,494.07</w:t>
      </w:r>
      <w:r>
        <w:rPr>
          <w:rFonts w:ascii="仿宋_GB2312" w:hAnsi="宋体" w:eastAsia="仿宋_GB2312" w:cs="宋体"/>
          <w:color w:val="000000"/>
          <w:kern w:val="0"/>
          <w:sz w:val="32"/>
          <w:szCs w:val="32"/>
          <w:highlight w:val="none"/>
        </w:rPr>
        <w:t>万元，其他支出</w:t>
      </w:r>
      <w:r>
        <w:rPr>
          <w:rFonts w:hint="eastAsia" w:ascii="仿宋_GB2312" w:hAnsi="宋体" w:eastAsia="仿宋_GB2312" w:cs="宋体"/>
          <w:color w:val="000000"/>
          <w:kern w:val="0"/>
          <w:sz w:val="32"/>
          <w:szCs w:val="32"/>
          <w:highlight w:val="none"/>
        </w:rPr>
        <w:t>0</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预算</w:t>
      </w:r>
      <w:r>
        <w:rPr>
          <w:rFonts w:ascii="仿宋_GB2312" w:hAnsi="宋体" w:eastAsia="仿宋_GB2312" w:cs="宋体"/>
          <w:color w:val="000000"/>
          <w:kern w:val="0"/>
          <w:sz w:val="32"/>
          <w:szCs w:val="32"/>
          <w:highlight w:val="none"/>
        </w:rPr>
        <w:t>执行率为</w:t>
      </w:r>
      <w:r>
        <w:rPr>
          <w:rFonts w:hint="eastAsia" w:ascii="仿宋_GB2312" w:hAnsi="宋体" w:eastAsia="仿宋_GB2312" w:cs="宋体"/>
          <w:color w:val="000000"/>
          <w:kern w:val="0"/>
          <w:sz w:val="32"/>
          <w:szCs w:val="32"/>
          <w:highlight w:val="none"/>
        </w:rPr>
        <w:t>100%。</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pPr>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202</w:t>
      </w:r>
      <w:r>
        <w:rPr>
          <w:rFonts w:hint="eastAsia" w:ascii="仿宋_GB2312" w:eastAsia="仿宋_GB2312"/>
          <w:bCs/>
          <w:color w:val="000000" w:themeColor="text1"/>
          <w:sz w:val="32"/>
          <w:szCs w:val="32"/>
          <w:lang w:val="en-US" w:eastAsia="zh-CN"/>
        </w:rPr>
        <w:t>4</w:t>
      </w:r>
      <w:r>
        <w:rPr>
          <w:rFonts w:hint="eastAsia" w:ascii="仿宋_GB2312" w:eastAsia="仿宋_GB2312"/>
          <w:bCs/>
          <w:color w:val="000000" w:themeColor="text1"/>
          <w:sz w:val="32"/>
          <w:szCs w:val="32"/>
        </w:rPr>
        <w:t>年度我乡绩效情况实现良好，基本支出圆满完成支出进度指标，全年积极配合区财政局绩效考评中心完成项目事前绩效评估、事后绩效考核等工作，注重财政性资金的使用效率,加强事前绩效评估、事后绩效评价结果的应用，并将绩效结果作为次年预算编制、项目实施的重要依据。</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进度</w:t>
      </w:r>
    </w:p>
    <w:p>
      <w:pPr>
        <w:pStyle w:val="2"/>
        <w:ind w:firstLine="640"/>
        <w:rPr>
          <w:rFonts w:ascii="仿宋_GB2312" w:hAnsi="仿宋" w:eastAsia="仿宋_GB2312" w:cs="仿宋"/>
          <w:bCs/>
          <w:sz w:val="32"/>
          <w:szCs w:val="32"/>
        </w:rPr>
      </w:pP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年，我乡根据预算申报内容执行相关项目，项目专款专用，资金拨付及预算调整均有完整的审批程序。</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仿宋" w:eastAsia="仿宋_GB2312" w:cs="仿宋"/>
          <w:bCs/>
          <w:sz w:val="32"/>
          <w:szCs w:val="32"/>
        </w:rPr>
        <w:t xml:space="preserve">我乡在预算执行过程中，能够遵守相关政策法规的要求，严格财政支出的成本控制，在执行中对偏差情况及时申报调整预算，提高了预算执行率，也进一步减少预算成本占用；下一步需要继续强化预算项目按计划及时完成了年初设定的目标任务，对于管理过程资料加强档案全过程的完整性，提高产出实际达成情况的可考核性。    </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各项目的经济效益主要是促进地方经济发展，促进财政收入可持续发展。通过产业转型升级等项目，持续优化营商环境，努力稳固涵养税源，保障我乡财政收入稳定增长，同时对辖区发展起到了带动作用，在保障民生就业等方面也有进一步提升。</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在社会效益方面，通过各项目的落地，维护地区和谐稳定，提高了人民生活水平。为民办实事、街乡治理等项目的完成，解决了居民关注较高的问题，大力提升居民居住环境，提高居民的满足感，整体社会效应明显。</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部分项目的完成极大提升辖区内环境，环境效益较为明显。基本事业费-道路及两侧便道保洁项目保证路段可见垃圾污渍密度符合标准及要求，垃圾清理频率做到日产日清日运，减少了道路垃圾的排放，有效控制扬尘污染，生态环境水平得到全面提升。</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各项目都是以环境、经济和社会可持续发展为原则，进行目标设立，并严格执行落实。比如公共服务经费项目已按时足额发放地区社区工作者工资，按月足额缴纳保险及公积金，保障了社区工作者的个人利益，从而确保社区正常、有序、持久运转。</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各项目的服务对象满意度较高，大部分项目是满足辖区居民群众的需求，各科室深入了解民意，贴近群众感受，真正做到项目为民所用、利益为民所谋。</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制定资金管理使用办法，发挥乡财政资金统筹与监管作用。合理安排使用统筹经费，提前谋划统筹经费使用方向，确保统筹经费合理分配。发挥资金安全保障作用，建立健全工作机制，完善工作流程和标准，加强资金安全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52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根据区财政局要求，按时完成支出进度，每季度通报考核目标。推动重点项目启动及落地，加快重点项目工作进度，以支出促使各业务科室推动项目发展，提前谋划工作思路、细化工作任务、及时督促各科室按考核要求完成支出进度，提高资金使用效率。</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pStyle w:val="2"/>
        <w:ind w:firstLine="640"/>
        <w:rPr>
          <w:rFonts w:ascii="仿宋_GB2312" w:hAnsi="仿宋" w:eastAsia="仿宋_GB2312" w:cs="仿宋"/>
          <w:bCs/>
          <w:sz w:val="32"/>
          <w:szCs w:val="32"/>
        </w:rPr>
      </w:pPr>
      <w:r>
        <w:rPr>
          <w:rFonts w:hint="eastAsia" w:ascii="仿宋_GB2312" w:hAnsi="仿宋" w:eastAsia="仿宋_GB2312" w:cs="仿宋"/>
          <w:bCs/>
          <w:sz w:val="32"/>
          <w:szCs w:val="32"/>
        </w:rPr>
        <w:t>在内控制度建设的基础上，结合预算执行中发现的问题，能够进一步完善财务管理制度。同时，加强会计核算基本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应将预算信息及时公开，本部门及所属事业单位均及时并完整的向社会公开部门的预决算信息。</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80" w:firstLineChars="150"/>
        <w:rPr>
          <w:rFonts w:ascii="楷体_GB2312" w:eastAsia="楷体_GB2312"/>
          <w:sz w:val="32"/>
          <w:szCs w:val="32"/>
        </w:rPr>
      </w:pPr>
      <w:r>
        <w:rPr>
          <w:rFonts w:hint="eastAsia" w:ascii="仿宋_GB2312" w:hAnsi="仿宋" w:eastAsia="仿宋_GB2312" w:cs="仿宋"/>
          <w:bCs/>
          <w:sz w:val="32"/>
          <w:szCs w:val="32"/>
        </w:rPr>
        <w:t>在资产管理工作中，按时完成部门资产动态系统的年度报告工作，严格按照资产配置标准配置资产，对不能正常使用并达到最高使用年限的资产进行报废处置。固定资产管理制度较明确，严格按照资产配置标准配置资产，相关部门和岗位的职责权限明确，管理方式上认真落实资产管理制度，确保每项资产都要“责任到人”；资产管理人变更及时变更管理库中的信息，办理交接手续，落实新的接任人；部门之间的衔接通畅，不留管理空白点。但对资产使用有效性管控不强，加强对资产的动态管理，对不能正常使用并达到最高使用年限的资产及时报废处置。</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pStyle w:val="2"/>
        <w:ind w:firstLine="640"/>
        <w:rPr>
          <w:rFonts w:ascii="仿宋_GB2312" w:hAnsi="仿宋" w:eastAsia="仿宋_GB2312" w:cs="仿宋"/>
          <w:bCs/>
          <w:sz w:val="32"/>
          <w:szCs w:val="32"/>
        </w:rPr>
      </w:pPr>
      <w:r>
        <w:rPr>
          <w:rFonts w:hint="eastAsia" w:ascii="仿宋_GB2312" w:hAnsi="仿宋" w:eastAsia="仿宋_GB2312" w:cs="仿宋"/>
          <w:bCs/>
          <w:sz w:val="32"/>
          <w:szCs w:val="32"/>
        </w:rPr>
        <w:t>在项目管理方面，在项目实施过程中进行定期和不定期检查，对存在不规范的项目及时跟进处理，做到事前控制、事中监督、事后评价，通过规范业务流程，构筑内部监督管理体系。更加重视科学决策，进一步细化项目预算内容和规划目标，针对重点工作内容制定相关专项方案，加强项目可研、中长期计划对部门决策的引领和指导，为合理设定部门整体绩效目标、产出指标、精准编制预算提供可靠依据，服务对象对目前的政策补贴及保障措施等各个方面满意程度较高，满意度均超过了85%。但是部分项目执行部门管理留痕资料不够完整，产出质量指标、社会效益指标缺少实质性内容，各部分职能对应的统计指标数据，缺少数据资料作为支撑，服务对象满意度指标设定需进一步明确，提高可衡量性。</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pStyle w:val="2"/>
        <w:ind w:firstLine="640"/>
        <w:rPr>
          <w:rFonts w:ascii="楷体_GB2312" w:eastAsia="楷体_GB2312"/>
          <w:sz w:val="32"/>
          <w:szCs w:val="32"/>
        </w:rPr>
      </w:pP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年度年末结转和结余财政性资金0万元，无结转结余财政资金。</w:t>
      </w:r>
      <w:r>
        <w:rPr>
          <w:rFonts w:ascii="楷体_GB2312" w:eastAsia="楷体_GB2312"/>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spacing w:line="600" w:lineRule="exact"/>
        <w:ind w:left="105" w:leftChars="50" w:firstLine="482" w:firstLineChars="150"/>
        <w:rPr>
          <w:rFonts w:ascii="楷体_GB2312" w:eastAsia="楷体_GB2312"/>
          <w:b/>
          <w:sz w:val="32"/>
          <w:szCs w:val="32"/>
        </w:rPr>
      </w:pPr>
      <w:r>
        <w:rPr>
          <w:rFonts w:hint="eastAsia" w:ascii="楷体_GB2312" w:eastAsia="楷体_GB2312"/>
          <w:b/>
          <w:sz w:val="32"/>
          <w:szCs w:val="32"/>
        </w:rPr>
        <w:t>本部门202</w:t>
      </w:r>
      <w:r>
        <w:rPr>
          <w:rFonts w:hint="eastAsia" w:ascii="楷体_GB2312" w:eastAsia="楷体_GB2312"/>
          <w:b/>
          <w:sz w:val="32"/>
          <w:szCs w:val="32"/>
          <w:lang w:val="en-US" w:eastAsia="zh-CN"/>
        </w:rPr>
        <w:t>4</w:t>
      </w:r>
      <w:r>
        <w:rPr>
          <w:rFonts w:hint="eastAsia" w:ascii="楷体_GB2312" w:eastAsia="楷体_GB2312"/>
          <w:b/>
          <w:sz w:val="32"/>
          <w:szCs w:val="32"/>
        </w:rPr>
        <w:t>年全年预算金额</w:t>
      </w:r>
      <w:r>
        <w:rPr>
          <w:rFonts w:hint="eastAsia" w:ascii="仿宋_GB2312" w:hAnsi="仿宋" w:eastAsia="仿宋_GB2312"/>
          <w:sz w:val="32"/>
          <w:szCs w:val="32"/>
          <w:highlight w:val="none"/>
        </w:rPr>
        <w:t>18,560.67</w:t>
      </w:r>
      <w:r>
        <w:rPr>
          <w:rFonts w:hint="eastAsia" w:ascii="仿宋_GB2312" w:hAnsi="仿宋" w:eastAsia="仿宋_GB2312"/>
          <w:sz w:val="32"/>
          <w:szCs w:val="32"/>
        </w:rPr>
        <w:t>万元，202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年决算金额</w:t>
      </w:r>
      <w:r>
        <w:rPr>
          <w:rFonts w:hint="eastAsia" w:ascii="仿宋_GB2312" w:hAnsi="仿宋" w:eastAsia="仿宋_GB2312"/>
          <w:sz w:val="32"/>
          <w:szCs w:val="32"/>
          <w:highlight w:val="none"/>
        </w:rPr>
        <w:t>803,876.62</w:t>
      </w:r>
      <w:r>
        <w:rPr>
          <w:rFonts w:hint="eastAsia" w:ascii="仿宋_GB2312" w:hAnsi="仿宋" w:eastAsia="仿宋_GB2312"/>
          <w:sz w:val="32"/>
          <w:szCs w:val="32"/>
        </w:rPr>
        <w:t>万元，预决算差异率</w:t>
      </w:r>
      <w:r>
        <w:rPr>
          <w:rFonts w:hint="eastAsia" w:ascii="仿宋_GB2312" w:hAnsi="仿宋" w:eastAsia="仿宋_GB2312"/>
          <w:sz w:val="32"/>
          <w:szCs w:val="32"/>
          <w:lang w:val="en-US" w:eastAsia="zh-CN"/>
        </w:rPr>
        <w:t>785315.95万元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2024年增加了农转非项目以及城中村改造项目</w:t>
      </w:r>
      <w:r>
        <w:rPr>
          <w:rFonts w:hint="eastAsia" w:ascii="仿宋_GB2312" w:hAnsi="仿宋" w:eastAsia="仿宋_GB2312"/>
          <w:sz w:val="32"/>
          <w:szCs w:val="32"/>
        </w:rPr>
        <w:t>，故预决算差异率较高。</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lang w:eastAsia="zh-CN"/>
        </w:rPr>
        <w:t>2024</w:t>
      </w:r>
      <w:r>
        <w:rPr>
          <w:rFonts w:hint="eastAsia" w:ascii="楷体_GB2312" w:eastAsia="楷体_GB2312"/>
          <w:sz w:val="32"/>
          <w:szCs w:val="32"/>
        </w:rPr>
        <w:t>年部门整体支出绩效评价总得分在95分以上，评价结果为“优秀”，在产出进度方面整体项目进度符合预期。</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spacing w:line="600" w:lineRule="exact"/>
        <w:ind w:left="105" w:leftChars="50" w:firstLine="480" w:firstLineChars="150"/>
        <w:rPr>
          <w:rFonts w:ascii="仿宋_GB2312" w:hAnsi="仿宋" w:eastAsia="仿宋_GB2312" w:cs="仿宋"/>
          <w:bCs/>
          <w:sz w:val="32"/>
          <w:szCs w:val="32"/>
        </w:rPr>
      </w:pPr>
      <w:r>
        <w:rPr>
          <w:rFonts w:hint="eastAsia" w:ascii="楷体_GB2312" w:eastAsia="楷体_GB2312"/>
          <w:sz w:val="32"/>
          <w:szCs w:val="32"/>
        </w:rPr>
        <w:t>部门整体绩效缺乏指标量化，缺少科学性评价标准和材料支撑，绩效目标填写不够细化，指标设置不够完整，缺少过程中监管环节，</w:t>
      </w:r>
      <w:r>
        <w:rPr>
          <w:rFonts w:hint="eastAsia" w:ascii="仿宋_GB2312" w:hAnsi="仿宋" w:eastAsia="仿宋_GB2312" w:cs="仿宋"/>
          <w:bCs/>
          <w:sz w:val="32"/>
          <w:szCs w:val="32"/>
        </w:rPr>
        <w:t>实施方案有待完善。</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spacing w:line="600" w:lineRule="exact"/>
        <w:ind w:firstLine="640" w:firstLineChars="200"/>
        <w:rPr>
          <w:rFonts w:ascii="黑体" w:hAnsi="黑体" w:eastAsia="黑体" w:cs="宋体"/>
          <w:color w:val="000000"/>
          <w:kern w:val="0"/>
          <w:sz w:val="32"/>
          <w:szCs w:val="32"/>
        </w:rPr>
      </w:pPr>
      <w:r>
        <w:rPr>
          <w:rFonts w:hint="eastAsia" w:ascii="仿宋_GB2312" w:eastAsia="仿宋_GB2312"/>
          <w:bCs/>
          <w:color w:val="000000" w:themeColor="text1"/>
          <w:sz w:val="32"/>
          <w:szCs w:val="32"/>
        </w:rPr>
        <w:t>预算资金项目根据中央及市区重点保障任务、部门预算编报及绩效评价等情况统筹安排、预算执行过程中加强对重点支出、重大投资项目的全过程绩效管理，强化预算绩效管理理念，着力提高财政资源配置效率和使用效益。</w:t>
      </w:r>
    </w:p>
    <w:p/>
    <w:p>
      <w:pPr>
        <w:jc w:val="right"/>
        <w:rPr>
          <w:rFonts w:ascii="仿宋_GB2312" w:hAnsi="楷体" w:eastAsia="仿宋_GB2312" w:cs="楷体"/>
          <w:sz w:val="28"/>
          <w:szCs w:val="28"/>
        </w:rPr>
      </w:pPr>
      <w:r>
        <w:rPr>
          <w:rFonts w:hint="eastAsia" w:ascii="仿宋_GB2312" w:hAnsi="楷体" w:eastAsia="仿宋_GB2312" w:cs="楷体"/>
          <w:sz w:val="28"/>
          <w:szCs w:val="28"/>
        </w:rPr>
        <w:t>北京市朝阳区十八里店乡人民政府</w:t>
      </w:r>
    </w:p>
    <w:p>
      <w:pPr>
        <w:jc w:val="right"/>
        <w:rPr>
          <w:rFonts w:ascii="仿宋_GB2312" w:hAnsi="楷体" w:eastAsia="仿宋_GB2312" w:cs="楷体"/>
          <w:sz w:val="28"/>
          <w:szCs w:val="28"/>
        </w:rPr>
      </w:pPr>
      <w:r>
        <w:rPr>
          <w:rFonts w:hint="eastAsia" w:ascii="仿宋_GB2312" w:hAnsi="楷体" w:eastAsia="仿宋_GB2312" w:cs="楷体"/>
          <w:sz w:val="28"/>
          <w:szCs w:val="28"/>
        </w:rPr>
        <w:t>202</w:t>
      </w:r>
      <w:r>
        <w:rPr>
          <w:rFonts w:hint="eastAsia" w:ascii="仿宋_GB2312" w:hAnsi="楷体" w:eastAsia="仿宋_GB2312" w:cs="楷体"/>
          <w:sz w:val="28"/>
          <w:szCs w:val="28"/>
          <w:lang w:val="en-US" w:eastAsia="zh-CN"/>
        </w:rPr>
        <w:t>5</w:t>
      </w:r>
      <w:r>
        <w:rPr>
          <w:rFonts w:hint="eastAsia" w:ascii="仿宋_GB2312" w:hAnsi="楷体" w:eastAsia="仿宋_GB2312" w:cs="楷体"/>
          <w:sz w:val="28"/>
          <w:szCs w:val="28"/>
        </w:rPr>
        <w:t>年</w:t>
      </w:r>
      <w:r>
        <w:rPr>
          <w:rFonts w:hint="eastAsia" w:ascii="仿宋_GB2312" w:hAnsi="楷体" w:eastAsia="仿宋_GB2312" w:cs="楷体"/>
          <w:sz w:val="28"/>
          <w:szCs w:val="28"/>
          <w:lang w:val="en-US" w:eastAsia="zh-CN"/>
        </w:rPr>
        <w:t>8</w:t>
      </w:r>
      <w:r>
        <w:rPr>
          <w:rFonts w:hint="eastAsia" w:ascii="仿宋_GB2312" w:hAnsi="楷体" w:eastAsia="仿宋_GB2312" w:cs="楷体"/>
          <w:sz w:val="28"/>
          <w:szCs w:val="28"/>
        </w:rPr>
        <w:t>月</w:t>
      </w:r>
      <w:r>
        <w:rPr>
          <w:rFonts w:hint="eastAsia" w:ascii="仿宋_GB2312" w:hAnsi="楷体" w:eastAsia="仿宋_GB2312" w:cs="楷体"/>
          <w:sz w:val="28"/>
          <w:szCs w:val="28"/>
          <w:lang w:val="en-US" w:eastAsia="zh-CN"/>
        </w:rPr>
        <w:t>29</w:t>
      </w:r>
      <w:r>
        <w:rPr>
          <w:rFonts w:hint="eastAsia" w:ascii="仿宋_GB2312" w:hAnsi="楷体" w:eastAsia="仿宋_GB2312" w:cs="楷体"/>
          <w:sz w:val="28"/>
          <w:szCs w:val="28"/>
        </w:rPr>
        <w:t>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imSun,Bold">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文本框 2"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F2924"/>
    <w:rsid w:val="001C7834"/>
    <w:rsid w:val="0023434C"/>
    <w:rsid w:val="00276A66"/>
    <w:rsid w:val="0029227F"/>
    <w:rsid w:val="002E7ECA"/>
    <w:rsid w:val="002F1269"/>
    <w:rsid w:val="00465181"/>
    <w:rsid w:val="005075AE"/>
    <w:rsid w:val="0057202C"/>
    <w:rsid w:val="005E3946"/>
    <w:rsid w:val="0060746B"/>
    <w:rsid w:val="006F62AC"/>
    <w:rsid w:val="00711803"/>
    <w:rsid w:val="00826643"/>
    <w:rsid w:val="009255BE"/>
    <w:rsid w:val="009362EC"/>
    <w:rsid w:val="00954F6E"/>
    <w:rsid w:val="00A733B9"/>
    <w:rsid w:val="00B03B70"/>
    <w:rsid w:val="00CF07EE"/>
    <w:rsid w:val="00DF07AF"/>
    <w:rsid w:val="00DF6AC1"/>
    <w:rsid w:val="00E617B2"/>
    <w:rsid w:val="00EB0502"/>
    <w:rsid w:val="00EC45D5"/>
    <w:rsid w:val="00F42C33"/>
    <w:rsid w:val="00FB5E51"/>
    <w:rsid w:val="00FE0FFE"/>
    <w:rsid w:val="0C8722AA"/>
    <w:rsid w:val="1E5C71ED"/>
    <w:rsid w:val="456B3657"/>
    <w:rsid w:val="5B1D39DF"/>
    <w:rsid w:val="5F374440"/>
    <w:rsid w:val="63E16A45"/>
    <w:rsid w:val="6E0E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alloon Text"/>
    <w:basedOn w:val="1"/>
    <w:link w:val="9"/>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Times New Roman" w:hAnsi="Times New Roman" w:eastAsia="宋体" w:cs="Times New Roman"/>
      <w:kern w:val="2"/>
      <w:sz w:val="18"/>
      <w:szCs w:val="18"/>
    </w:rPr>
  </w:style>
  <w:style w:type="character" w:customStyle="1" w:styleId="9">
    <w:name w:val="批注框文本 Char"/>
    <w:basedOn w:val="6"/>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644</Words>
  <Characters>3675</Characters>
  <Lines>30</Lines>
  <Paragraphs>8</Paragraphs>
  <ScaleCrop>false</ScaleCrop>
  <LinksUpToDate>false</LinksUpToDate>
  <CharactersWithSpaces>4311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梁</cp:lastModifiedBy>
  <cp:lastPrinted>2024-02-27T01:50:00Z</cp:lastPrinted>
  <dcterms:modified xsi:type="dcterms:W3CDTF">2025-09-01T07:27:47Z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