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1-4月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1-4月</w:t>
      </w:r>
      <w:r>
        <w:rPr>
          <w:rFonts w:hint="eastAsia" w:ascii="宋体" w:hAnsi="宋体" w:cs="宋体"/>
          <w:sz w:val="28"/>
          <w:szCs w:val="28"/>
        </w:rPr>
        <w:t>，朝阳区实现规模以上工业总产值</w:t>
      </w:r>
      <w:r>
        <w:rPr>
          <w:rFonts w:hint="eastAsia" w:ascii="宋体" w:hAnsi="宋体"/>
          <w:bCs/>
          <w:sz w:val="28"/>
          <w:szCs w:val="28"/>
        </w:rPr>
        <w:t>272.8亿元</w:t>
      </w:r>
      <w:r>
        <w:rPr>
          <w:rFonts w:hint="eastAsia" w:ascii="宋体" w:hAnsi="宋体" w:cs="宋体"/>
          <w:sz w:val="28"/>
          <w:szCs w:val="28"/>
        </w:rPr>
        <w:t>，同比增长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0.3%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1-4月</w:t>
      </w:r>
      <w:r>
        <w:rPr>
          <w:rFonts w:hint="eastAsia" w:ascii="宋体" w:hAnsi="宋体" w:cs="宋体"/>
          <w:color w:val="auto"/>
          <w:sz w:val="28"/>
          <w:szCs w:val="28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</w:rPr>
        <w:t>，14个行业产值同比增长，11个行业同比下降。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1-4月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1-4月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，朝阳区固定资产投资（不含农户）同比增长0.8%,其中，房地产开发投资同比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11.4</w:t>
      </w:r>
      <w:r>
        <w:rPr>
          <w:rFonts w:hint="eastAsia" w:ascii="宋体" w:hAnsi="宋体" w:cs="宋体"/>
          <w:kern w:val="0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1-4月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both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1835"/>
            <wp:effectExtent l="0" t="0" r="10160" b="1206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1-4月</w:t>
      </w:r>
      <w:r>
        <w:rPr>
          <w:rFonts w:hint="eastAsia" w:ascii="宋体" w:hAnsi="宋体" w:cs="宋体"/>
          <w:sz w:val="28"/>
          <w:szCs w:val="28"/>
        </w:rPr>
        <w:t>，朝阳区实现社会消费品零售总额1090.9亿元，同比下降2.1%。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1-4月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bookmarkStart w:id="0" w:name="_GoBack"/>
      <w:bookmarkEnd w:id="0"/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ourceHanSansCN-Normal-Identity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362F2D"/>
    <w:rsid w:val="26D96D0C"/>
    <w:rsid w:val="2D627F28"/>
    <w:rsid w:val="34C25C14"/>
    <w:rsid w:val="35E80586"/>
    <w:rsid w:val="383B2A49"/>
    <w:rsid w:val="39CD7A11"/>
    <w:rsid w:val="3BDC11AE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5FC41B7D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[外网信息图.xls]工业!$A$101:$B$114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[外网信息图.xls]工业!$C$101:$C$114</c:f>
              <c:numCache>
                <c:formatCode>0.0_ </c:formatCode>
                <c:ptCount val="14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559955588453"/>
          <c:y val="0.0992656368700937"/>
          <c:w val="0.920706883789785"/>
          <c:h val="0.6256773866801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[外网信息图.xls]投资!$A$101:$B$114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[外网信息图.xls]投资!$C$101:$C$114</c:f>
              <c:numCache>
                <c:formatCode>General</c:formatCode>
                <c:ptCount val="14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12.6</c:v>
                </c:pt>
                <c:pt idx="8">
                  <c:v>11.9</c:v>
                </c:pt>
                <c:pt idx="9" c:formatCode="0.0_ ">
                  <c:v>7</c:v>
                </c:pt>
                <c:pt idx="10">
                  <c:v>7.3</c:v>
                </c:pt>
                <c:pt idx="11" c:formatCode="0.0_ ">
                  <c:v>7.62759358628691</c:v>
                </c:pt>
                <c:pt idx="12" c:formatCode="0.0_ ">
                  <c:v>11.8267891698825</c:v>
                </c:pt>
                <c:pt idx="13" c:formatCode="0.0_ ">
                  <c:v>0.756588042779853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[外网信息图.xls]零售额!$A$101:$B$114</c:f>
              <c:multiLvlStrCache>
                <c:ptCount val="14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[外网信息图.xls]零售额!$C$101:$C$114</c:f>
              <c:numCache>
                <c:formatCode>0.0_ </c:formatCode>
                <c:ptCount val="14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2.7</c:v>
                </c:pt>
                <c:pt idx="8">
                  <c:v>3.4</c:v>
                </c:pt>
                <c:pt idx="9">
                  <c:v>4.6</c:v>
                </c:pt>
                <c:pt idx="10">
                  <c:v>5.5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2024-05-21T06:12:24Z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