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lang w:eastAsia="zh-CN"/>
        </w:rPr>
        <w:t>北京市朝阳区</w:t>
      </w:r>
      <w:r>
        <w:rPr>
          <w:rFonts w:hint="eastAsia" w:ascii="方正小标宋简体" w:hAnsi="方正小标宋简体" w:eastAsia="方正小标宋简体" w:cs="方正小标宋简体"/>
          <w:b w:val="0"/>
          <w:bCs w:val="0"/>
          <w:color w:val="auto"/>
          <w:kern w:val="36"/>
          <w:sz w:val="44"/>
          <w:szCs w:val="44"/>
        </w:rPr>
        <w:t>退役军人事务局</w:t>
      </w:r>
      <w:r>
        <w:rPr>
          <w:rFonts w:hint="default" w:ascii="Times New Roman" w:hAnsi="Times New Roman" w:eastAsia="方正小标宋简体" w:cs="Times New Roman"/>
          <w:b/>
          <w:bCs/>
          <w:color w:val="auto"/>
          <w:kern w:val="36"/>
          <w:sz w:val="44"/>
          <w:szCs w:val="44"/>
        </w:rPr>
        <w:t>202</w:t>
      </w:r>
      <w:r>
        <w:rPr>
          <w:rFonts w:hint="default" w:ascii="Times New Roman" w:hAnsi="Times New Roman" w:eastAsia="方正小标宋简体" w:cs="Times New Roman"/>
          <w:b/>
          <w:bCs/>
          <w:color w:val="auto"/>
          <w:kern w:val="36"/>
          <w:sz w:val="44"/>
          <w:szCs w:val="44"/>
          <w:lang w:val="en-US" w:eastAsia="zh-CN"/>
        </w:rPr>
        <w:t>2</w:t>
      </w:r>
      <w:r>
        <w:rPr>
          <w:rFonts w:hint="eastAsia" w:ascii="方正小标宋简体" w:hAnsi="方正小标宋简体" w:eastAsia="方正小标宋简体" w:cs="方正小标宋简体"/>
          <w:b w:val="0"/>
          <w:bCs w:val="0"/>
          <w:color w:val="auto"/>
          <w:kern w:val="36"/>
          <w:sz w:val="44"/>
          <w:szCs w:val="44"/>
        </w:rPr>
        <w:t>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36"/>
          <w:sz w:val="44"/>
          <w:szCs w:val="44"/>
        </w:rPr>
      </w:pPr>
      <w:r>
        <w:rPr>
          <w:rFonts w:hint="eastAsia" w:ascii="方正小标宋简体" w:hAnsi="方正小标宋简体" w:eastAsia="方正小标宋简体" w:cs="方正小标宋简体"/>
          <w:b w:val="0"/>
          <w:bCs w:val="0"/>
          <w:color w:val="auto"/>
          <w:kern w:val="36"/>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color w:val="auto"/>
          <w:kern w:val="36"/>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依据《中华人民共和国政府信息公开条例》（以下简称《政府信息公开条例》）第五十条规定，编制本报告。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一、总体情况</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2022</w:t>
      </w:r>
      <w:r>
        <w:rPr>
          <w:rFonts w:hint="eastAsia" w:ascii="仿宋_GB2312" w:hAnsi="仿宋_GB2312" w:eastAsia="仿宋_GB2312" w:cs="仿宋_GB2312"/>
          <w:color w:val="auto"/>
          <w:sz w:val="32"/>
          <w:szCs w:val="32"/>
          <w:shd w:val="clear" w:color="auto" w:fill="FFFFFF"/>
          <w:lang w:val="en-US" w:eastAsia="zh-CN"/>
        </w:rPr>
        <w:t>年，</w:t>
      </w:r>
      <w:r>
        <w:rPr>
          <w:rFonts w:hint="eastAsia" w:ascii="仿宋_GB2312" w:hAnsi="仿宋_GB2312" w:eastAsia="仿宋_GB2312" w:cs="仿宋_GB2312"/>
          <w:color w:val="auto"/>
          <w:sz w:val="32"/>
          <w:szCs w:val="32"/>
          <w:shd w:val="clear" w:color="auto" w:fill="FFFFFF"/>
        </w:rPr>
        <w:t>朝阳区退役军人事务局坚持以习近平新时代中国特色社会主义思想为指导，紧紧围绕服务保障退役军人工作中心任务，认真贯彻落实《政府信息公开条例》和市区相关要求，扎实推进政府信息公开各项工作。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一是加强组织领导。成立信息公开工作领导小组，实行一把手负总责，分管领导具体负责，各科室具体落实的工作责任制。根据领导变化和部门变动，及时调整工作领导小组。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color w:val="auto"/>
        </w:rPr>
      </w:pPr>
      <w:r>
        <w:rPr>
          <w:rFonts w:hint="eastAsia" w:ascii="仿宋_GB2312" w:hAnsi="仿宋_GB2312" w:eastAsia="仿宋_GB2312" w:cs="仿宋_GB2312"/>
          <w:color w:val="auto"/>
          <w:kern w:val="0"/>
          <w:sz w:val="32"/>
          <w:szCs w:val="32"/>
          <w:shd w:val="clear" w:color="auto" w:fill="FFFFFF"/>
          <w:lang w:eastAsia="zh-CN" w:bidi="ar"/>
        </w:rPr>
        <w:t>二是</w:t>
      </w:r>
      <w:r>
        <w:rPr>
          <w:rFonts w:hint="eastAsia" w:ascii="仿宋_GB2312" w:hAnsi="仿宋_GB2312" w:eastAsia="仿宋_GB2312" w:cs="仿宋_GB2312"/>
          <w:color w:val="auto"/>
          <w:kern w:val="0"/>
          <w:sz w:val="32"/>
          <w:szCs w:val="32"/>
          <w:shd w:val="clear" w:color="auto" w:fill="FFFFFF"/>
          <w:lang w:bidi="ar"/>
        </w:rPr>
        <w:t>落实主动公开。</w:t>
      </w:r>
      <w:r>
        <w:rPr>
          <w:rFonts w:hint="eastAsia" w:ascii="仿宋_GB2312" w:hAnsi="仿宋_GB2312" w:eastAsia="仿宋_GB2312" w:cs="仿宋_GB2312"/>
          <w:color w:val="auto"/>
          <w:kern w:val="2"/>
          <w:sz w:val="32"/>
          <w:szCs w:val="32"/>
          <w:shd w:val="clear" w:color="auto" w:fill="FFFFFF"/>
          <w:lang w:val="en-US" w:eastAsia="zh-CN" w:bidi="ar-SA"/>
        </w:rPr>
        <w:t>根据《政府信息公开条例》《朝阳</w:t>
      </w:r>
      <w:r>
        <w:rPr>
          <w:rFonts w:hint="default" w:ascii="Times New Roman" w:hAnsi="Times New Roman" w:eastAsia="仿宋_GB2312" w:cs="Times New Roman"/>
          <w:color w:val="auto"/>
          <w:kern w:val="2"/>
          <w:sz w:val="32"/>
          <w:szCs w:val="32"/>
          <w:shd w:val="clear" w:color="auto" w:fill="FFFFFF"/>
          <w:lang w:val="en-US" w:eastAsia="zh-CN" w:bidi="ar-SA"/>
        </w:rPr>
        <w:t>区2022年政</w:t>
      </w:r>
      <w:r>
        <w:rPr>
          <w:rFonts w:hint="eastAsia" w:ascii="仿宋_GB2312" w:hAnsi="仿宋_GB2312" w:eastAsia="仿宋_GB2312" w:cs="仿宋_GB2312"/>
          <w:color w:val="auto"/>
          <w:kern w:val="2"/>
          <w:sz w:val="32"/>
          <w:szCs w:val="32"/>
          <w:shd w:val="clear" w:color="auto" w:fill="FFFFFF"/>
          <w:lang w:val="en-US" w:eastAsia="zh-CN" w:bidi="ar-SA"/>
        </w:rPr>
        <w:t>务公开工作要点》相关要求，利用区政府门户网站公开机构职能、机构设置、办公地址、</w:t>
      </w:r>
      <w:r>
        <w:rPr>
          <w:rFonts w:ascii="仿宋_GB2312" w:hAnsi="宋体" w:eastAsia="仿宋_GB2312" w:cs="仿宋_GB2312"/>
          <w:i w:val="0"/>
          <w:caps w:val="0"/>
          <w:color w:val="auto"/>
          <w:spacing w:val="0"/>
          <w:sz w:val="32"/>
          <w:szCs w:val="32"/>
          <w:shd w:val="clear" w:fill="FFFFFF"/>
        </w:rPr>
        <w:t>领导分工，发布财政预决算，公开重点领域信息</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三是</w:t>
      </w:r>
      <w:r>
        <w:rPr>
          <w:rFonts w:hint="eastAsia" w:ascii="仿宋_GB2312" w:hAnsi="仿宋_GB2312" w:eastAsia="仿宋_GB2312" w:cs="仿宋_GB2312"/>
          <w:color w:val="auto"/>
          <w:kern w:val="0"/>
          <w:sz w:val="32"/>
          <w:szCs w:val="32"/>
          <w:shd w:val="clear" w:color="auto" w:fill="FFFFFF"/>
          <w:lang w:bidi="ar"/>
        </w:rPr>
        <w:t>规范依申请公开。严格落实政府信息依申请公开工作要求，规范依申请公开工作流程，畅通申请渠道，依法依规办理政府信息公开申请。全年累计受理依申请公</w:t>
      </w:r>
      <w:r>
        <w:rPr>
          <w:rFonts w:hint="eastAsia" w:ascii="仿宋_GB2312" w:hAnsi="仿宋_GB2312" w:eastAsia="仿宋_GB2312" w:cs="仿宋_GB2312"/>
          <w:color w:val="auto"/>
          <w:kern w:val="0"/>
          <w:sz w:val="32"/>
          <w:szCs w:val="32"/>
          <w:shd w:val="clear" w:color="auto" w:fill="FFFFFF"/>
          <w:lang w:eastAsia="zh-CN" w:bidi="ar"/>
        </w:rPr>
        <w:t>开</w:t>
      </w: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0"/>
          <w:sz w:val="32"/>
          <w:szCs w:val="32"/>
          <w:shd w:val="clear" w:color="auto" w:fill="FFFFFF"/>
          <w:lang w:bidi="ar"/>
        </w:rPr>
        <w:t>件，均按流程在规定时间内答复办理。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eastAsia="zh-CN" w:bidi="ar"/>
        </w:rPr>
        <w:t>四是</w:t>
      </w:r>
      <w:r>
        <w:rPr>
          <w:rFonts w:hint="eastAsia" w:ascii="仿宋_GB2312" w:hAnsi="仿宋_GB2312" w:eastAsia="仿宋_GB2312" w:cs="仿宋_GB2312"/>
          <w:color w:val="auto"/>
          <w:kern w:val="0"/>
          <w:sz w:val="32"/>
          <w:szCs w:val="32"/>
          <w:shd w:val="clear" w:color="auto" w:fill="FFFFFF"/>
          <w:lang w:bidi="ar"/>
        </w:rPr>
        <w:t>加强政府信息管理。持续完善</w:t>
      </w:r>
      <w:r>
        <w:rPr>
          <w:rFonts w:hint="eastAsia" w:ascii="仿宋_GB2312" w:hAnsi="仿宋_GB2312" w:eastAsia="仿宋_GB2312" w:cs="仿宋_GB2312"/>
          <w:color w:val="auto"/>
          <w:kern w:val="0"/>
          <w:sz w:val="32"/>
          <w:szCs w:val="32"/>
          <w:shd w:val="clear" w:color="auto" w:fill="FFFFFF"/>
          <w:lang w:eastAsia="zh-CN" w:bidi="ar"/>
        </w:rPr>
        <w:t>主动</w:t>
      </w:r>
      <w:r>
        <w:rPr>
          <w:rFonts w:hint="eastAsia" w:ascii="仿宋_GB2312" w:hAnsi="仿宋_GB2312" w:eastAsia="仿宋_GB2312" w:cs="仿宋_GB2312"/>
          <w:color w:val="auto"/>
          <w:kern w:val="0"/>
          <w:sz w:val="32"/>
          <w:szCs w:val="32"/>
          <w:shd w:val="clear" w:color="auto" w:fill="FFFFFF"/>
          <w:lang w:bidi="ar"/>
        </w:rPr>
        <w:t>公开全清单</w:t>
      </w:r>
      <w:r>
        <w:rPr>
          <w:rFonts w:hint="eastAsia" w:ascii="仿宋_GB2312" w:hAnsi="仿宋_GB2312" w:eastAsia="仿宋_GB2312" w:cs="仿宋_GB2312"/>
          <w:color w:val="auto"/>
          <w:kern w:val="0"/>
          <w:sz w:val="32"/>
          <w:szCs w:val="32"/>
          <w:shd w:val="clear" w:color="auto" w:fill="FFFFFF"/>
          <w:lang w:eastAsia="zh-CN" w:bidi="ar"/>
        </w:rPr>
        <w:t>，及时</w:t>
      </w:r>
      <w:r>
        <w:rPr>
          <w:rFonts w:hint="eastAsia" w:ascii="仿宋_GB2312" w:hAnsi="仿宋_GB2312" w:eastAsia="仿宋_GB2312" w:cs="仿宋_GB2312"/>
          <w:color w:val="auto"/>
          <w:kern w:val="0"/>
          <w:sz w:val="32"/>
          <w:szCs w:val="32"/>
          <w:shd w:val="clear" w:color="auto" w:fill="FFFFFF"/>
          <w:lang w:bidi="ar"/>
        </w:rPr>
        <w:t>更</w:t>
      </w:r>
      <w:r>
        <w:rPr>
          <w:rFonts w:hint="default" w:ascii="Times New Roman" w:hAnsi="Times New Roman" w:eastAsia="仿宋_GB2312" w:cs="Times New Roman"/>
          <w:color w:val="auto"/>
          <w:kern w:val="0"/>
          <w:sz w:val="32"/>
          <w:szCs w:val="32"/>
          <w:shd w:val="clear" w:color="auto" w:fill="FFFFFF"/>
          <w:lang w:bidi="ar"/>
        </w:rPr>
        <w:t>新202</w:t>
      </w:r>
      <w:r>
        <w:rPr>
          <w:rFonts w:hint="default" w:ascii="Times New Roman" w:hAnsi="Times New Roman" w:eastAsia="仿宋_GB2312" w:cs="Times New Roman"/>
          <w:color w:val="auto"/>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shd w:val="clear" w:color="auto" w:fill="FFFFFF"/>
          <w:lang w:bidi="ar"/>
        </w:rPr>
        <w:t>年全清单，并按时限做好公开。完善信息公开制度机制，落实主动公开和依申请工作的内容和保密审查制度，确保发布的各项信息符合要求。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五是完善政府信息公开平台建设。通过网站、微信公众号等平台，及时发布退役军人关心的各类信息。畅通政府信息公开申请渠道，公开指南中办公地址、办公时间、联系电话、传真号码明确，联系电话及传真安排专员负责接收接听。</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六是加强监督保障和教育培训。确定专人负责</w:t>
      </w:r>
      <w:r>
        <w:rPr>
          <w:rFonts w:hint="eastAsia" w:ascii="仿宋_GB2312" w:hAnsi="仿宋_GB2312" w:eastAsia="仿宋_GB2312" w:cs="仿宋_GB2312"/>
          <w:color w:val="auto"/>
          <w:sz w:val="32"/>
          <w:szCs w:val="32"/>
          <w:lang w:eastAsia="zh-CN" w:bidi="ar"/>
        </w:rPr>
        <w:t>信息</w:t>
      </w:r>
      <w:r>
        <w:rPr>
          <w:rFonts w:hint="eastAsia" w:ascii="仿宋_GB2312" w:hAnsi="仿宋_GB2312" w:eastAsia="仿宋_GB2312" w:cs="仿宋_GB2312"/>
          <w:color w:val="auto"/>
          <w:sz w:val="32"/>
          <w:szCs w:val="32"/>
          <w:lang w:bidi="ar"/>
        </w:rPr>
        <w:t>公开工作，强化信息发布的监督和管理。定期通报信息公开工作开展情况。积极参加市区信息公开工作专题培训，邀请局法律顾问对《政府信息公开条例》进行专题解读。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二、主动公开政府信息情况</w:t>
      </w:r>
    </w:p>
    <w:tbl>
      <w:tblPr>
        <w:tblStyle w:val="7"/>
        <w:tblW w:w="8700" w:type="dxa"/>
        <w:jc w:val="center"/>
        <w:tblInd w:w="874" w:type="dxa"/>
        <w:tblLayout w:type="fixed"/>
        <w:tblCellMar>
          <w:top w:w="0" w:type="dxa"/>
          <w:left w:w="0" w:type="dxa"/>
          <w:bottom w:w="0" w:type="dxa"/>
          <w:right w:w="0" w:type="dxa"/>
        </w:tblCellMar>
      </w:tblPr>
      <w:tblGrid>
        <w:gridCol w:w="2259"/>
        <w:gridCol w:w="1798"/>
        <w:gridCol w:w="2246"/>
        <w:gridCol w:w="2397"/>
      </w:tblGrid>
      <w:tr>
        <w:tblPrEx>
          <w:tblLayout w:type="fixed"/>
          <w:tblCellMar>
            <w:top w:w="0" w:type="dxa"/>
            <w:left w:w="0" w:type="dxa"/>
            <w:bottom w:w="0" w:type="dxa"/>
            <w:right w:w="0" w:type="dxa"/>
          </w:tblCellMar>
        </w:tblPrEx>
        <w:trPr>
          <w:trHeight w:val="448" w:hRule="atLeast"/>
          <w:jc w:val="center"/>
        </w:trPr>
        <w:tc>
          <w:tcPr>
            <w:tcW w:w="870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第二十条第（一）项</w:t>
            </w:r>
          </w:p>
        </w:tc>
      </w:tr>
      <w:tr>
        <w:tblPrEx>
          <w:tblLayout w:type="fixed"/>
          <w:tblCellMar>
            <w:top w:w="0" w:type="dxa"/>
            <w:left w:w="0" w:type="dxa"/>
            <w:bottom w:w="0" w:type="dxa"/>
            <w:right w:w="0" w:type="dxa"/>
          </w:tblCellMar>
        </w:tblPrEx>
        <w:trPr>
          <w:trHeight w:val="856"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179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本年制发件数</w:t>
            </w:r>
          </w:p>
        </w:tc>
        <w:tc>
          <w:tcPr>
            <w:tcW w:w="2246"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本年废止件数</w:t>
            </w:r>
          </w:p>
        </w:tc>
        <w:tc>
          <w:tcPr>
            <w:tcW w:w="2397"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现行有效件</w:t>
            </w:r>
            <w:r>
              <w:rPr>
                <w:rFonts w:hint="eastAsia" w:ascii="仿宋_GB2312" w:hAnsi="仿宋_GB2312" w:eastAsia="仿宋_GB2312" w:cs="仿宋_GB2312"/>
                <w:kern w:val="0"/>
                <w:sz w:val="32"/>
                <w:szCs w:val="32"/>
                <w:lang w:bidi="ar"/>
              </w:rPr>
              <w:t>数</w:t>
            </w:r>
          </w:p>
        </w:tc>
      </w:tr>
      <w:tr>
        <w:tblPrEx>
          <w:tblLayout w:type="fixed"/>
          <w:tblCellMar>
            <w:top w:w="0" w:type="dxa"/>
            <w:left w:w="0" w:type="dxa"/>
            <w:bottom w:w="0" w:type="dxa"/>
            <w:right w:w="0" w:type="dxa"/>
          </w:tblCellMar>
        </w:tblPrEx>
        <w:trPr>
          <w:trHeight w:val="48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规章</w:t>
            </w:r>
          </w:p>
        </w:tc>
        <w:tc>
          <w:tcPr>
            <w:tcW w:w="1798"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24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397"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856"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行政规范性文件</w:t>
            </w:r>
          </w:p>
        </w:tc>
        <w:tc>
          <w:tcPr>
            <w:tcW w:w="1798"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224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2397"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第二十条第（五）项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行政许可</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第二十条第（六）项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本年处理决定数量</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行政处罚</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widowControl/>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行政强制</w:t>
            </w:r>
          </w:p>
        </w:tc>
        <w:tc>
          <w:tcPr>
            <w:tcW w:w="6441" w:type="dxa"/>
            <w:gridSpan w:val="3"/>
            <w:tcBorders>
              <w:top w:val="nil"/>
              <w:left w:val="nil"/>
              <w:bottom w:val="single" w:color="auto" w:sz="8" w:space="0"/>
              <w:right w:val="single" w:color="auto" w:sz="8" w:space="0"/>
            </w:tcBorders>
            <w:tcMar>
              <w:left w:w="57" w:type="dxa"/>
              <w:right w:w="57" w:type="dxa"/>
            </w:tcMar>
            <w:vAlign w:val="center"/>
          </w:tcPr>
          <w:p>
            <w:pPr>
              <w:widowControl/>
              <w:spacing w:line="4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Layout w:type="fixed"/>
          <w:tblCellMar>
            <w:top w:w="0" w:type="dxa"/>
            <w:left w:w="0" w:type="dxa"/>
            <w:bottom w:w="0" w:type="dxa"/>
            <w:right w:w="0" w:type="dxa"/>
          </w:tblCellMar>
        </w:tblPrEx>
        <w:trPr>
          <w:trHeight w:val="448" w:hRule="atLeast"/>
          <w:jc w:val="center"/>
        </w:trPr>
        <w:tc>
          <w:tcPr>
            <w:tcW w:w="870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第二十条第（八）项</w:t>
            </w:r>
          </w:p>
        </w:tc>
      </w:tr>
      <w:tr>
        <w:tblPrEx>
          <w:tblLayout w:type="fixed"/>
          <w:tblCellMar>
            <w:top w:w="0" w:type="dxa"/>
            <w:left w:w="0" w:type="dxa"/>
            <w:bottom w:w="0" w:type="dxa"/>
            <w:right w:w="0" w:type="dxa"/>
          </w:tblCellMar>
        </w:tblPrEx>
        <w:trPr>
          <w:trHeight w:val="448"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信息内容</w:t>
            </w:r>
          </w:p>
        </w:tc>
        <w:tc>
          <w:tcPr>
            <w:tcW w:w="6441"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本年收费金额（单位：万元）</w:t>
            </w:r>
          </w:p>
        </w:tc>
      </w:tr>
      <w:tr>
        <w:tblPrEx>
          <w:tblLayout w:type="fixed"/>
          <w:tblCellMar>
            <w:top w:w="0" w:type="dxa"/>
            <w:left w:w="0" w:type="dxa"/>
            <w:bottom w:w="0" w:type="dxa"/>
            <w:right w:w="0" w:type="dxa"/>
          </w:tblCellMar>
        </w:tblPrEx>
        <w:trPr>
          <w:trHeight w:val="897" w:hRule="atLeast"/>
          <w:jc w:val="center"/>
        </w:trPr>
        <w:tc>
          <w:tcPr>
            <w:tcW w:w="2259"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0"/>
                <w:szCs w:val="30"/>
                <w:lang w:bidi="ar"/>
              </w:rPr>
              <w:t>行政事业性收费</w:t>
            </w:r>
          </w:p>
        </w:tc>
        <w:tc>
          <w:tcPr>
            <w:tcW w:w="6441" w:type="dxa"/>
            <w:gridSpan w:val="3"/>
            <w:tcBorders>
              <w:top w:val="nil"/>
              <w:left w:val="nil"/>
              <w:bottom w:val="single" w:color="auto" w:sz="8" w:space="0"/>
              <w:right w:val="single" w:color="000000" w:sz="8" w:space="0"/>
            </w:tcBorders>
            <w:tcMar>
              <w:left w:w="57" w:type="dxa"/>
              <w:right w:w="57" w:type="dxa"/>
            </w:tcMar>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三、收到和处理政府信息公开申请情况</w:t>
      </w:r>
    </w:p>
    <w:tbl>
      <w:tblPr>
        <w:tblStyle w:val="7"/>
        <w:tblW w:w="868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716"/>
        <w:gridCol w:w="2707"/>
        <w:gridCol w:w="6"/>
        <w:gridCol w:w="702"/>
        <w:gridCol w:w="6"/>
        <w:gridCol w:w="682"/>
        <w:gridCol w:w="6"/>
        <w:gridCol w:w="682"/>
        <w:gridCol w:w="6"/>
        <w:gridCol w:w="661"/>
        <w:gridCol w:w="583"/>
        <w:gridCol w:w="6"/>
        <w:gridCol w:w="536"/>
        <w:gridCol w:w="6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（本列数据的勾稽关系为：第一项加第二项之和，等于第三项加第四项之和）</w:t>
            </w:r>
          </w:p>
        </w:tc>
        <w:tc>
          <w:tcPr>
            <w:tcW w:w="4488" w:type="dxa"/>
            <w:gridSpan w:val="11"/>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708" w:type="dxa"/>
            <w:gridSpan w:val="2"/>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自然人</w:t>
            </w:r>
          </w:p>
        </w:tc>
        <w:tc>
          <w:tcPr>
            <w:tcW w:w="3162" w:type="dxa"/>
            <w:gridSpan w:val="8"/>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法人或其他组织</w:t>
            </w:r>
          </w:p>
        </w:tc>
        <w:tc>
          <w:tcPr>
            <w:tcW w:w="618" w:type="dxa"/>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708" w:type="dxa"/>
            <w:gridSpan w:val="2"/>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688" w:type="dxa"/>
            <w:gridSpan w:val="2"/>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商业</w:t>
            </w:r>
          </w:p>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企业</w:t>
            </w:r>
          </w:p>
        </w:tc>
        <w:tc>
          <w:tcPr>
            <w:tcW w:w="688" w:type="dxa"/>
            <w:gridSpan w:val="2"/>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科研</w:t>
            </w:r>
          </w:p>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机构</w:t>
            </w:r>
          </w:p>
        </w:tc>
        <w:tc>
          <w:tcPr>
            <w:tcW w:w="661"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社会公益组织</w:t>
            </w:r>
          </w:p>
        </w:tc>
        <w:tc>
          <w:tcPr>
            <w:tcW w:w="583"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法律服务机构</w:t>
            </w:r>
          </w:p>
        </w:tc>
        <w:tc>
          <w:tcPr>
            <w:tcW w:w="542" w:type="dxa"/>
            <w:gridSpan w:val="2"/>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p>
        </w:tc>
        <w:tc>
          <w:tcPr>
            <w:tcW w:w="618" w:type="dxa"/>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spacing w:line="400" w:lineRule="exact"/>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一、本年新收政府信息公开申请数量</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二、上年结转政府信息公开申请数量</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三、本年度办理结果</w:t>
            </w: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（一）予以公开</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1</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（二）部分公开（区分处理的，只计这一情形，不计其他情形）</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（三）不予公开</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1.属于国家秘密</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2.其他法律行政法规禁止公开</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3.危及“三安全一稳定”</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4.保护第三方合法权益</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5.属于三类内部事务信息</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6.属于四类过程性信息</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7.属于行政执法案卷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8.属于行政查询事项</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（四）无法提供</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1.本机关不掌握相关政府信息</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2.没有现成信息需要另行制作</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3.补正后申请内容仍不明确</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（五）不予处理</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1.信访举报投诉类申请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2.重复申请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3.要求提供公开出版物</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4.无正当理由大量反复申请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5.要求行政机关确认或重新出具已获取信息</w:t>
            </w:r>
          </w:p>
        </w:tc>
        <w:tc>
          <w:tcPr>
            <w:tcW w:w="708" w:type="dxa"/>
            <w:gridSpan w:val="2"/>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（六）其他处理</w:t>
            </w: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1.申请人无正当理由逾期不补正、行政机关不再处理其政府信息公开申请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2.申请人逾期未按收费通知要求缴纳费用、行政机关不再处理其政府信息公开申请</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716"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2707"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3.其他</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7"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9"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36"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7"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spacing w:line="400" w:lineRule="exact"/>
              <w:rPr>
                <w:rFonts w:hint="eastAsia" w:ascii="仿宋_GB2312" w:hAnsi="仿宋_GB2312" w:eastAsia="仿宋_GB2312" w:cs="仿宋_GB2312"/>
                <w:sz w:val="32"/>
                <w:szCs w:val="32"/>
              </w:rPr>
            </w:pPr>
          </w:p>
        </w:tc>
        <w:tc>
          <w:tcPr>
            <w:tcW w:w="3429" w:type="dxa"/>
            <w:gridSpan w:val="3"/>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（七）总计</w:t>
            </w:r>
          </w:p>
        </w:tc>
        <w:tc>
          <w:tcPr>
            <w:tcW w:w="70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p>
        </w:tc>
        <w:tc>
          <w:tcPr>
            <w:tcW w:w="688" w:type="dxa"/>
            <w:gridSpan w:val="2"/>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nil"/>
              <w:left w:val="nil"/>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single" w:color="auto" w:sz="0" w:space="0"/>
              <w:left w:val="single" w:color="auto" w:sz="0" w:space="0"/>
              <w:bottom w:val="single" w:color="auto" w:sz="8" w:space="0"/>
              <w:right w:val="threeDEmboss"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nil"/>
              <w:left w:val="single" w:color="auto" w:sz="0" w:space="0"/>
              <w:bottom w:val="single" w:color="auto" w:sz="8" w:space="0"/>
              <w:right w:val="single" w:color="auto" w:sz="8" w:space="0"/>
            </w:tcBorders>
            <w:tcMar>
              <w:left w:w="57" w:type="dxa"/>
              <w:right w:w="57"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96" w:type="dxa"/>
            <w:gridSpan w:val="4"/>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四、结转下年度继续办理</w:t>
            </w:r>
          </w:p>
        </w:tc>
        <w:tc>
          <w:tcPr>
            <w:tcW w:w="708" w:type="dxa"/>
            <w:gridSpan w:val="2"/>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88" w:type="dxa"/>
            <w:gridSpan w:val="2"/>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61" w:type="dxa"/>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83" w:type="dxa"/>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542" w:type="dxa"/>
            <w:gridSpan w:val="2"/>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18" w:type="dxa"/>
            <w:tcBorders>
              <w:top w:val="outset" w:color="auto" w:sz="6" w:space="0"/>
              <w:left w:val="single" w:color="auto" w:sz="0" w:space="0"/>
              <w:bottom w:val="outset" w:color="auto" w:sz="6" w:space="0"/>
              <w:right w:val="outset" w:color="auto" w:sz="6" w:space="0"/>
            </w:tcBorders>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四、政府信息公开行政复议、行政诉讼情况</w:t>
      </w:r>
    </w:p>
    <w:tbl>
      <w:tblPr>
        <w:tblStyle w:val="7"/>
        <w:tblW w:w="9722" w:type="dxa"/>
        <w:jc w:val="center"/>
        <w:tblInd w:w="2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24"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82" w:hRule="atLeast"/>
          <w:jc w:val="center"/>
        </w:trPr>
        <w:tc>
          <w:tcPr>
            <w:tcW w:w="62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2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400" w:lineRule="exact"/>
              <w:rPr>
                <w:rFonts w:hint="eastAsia" w:ascii="仿宋_GB2312" w:hAnsi="仿宋_GB2312" w:eastAsia="仿宋_GB2312" w:cs="仿宋_GB2312"/>
                <w:sz w:val="32"/>
                <w:szCs w:val="32"/>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其他</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结果</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其他</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尚未</w:t>
            </w:r>
            <w:r>
              <w:rPr>
                <w:rFonts w:hint="eastAsia" w:ascii="仿宋_GB2312" w:hAnsi="仿宋_GB2312" w:eastAsia="仿宋_GB2312" w:cs="仿宋_GB2312"/>
                <w:kern w:val="0"/>
                <w:sz w:val="32"/>
                <w:szCs w:val="32"/>
                <w:lang w:bidi="ar"/>
              </w:rPr>
              <w:br w:type="textWrapping"/>
            </w:r>
            <w:r>
              <w:rPr>
                <w:rFonts w:hint="eastAsia" w:ascii="仿宋_GB2312" w:hAnsi="仿宋_GB2312" w:eastAsia="仿宋_GB2312" w:cs="仿宋_GB2312"/>
                <w:kern w:val="0"/>
                <w:sz w:val="32"/>
                <w:szCs w:val="32"/>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2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五、存在的主要问题及改进情况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shd w:val="clear" w:color="auto" w:fill="FFFFFF"/>
          <w:lang w:val="en-US" w:eastAsia="zh-CN" w:bidi="ar-SA"/>
        </w:rPr>
      </w:pPr>
      <w:r>
        <w:rPr>
          <w:rFonts w:hint="eastAsia" w:ascii="Times New Roman" w:hAnsi="Times New Roman" w:eastAsia="仿宋_GB2312" w:cs="Times New Roman"/>
          <w:color w:val="000000"/>
          <w:kern w:val="2"/>
          <w:sz w:val="32"/>
          <w:szCs w:val="32"/>
          <w:shd w:val="clear" w:color="auto" w:fill="FFFFFF"/>
          <w:lang w:val="en-US" w:eastAsia="zh-CN" w:bidi="ar-SA"/>
        </w:rPr>
        <w:t>2022年我局</w:t>
      </w:r>
      <w:r>
        <w:rPr>
          <w:rFonts w:hint="default" w:ascii="Times New Roman" w:hAnsi="Times New Roman" w:eastAsia="仿宋_GB2312" w:cs="Times New Roman"/>
          <w:color w:val="000000"/>
          <w:kern w:val="2"/>
          <w:sz w:val="32"/>
          <w:szCs w:val="32"/>
          <w:shd w:val="clear" w:color="auto" w:fill="FFFFFF"/>
          <w:lang w:val="en-US" w:eastAsia="zh-CN" w:bidi="ar-SA"/>
        </w:rPr>
        <w:t>政府信息公开</w:t>
      </w:r>
      <w:r>
        <w:rPr>
          <w:rFonts w:hint="eastAsia" w:ascii="Times New Roman" w:hAnsi="Times New Roman" w:eastAsia="仿宋_GB2312" w:cs="Times New Roman"/>
          <w:color w:val="000000"/>
          <w:kern w:val="2"/>
          <w:sz w:val="32"/>
          <w:szCs w:val="32"/>
          <w:shd w:val="clear" w:color="auto" w:fill="FFFFFF"/>
          <w:lang w:val="en-US" w:eastAsia="zh-CN" w:bidi="ar-SA"/>
        </w:rPr>
        <w:t>工作取得了一定的成效，但仍存在一些不足，主要表现在：一是公开意识需要进一步加强，二是</w:t>
      </w:r>
      <w:r>
        <w:rPr>
          <w:rFonts w:hint="default" w:ascii="Times New Roman" w:hAnsi="Times New Roman" w:eastAsia="仿宋_GB2312" w:cs="Times New Roman"/>
          <w:color w:val="000000"/>
          <w:kern w:val="2"/>
          <w:sz w:val="32"/>
          <w:szCs w:val="32"/>
          <w:shd w:val="clear" w:color="auto" w:fill="FFFFFF"/>
          <w:lang w:val="en-US" w:eastAsia="zh-CN" w:bidi="ar-SA"/>
        </w:rPr>
        <w:t>部分人员《政府信息公开条例》</w:t>
      </w:r>
      <w:r>
        <w:rPr>
          <w:rFonts w:hint="eastAsia" w:ascii="Times New Roman" w:hAnsi="Times New Roman" w:eastAsia="仿宋_GB2312" w:cs="Times New Roman"/>
          <w:color w:val="000000"/>
          <w:kern w:val="2"/>
          <w:sz w:val="32"/>
          <w:szCs w:val="32"/>
          <w:shd w:val="clear" w:color="auto" w:fill="FFFFFF"/>
          <w:lang w:val="en-US" w:eastAsia="zh-CN" w:bidi="ar-SA"/>
        </w:rPr>
        <w:t>的把握还不够准确，理解不够透彻；三是</w:t>
      </w:r>
      <w:r>
        <w:rPr>
          <w:rFonts w:hint="default" w:ascii="Times New Roman" w:hAnsi="Times New Roman" w:eastAsia="仿宋_GB2312" w:cs="Times New Roman"/>
          <w:color w:val="000000"/>
          <w:kern w:val="2"/>
          <w:sz w:val="32"/>
          <w:szCs w:val="32"/>
          <w:shd w:val="clear" w:color="auto" w:fill="FFFFFF"/>
          <w:lang w:val="en-US" w:eastAsia="zh-CN" w:bidi="ar-SA"/>
        </w:rPr>
        <w:t>在获取政府信息渠道多元化方面与退役军人的期待还存在一定差距。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下一步将着力从以下方面改进：</w:t>
      </w:r>
      <w:r>
        <w:rPr>
          <w:rFonts w:hint="eastAsia" w:ascii="Times New Roman" w:hAnsi="Times New Roman" w:eastAsia="仿宋_GB2312" w:cs="Times New Roman"/>
          <w:color w:val="000000"/>
          <w:kern w:val="2"/>
          <w:sz w:val="32"/>
          <w:szCs w:val="32"/>
          <w:shd w:val="clear" w:color="auto" w:fill="FFFFFF"/>
          <w:lang w:val="en-US" w:eastAsia="zh-CN" w:bidi="ar-SA"/>
        </w:rPr>
        <w:t>一是持续提高政府信息公开工作主动公开的意识。进一步注重从退役军人关心关注出发，推进本单位重点业务信息公开。二是</w:t>
      </w:r>
      <w:r>
        <w:rPr>
          <w:rFonts w:hint="default" w:ascii="Times New Roman" w:hAnsi="Times New Roman" w:eastAsia="仿宋_GB2312" w:cs="Times New Roman"/>
          <w:color w:val="000000"/>
          <w:kern w:val="2"/>
          <w:sz w:val="32"/>
          <w:szCs w:val="32"/>
          <w:shd w:val="clear" w:color="auto" w:fill="FFFFFF"/>
          <w:lang w:val="en-US" w:eastAsia="zh-CN" w:bidi="ar-SA"/>
        </w:rPr>
        <w:t>加强对信息公开工作新情况和新问题的研究，积极开展业务培训，提高信息政务公开工作人员的专业化水平。</w:t>
      </w:r>
      <w:r>
        <w:rPr>
          <w:rFonts w:hint="eastAsia" w:ascii="Times New Roman" w:hAnsi="Times New Roman" w:eastAsia="仿宋_GB2312" w:cs="Times New Roman"/>
          <w:color w:val="000000"/>
          <w:kern w:val="2"/>
          <w:sz w:val="32"/>
          <w:szCs w:val="32"/>
          <w:shd w:val="clear" w:color="auto" w:fill="FFFFFF"/>
          <w:lang w:val="en-US" w:eastAsia="zh-CN" w:bidi="ar-SA"/>
        </w:rPr>
        <w:t>三是</w:t>
      </w:r>
      <w:r>
        <w:rPr>
          <w:rFonts w:hint="default" w:ascii="Times New Roman" w:hAnsi="Times New Roman" w:eastAsia="仿宋_GB2312" w:cs="Times New Roman"/>
          <w:color w:val="000000"/>
          <w:kern w:val="2"/>
          <w:sz w:val="32"/>
          <w:szCs w:val="32"/>
          <w:shd w:val="clear" w:color="auto" w:fill="FFFFFF"/>
          <w:lang w:val="en-US" w:eastAsia="zh-CN" w:bidi="ar-SA"/>
        </w:rPr>
        <w:t>加大主动公开力度，拓宽信息公开渠道和方式，加强官方微信公众号信息推送，扩大信息公开的覆盖面。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202</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年，我局未收取任何信息处理费，发出收费通知的件数和总金额以及实际收取的</w:t>
      </w:r>
      <w:bookmarkStart w:id="0" w:name="_GoBack"/>
      <w:bookmarkEnd w:id="0"/>
      <w:r>
        <w:rPr>
          <w:rFonts w:hint="default" w:ascii="Times New Roman" w:hAnsi="Times New Roman" w:eastAsia="仿宋_GB2312" w:cs="Times New Roman"/>
          <w:color w:val="000000"/>
          <w:sz w:val="32"/>
          <w:szCs w:val="32"/>
          <w:shd w:val="clear" w:color="auto" w:fill="FFFFFF"/>
        </w:rPr>
        <w:t>总金额均为0。</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本报告所列数据的统计期限</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自202</w:t>
      </w:r>
      <w:r>
        <w:rPr>
          <w:rFonts w:hint="default"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rPr>
        <w:t>年1月1日起至12月31日止。本报告的电子版可登录“朝阳区政府门户网站(“北京·朝阳”)http://www.bjchy.gov.cn/——</w:t>
      </w:r>
      <w:r>
        <w:rPr>
          <w:rFonts w:hint="eastAsia" w:ascii="仿宋_GB2312" w:hAnsi="仿宋_GB2312" w:eastAsia="仿宋_GB2312" w:cs="仿宋_GB2312"/>
          <w:color w:val="000000"/>
          <w:sz w:val="32"/>
          <w:szCs w:val="32"/>
          <w:shd w:val="clear" w:color="auto" w:fill="FFFFFF"/>
        </w:rPr>
        <w:t>政府信息公开栏目——政府信息公开年报”下载查阅。</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_GB2312" w:hAnsi="仿宋_GB2312" w:eastAsia="仿宋_GB2312" w:cs="仿宋_GB2312"/>
          <w:color w:val="000000"/>
          <w:sz w:val="32"/>
          <w:szCs w:val="32"/>
          <w:shd w:val="clear" w:color="auto" w:fill="FFFFFF"/>
        </w:rPr>
      </w:pP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jc w:val="righ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朝阳区退役军人事务局</w:t>
      </w:r>
    </w:p>
    <w:p>
      <w:pPr>
        <w:pStyle w:val="2"/>
        <w:keepNext w:val="0"/>
        <w:keepLines w:val="0"/>
        <w:pageBreakBefore w:val="0"/>
        <w:kinsoku/>
        <w:wordWrap w:val="0"/>
        <w:overflowPunct/>
        <w:topLinePunct w:val="0"/>
        <w:autoSpaceDE/>
        <w:autoSpaceDN/>
        <w:bidi w:val="0"/>
        <w:adjustRightInd/>
        <w:snapToGrid/>
        <w:spacing w:line="540" w:lineRule="exact"/>
        <w:ind w:left="0" w:leftChars="0" w:right="0" w:rightChars="0"/>
        <w:jc w:val="righ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2023年1月5日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微软雅黑"/>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DotumChe">
    <w:panose1 w:val="020B0609000101010101"/>
    <w:charset w:val="81"/>
    <w:family w:val="moder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Light">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A2FCB"/>
    <w:rsid w:val="04904F88"/>
    <w:rsid w:val="079B5BB2"/>
    <w:rsid w:val="1E8569E3"/>
    <w:rsid w:val="2A8E12E3"/>
    <w:rsid w:val="4B16262A"/>
    <w:rsid w:val="4CF7333A"/>
    <w:rsid w:val="5BD2515B"/>
    <w:rsid w:val="61AA7182"/>
    <w:rsid w:val="66256B55"/>
    <w:rsid w:val="7AAA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2023-01-04T01:26:00Z</dcterms:created>
  <dc:creator>dell</dc:creator>
  <cp:lastModifiedBy>dell</cp:lastModifiedBy>
  <cp:lastPrinted>2023-01-04T08:12:00Z</cp:lastPrinted>
  <dcterms:modified xsi:type="dcterms:W3CDTF">2023-01-09T02:42:47Z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