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>
      <w:pPr>
        <w:jc w:val="center"/>
        <w:rPr>
          <w:rFonts w:ascii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北京市朝阳区人民政府麦子店街道办事处所属行政单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个，为北京市朝阳区人民政府麦子店街道办事处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，下设“六办一组一队”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；全额拨款事业单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位3个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，包括北京市朝阳区麦子店街道便民服务中心、北京市朝阳区麦子店街道市民活动中心、北京市朝阳区麦子店街道市民诉求处置中心。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</w:t>
      </w:r>
      <w:r>
        <w:rPr>
          <w:rFonts w:hint="eastAsia" w:ascii="仿宋_GB2312" w:hAnsi="仿宋_GB2312" w:eastAsia="仿宋_GB2312" w:cs="仿宋_GB2312"/>
          <w:sz w:val="32"/>
          <w:szCs w:val="32"/>
        </w:rPr>
        <w:t>合办公室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党工委落实全面从严治党主体责任、党风廉政建设主体责任的具体工作。负责机关重要事项的组织协调、督查督办和服务保障工作。负责文电、会务、机票、保密、档案、印章管理、信息、对外接待联络、财务、固定资产管理、安全保卫、应急值守和后勤保障等机关日常工作。负责党务政务公开、信息公开、信访、建议议案提案办理、绩效管理、重要公文起草和调研等工作。综合协调本区域城市服务管理网络工作。负责组织实施辖区相关专业统计调查及各种普查和专项调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群工作办公室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宣传和执行党的路线、方针、政策及党中央、市委、区委的决议。落实基层党建工作责任制，统筹推进区域化党建、“两新”组织党建和社区党建工作。负责机关及所属单位党组织建设、党员队伍建设和管理工作。负责思想政治教育、意识形态和社会主义精神文明建设等相关工作。负责统一战线、民族宗教等相关工作。负责总工会、团工委、妇联等群团工作。统筹推进街道协商民主建设工作。按照干部管理权限，负责机关及所属单位机构编制管理、人事管理、干部队伍建设、工资福利、离退休干部管理和编制外人员管理等工作，对政府职能部门派出机构相关工作人员的任免、调动、奖惩提出意见。负责人大、政协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>安建设办公室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维护辖区安全稳定，协调推进社会治安综合治理。协助开展流动人口及出租房屋综合管理、防范邪教和反恐怖主义、消防安全、安全生产、地下空间安全使用管理和“扫黄打非”等工作。负责依法行政、法制宣传教育、基层法律服务、社会矫正及刑满释放人员安置帮教、社区戒毒及人员调节等工作。负责辖区民兵、征兵工作。统筹辖区机动车停车管理工作。负责辖区人民防空、防震减灾和突发事件应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城市管</w:t>
      </w:r>
      <w:r>
        <w:rPr>
          <w:rFonts w:hint="eastAsia" w:ascii="仿宋_GB2312" w:hAnsi="仿宋_GB2312" w:eastAsia="仿宋_GB2312" w:cs="仿宋_GB2312"/>
          <w:sz w:val="32"/>
          <w:szCs w:val="32"/>
        </w:rPr>
        <w:t>理办公室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辖区市容环境卫生、绿化美化管理，协助开展城乡规划管理。组织、协调城市管理综合执法和环境秩序综合治理工作。负责街巷长、河长制相关工作。负责辖区防汛抗洪工作。协调开展辖区食品安全、环境保护、节约用水、老旧小区综合整治、施工监督管理、供热采暖管理等工作。负责保障性住房管理，指导、监督辖区业主大会、业主委员会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区建设办公室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制定并组织实施社区建设规划和公共服务设施规划。负责社区居民委员会建设，指导其开展工作。推进居民自治，动员社会力量参与社会治理，服务社区发展。培育、指导、监督社区社会组织。负责社区工作者日常管理等工作。组织收集社区群众需求，推进党政群共商共治相关工作。组织协调社区学前教育、家庭教育，配合做好义务教育实施工作。负责统筹辖区全民健身工作。协助开展基层综合性公共文化设施建设，协调指导社区科普活动和群众性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民生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就业促进、社会保障、企业退休人员社会化管理服务、低保、社会救助、社会优抚、养老、助残等各项民生政策和措施，并承担相关工作。负责拥军优属、老年人权益保障、协调劳动关系和劳动保障等相关工作。负责残疾人权益保障，承担残联具体工作。负责辖区人口和计划生育工作，组织开展爱国卫生活动、群众性卫生活动和精神卫生等相关工作，综合协调社区卫生服务、动物防疫等相关工作。协助开展社会捐助工作。负责政务服务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z w:val="32"/>
          <w:szCs w:val="32"/>
        </w:rPr>
        <w:t>工委、监察组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协助街道党工委推进街道全面从严治党、加强党风建设和组织协调反腐败工作。依照党的章程和其他党内法规履行监督、执纪、问责职责，对街道所辖党组织和党员遵守党章和党内法规、执行党纪情况进行监督检查。组织协调开展街道廉政宣传教育工作。负责社区纪检组织和干部的日常管理和业务指导工作。根据授权，依法对街道管辖范围内行使公权力的公职人员进行监督检查，提出监察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协助区监委开展调查工作。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行使市容环境法规、规章规定的区行政执法机关具有的全部处罚权；行使绿化管理法规、规章规定的区行政机关具有的全部处罚权；行使工商行政管理法规规定的对无固定场所的无照经营的处罚权；行使城市规划法律、法规规定的对道路街巷、居民小区等公共场所违章建设的处罚权；行使城市交通和市政管理法规、规章规定的对违法临时占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不含机动车道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的处罚权；承担街乡综合执法平台的统筹协调工作。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承担政务服务、社会保障、住房保障、养老助残以及其他直接面向群众和驻区单位的综合便民服务工作。做好本辖区退役军人服务管理、权益保障、数据信息采集、优抚帮扶等相关事务性工作。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市民活</w:t>
      </w:r>
      <w:r>
        <w:rPr>
          <w:rFonts w:hint="eastAsia" w:ascii="仿宋_GB2312" w:hAnsi="仿宋_GB2312" w:eastAsia="仿宋_GB2312" w:cs="仿宋_GB2312"/>
          <w:sz w:val="32"/>
          <w:szCs w:val="32"/>
        </w:rPr>
        <w:t>动中心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社会服务资源，为辖区居民提供文化、教育、体育等各种便民服务。组织社区开展各类党群文体活动，为辖区党群组织开展活动提供场地支持。承担辖区内基层党组织和群团组织日常事务性工作。协助开展区域化党建、流动党员教育管理、社会组织培育等事务性、辅助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市民诉求处置中心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负责街道网格化服务管理信息平台的日常值守、运行管理和监督工作。承担“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12345</w:t>
      </w:r>
      <w:r>
        <w:rPr>
          <w:rFonts w:hint="eastAsia" w:ascii="仿宋_GB2312" w:hAnsi="仿宋_GB2312" w:eastAsia="仿宋_GB2312" w:cs="仿宋_GB2312"/>
          <w:sz w:val="32"/>
          <w:szCs w:val="32"/>
        </w:rPr>
        <w:t>”市政府非紧急救助服务热线及其他各类政府热线、网格化服务管理信息平台、群众来信来访、社区上报等各类事件的统一接收、按责转办、督办落实等工作。负责街道网格化服务管理信息平台的数据统计和案件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推进街道、社区各信息系统、基础数据等方面的深度融合，为街道决策提供数据基础。负责配合处置、应对应急突发事件。承担城市管理、综合治理等相关的事务性、辅助性工作。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（二）部门整体绩效目标设立情况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按照部门职责及年初工作计划，为提高预算资金管理水平，检验经费支出预期目标实现程度，</w:t>
      </w:r>
      <w:bookmarkStart w:id="0" w:name="_Hlk53567156"/>
      <w:r>
        <w:rPr>
          <w:rFonts w:hint="eastAsia" w:ascii="仿宋_GB2312" w:hAnsi="仿宋" w:eastAsia="仿宋_GB2312" w:cs="仿宋"/>
          <w:bCs/>
          <w:sz w:val="32"/>
          <w:szCs w:val="32"/>
        </w:rPr>
        <w:t>考核经费支出效率和综合效果，</w:t>
      </w:r>
      <w:bookmarkEnd w:id="0"/>
      <w:r>
        <w:rPr>
          <w:rFonts w:hint="eastAsia" w:ascii="仿宋_GB2312" w:hAnsi="仿宋" w:eastAsia="仿宋_GB2312" w:cs="仿宋"/>
          <w:bCs/>
          <w:sz w:val="32"/>
          <w:szCs w:val="32"/>
        </w:rPr>
        <w:t>根据《北京市项目支出绩效评价管理办法》和《麦子店街道办事处预算绩效管理办法（试行）》，组织相关部门有序开展绩效评价工作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绩效指标涵盖各业务部门职责及工作要点，并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重点关注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形成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的社会效益和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可持续影响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目标与职责任务匹配一致，绩效理念融入预算编制、执行、监督全过程。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二、当年预算执行情况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2023年全年预算数30992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915234万元，其中，基本支出预算数4622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465941万元，项目支出预算数26370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449293万元。资金总体支出30992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915234万元，其中，基本支出4622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465941万元，项目支出26370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449293万元。预算执行率为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三、整体绩效目标实现情况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000000"/>
          <w:kern w:val="0"/>
          <w:sz w:val="32"/>
          <w:szCs w:val="32"/>
          <w:lang w:val="en-US" w:eastAsia="zh-CN"/>
        </w:rPr>
        <w:t>1.产出数量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整体服务覆盖全辖区，完成了重点职能工作保障项目，做好城市建设管理监察，开展辖区市容环境卫生、绿化、环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境保护，配合开展经常性社会捐助和慈善工作，妥善解决居民需求等绩效目标完成情况与预期无偏离。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资金拨付标准符合相关法律法规及本单位规章制度。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000000"/>
          <w:kern w:val="0"/>
          <w:sz w:val="32"/>
          <w:szCs w:val="32"/>
          <w:lang w:val="en-US" w:eastAsia="zh-CN"/>
        </w:rPr>
        <w:t>2.产出质量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持续加强基层党组织建设，全面深化落实社区减负增效，配合做好城乡规划管理，协助开展老旧小区综合整治等工作。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围绕“三化”目标要求，持续提升地区人居环境和居民生活品质，产出质量指标实现良好。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3.产出进度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部门整体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根据预算申报内容执行相关项目，项目专款专用，资金拨付及预算调整均有完整的审批程序。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各项资金使用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按照年初制定工作计划有序推进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，绩效目标实现情况与预期未偏离。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成本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能够遵守相关政策法规要求，严格财政支出的成本控制。下一步需要继续强化预算项目按计划及时完成年初设定目标，提高产出实际达成情况的可考核性。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1.社会效益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各项目实施发挥了应有的社会效益，基本达到预期设定指标，充分呈现财政资金成效，发挥了应有的社会效益，但个别项目的绩效成果展现不够显著，实施效果的呈现及总结仍需进一步加强。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务对象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满意度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辖区企业及居民满意度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等服务对象满意度绩效目标实现效果与预期未偏离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四、预算管理情况分析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1.财务管理制度健全性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为做好预算管理工作，规范预算的执行程序，提高项目执行效率，街道编制并严格执行《内部控制手册》，并及时依据相关法律法规修订完善制度体系。在强化内控建设的基础上，结合预算执行中发现的问题，进一步完善财务管理流程措施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资金使用合规性和安全性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通过加大执行环节控制，提高预算资金使用的合规性和安全性，采取的方式方法有：一是严格按照预算批复执行，坚持统筹兼顾、指标控制、从严考核的原则，紧紧围绕发展需要确定预算，严格执行专项资金管理制度，不挪用和挤占项目资金；二是严格履行“三重一大”程序，对属于政府采购项目的支出，严格履行政府采购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计基础信息完善性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加强会计核算基本工作，保证会计资料准确、完整，部门基础信息管理较好。预算资金的使用与相关的预算财务管理制度相符，同时，符合国家财经法规和财务管理制度规定，以及有关专项资金管理办法的规定。根据财政局关于做好部门预决算公开的相关要求，本部门及所属事业单位均及时并完整向社会公开部门的预决算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（二）资产管理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严格按照资产配置标准配置资产，对不能正常使用并达到最高使用年限的资产进行报废处置。固定资产管理制度较明确，相关部门和岗位的职责权限明确；资产管理人变更及时办理交接手续，落实新的接任人。但还需加强对资产的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年度预算编制要求设定和填报绩效目标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，并按照批复的绩效目标组织预算执行，开展绩效监控、单位自评，做到预算绩效全过程管理。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（四）结转结余率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本单位零余额账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户2023年度结转结余率为0%。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（五）部门预决算差异率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财政拨款收入预决算差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异率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239.52%。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五、总体评价结论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部门整体绩效实现情况及支出绩效目标完成情况基本相符，与预期完成情况未偏离。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e眠副浡渀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CJODE+MSung-Ligh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hruti">
    <w:panose1 w:val="020B0502040204020203"/>
    <w:charset w:val="00"/>
    <w:family w:val="swiss"/>
    <w:pitch w:val="default"/>
    <w:sig w:usb0="00040003" w:usb1="00000000" w:usb2="00000000" w:usb3="00000000" w:csb0="0000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hruti">
    <w:panose1 w:val="020B0502040204020203"/>
    <w:charset w:val="01"/>
    <w:family w:val="roman"/>
    <w:pitch w:val="default"/>
    <w:sig w:usb0="00040003" w:usb1="00000000" w:usb2="00000000" w:usb3="00000000" w:csb0="0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23434C"/>
    <w:rsid w:val="00465181"/>
    <w:rsid w:val="0057202C"/>
    <w:rsid w:val="005E3946"/>
    <w:rsid w:val="0060746B"/>
    <w:rsid w:val="00826643"/>
    <w:rsid w:val="00954F6E"/>
    <w:rsid w:val="00B03B70"/>
    <w:rsid w:val="00CF07EE"/>
    <w:rsid w:val="00E617B2"/>
    <w:rsid w:val="00F42C33"/>
    <w:rsid w:val="01CA735B"/>
    <w:rsid w:val="03E543ED"/>
    <w:rsid w:val="04C04592"/>
    <w:rsid w:val="0B1B4A60"/>
    <w:rsid w:val="0C282090"/>
    <w:rsid w:val="0EED37AC"/>
    <w:rsid w:val="182D7545"/>
    <w:rsid w:val="1BDF309C"/>
    <w:rsid w:val="1C034C86"/>
    <w:rsid w:val="2327129C"/>
    <w:rsid w:val="26112DC7"/>
    <w:rsid w:val="271D2ED8"/>
    <w:rsid w:val="36E01415"/>
    <w:rsid w:val="48E51E1D"/>
    <w:rsid w:val="495A1FF7"/>
    <w:rsid w:val="50706B0C"/>
    <w:rsid w:val="546C1078"/>
    <w:rsid w:val="5B1D39DF"/>
    <w:rsid w:val="5C2042F6"/>
    <w:rsid w:val="620A57BF"/>
    <w:rsid w:val="67EA18D3"/>
    <w:rsid w:val="68843EA8"/>
    <w:rsid w:val="6ADF5E78"/>
    <w:rsid w:val="6C607409"/>
    <w:rsid w:val="6E0E5CF7"/>
    <w:rsid w:val="715B25ED"/>
    <w:rsid w:val="759323C9"/>
    <w:rsid w:val="75B41ECC"/>
    <w:rsid w:val="7FB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200" w:firstLineChars="200"/>
    </w:pPr>
  </w:style>
  <w:style w:type="paragraph" w:styleId="4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4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ScaleCrop>false</ScaleCrop>
  <LinksUpToDate>false</LinksUpToDate>
  <CharactersWithSpaces>525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pc</cp:lastModifiedBy>
  <cp:lastPrinted>2024-03-19T01:56:35Z</cp:lastPrinted>
  <dcterms:modified xsi:type="dcterms:W3CDTF">2024-03-19T01:56:56Z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