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6"/>
          <w:szCs w:val="36"/>
        </w:rPr>
      </w:pPr>
      <w:r>
        <w:rPr>
          <w:rFonts w:hint="eastAsia" w:ascii="宋体" w:hAnsi="宋体" w:cs="宋体"/>
          <w:sz w:val="36"/>
          <w:szCs w:val="36"/>
        </w:rPr>
        <w:t>金盏乡东窑村集约化供水项目支出绩效评价报告</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一、基本情况</w:t>
      </w:r>
    </w:p>
    <w:p>
      <w:pPr>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（一）项目概况：</w:t>
      </w:r>
    </w:p>
    <w:p>
      <w:pPr>
        <w:ind w:firstLine="640"/>
        <w:rPr>
          <w:rFonts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背景：</w:t>
      </w:r>
      <w:r>
        <w:rPr>
          <w:rFonts w:ascii="仿宋_GB2312" w:hAnsi="仿宋_GB2312" w:eastAsia="仿宋_GB2312" w:cs="仿宋_GB2312"/>
          <w:b w:val="0"/>
          <w:sz w:val="32"/>
          <w:szCs w:val="32"/>
        </w:rPr>
        <w:t>习近平总书记在中央财经领导小组第五次会议上深刻指出：河川之危、水源之危是生存环境之危、民族存续之危。全党要大力增强水忧患意识、水危机意识，从全面建成小康社会、实现中华民族永续发展的战略高度，重视解决好水安全问题。同时指出治水必须要有新内涵、新要求、新任务，坚持“节水优先、空间均衡、系统治理、两手发力”的思路，实现治水思路的转变。</w:t>
      </w:r>
    </w:p>
    <w:p>
      <w:pPr>
        <w:ind w:firstLine="640"/>
        <w:rPr>
          <w:rFonts w:ascii="仿宋_GB2312" w:hAnsi="仿宋_GB2312" w:eastAsia="仿宋_GB2312" w:cs="仿宋_GB2312"/>
          <w:b w:val="0"/>
          <w:sz w:val="32"/>
          <w:szCs w:val="32"/>
        </w:rPr>
      </w:pPr>
      <w:r>
        <w:rPr>
          <w:rFonts w:ascii="仿宋_GB2312" w:hAnsi="仿宋_GB2312" w:eastAsia="仿宋_GB2312" w:cs="仿宋_GB2312"/>
          <w:b w:val="0"/>
          <w:sz w:val="32"/>
          <w:szCs w:val="32"/>
        </w:rPr>
        <w:t>为贯彻落实党的十九大精神，全面提升水资源利用效率，中共北京市委生态文明建设委员会2020年10月13日发布《北京市节水行动实施方案》。方案提出：要强化指标刚性约束。削减地下水开采量，限期置换自来水管网覆盖范围内的自备井，实现采补平衡。</w:t>
      </w:r>
    </w:p>
    <w:p>
      <w:pPr>
        <w:spacing w:line="360" w:lineRule="auto"/>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主要内容：金盏乡东窑村水源置换工程由北京市朝阳区金盏乡人民政府负责实施，主要内容为</w:t>
      </w:r>
      <w:r>
        <w:rPr>
          <w:rFonts w:ascii="仿宋_GB2312" w:hAnsi="仿宋_GB2312" w:eastAsia="仿宋_GB2312" w:cs="仿宋_GB2312"/>
          <w:b w:val="0"/>
          <w:sz w:val="32"/>
          <w:szCs w:val="32"/>
        </w:rPr>
        <w:t>东窑村村域范围内管道全部更换，并进行村内一户一表改造。拟改造现状计量水表，并更换入户水表，实现居民单独抄表入户改造。共新建管线共13</w:t>
      </w:r>
      <w:r>
        <w:rPr>
          <w:rFonts w:hint="eastAsia" w:ascii="仿宋_GB2312" w:hAnsi="仿宋_GB2312" w:eastAsia="仿宋_GB2312" w:cs="仿宋_GB2312"/>
          <w:b w:val="0"/>
          <w:sz w:val="32"/>
          <w:szCs w:val="32"/>
        </w:rPr>
        <w:t>859</w:t>
      </w:r>
      <w:r>
        <w:rPr>
          <w:rFonts w:ascii="仿宋_GB2312" w:hAnsi="仿宋_GB2312" w:eastAsia="仿宋_GB2312" w:cs="仿宋_GB2312"/>
          <w:b w:val="0"/>
          <w:sz w:val="32"/>
          <w:szCs w:val="32"/>
        </w:rPr>
        <w:t>m，设置阀门、消火栓、户表、电子远传流量计等配套设施</w:t>
      </w:r>
      <w:r>
        <w:rPr>
          <w:rFonts w:hint="eastAsia" w:ascii="仿宋_GB2312" w:hAnsi="仿宋_GB2312" w:eastAsia="仿宋_GB2312" w:cs="仿宋_GB2312"/>
          <w:b w:val="0"/>
          <w:bCs w:val="0"/>
          <w:sz w:val="32"/>
          <w:szCs w:val="32"/>
        </w:rPr>
        <w:t>。</w:t>
      </w:r>
    </w:p>
    <w:p>
      <w:pPr>
        <w:ind w:firstLine="640"/>
        <w:rPr>
          <w:rFonts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实施情况：20</w:t>
      </w:r>
      <w:r>
        <w:rPr>
          <w:rFonts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rPr>
        <w:t>年第三季度已完成东窑村管沟铣刨、开槽下管、沟槽回填、井室安装砌筑等工程5</w:t>
      </w:r>
      <w:r>
        <w:rPr>
          <w:rFonts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rPr>
        <w:t>的施工内容，整体项目完成度达</w:t>
      </w:r>
      <w:r>
        <w:rPr>
          <w:rFonts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rPr>
        <w:t>%，202</w:t>
      </w: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年年底整体项目完成。资金投入和使用情况：项目总资金</w:t>
      </w:r>
      <w:r>
        <w:rPr>
          <w:rFonts w:ascii="仿宋_GB2312" w:hAnsi="仿宋_GB2312" w:eastAsia="仿宋_GB2312" w:cs="仿宋_GB2312"/>
          <w:b w:val="0"/>
          <w:sz w:val="32"/>
          <w:szCs w:val="32"/>
        </w:rPr>
        <w:t>1844.61</w:t>
      </w:r>
      <w:r>
        <w:rPr>
          <w:rFonts w:hint="eastAsia" w:ascii="仿宋_GB2312" w:hAnsi="仿宋_GB2312" w:eastAsia="仿宋_GB2312" w:cs="仿宋_GB2312"/>
          <w:b w:val="0"/>
          <w:bCs w:val="0"/>
          <w:sz w:val="32"/>
          <w:szCs w:val="32"/>
        </w:rPr>
        <w:t>万元，区财政根据我单位上报用款计划下拨资金，执行方式为授权零余额。我单位主管科室根据实际工作情况进行支出，202</w:t>
      </w: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年度预算为</w:t>
      </w:r>
      <w:r>
        <w:rPr>
          <w:rFonts w:hint="eastAsia" w:ascii="仿宋_GB2312" w:hAnsi="仿宋_GB2312" w:eastAsia="仿宋_GB2312" w:cs="仿宋_GB2312"/>
          <w:b w:val="0"/>
          <w:sz w:val="32"/>
          <w:szCs w:val="32"/>
        </w:rPr>
        <w:t>8</w:t>
      </w:r>
      <w:r>
        <w:rPr>
          <w:rFonts w:ascii="仿宋_GB2312" w:hAnsi="仿宋_GB2312" w:eastAsia="仿宋_GB2312" w:cs="仿宋_GB2312"/>
          <w:b w:val="0"/>
          <w:sz w:val="32"/>
          <w:szCs w:val="32"/>
        </w:rPr>
        <w:t>35</w:t>
      </w:r>
      <w:r>
        <w:rPr>
          <w:rFonts w:hint="eastAsia" w:ascii="仿宋_GB2312" w:hAnsi="仿宋_GB2312" w:eastAsia="仿宋_GB2312" w:cs="仿宋_GB2312"/>
          <w:b w:val="0"/>
          <w:bCs w:val="0"/>
          <w:sz w:val="32"/>
          <w:szCs w:val="32"/>
        </w:rPr>
        <w:t>万元，三季度末支出预算比例为68%，共计支付金额5739149.94元。因按照合同约定，9月底工程未完成竣工验收，无法支付工程进度款，11月完成竣工验收后，按照合同约定支付进度款，2023年底实际支出835万元，完成年度项目支出。</w:t>
      </w:r>
    </w:p>
    <w:p>
      <w:pPr>
        <w:numPr>
          <w:ilvl w:val="0"/>
          <w:numId w:val="1"/>
        </w:numPr>
        <w:spacing w:line="600" w:lineRule="exact"/>
        <w:ind w:firstLine="643"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项目绩效目标。</w:t>
      </w:r>
    </w:p>
    <w:p>
      <w:pPr>
        <w:spacing w:line="360" w:lineRule="auto"/>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总体目标：</w:t>
      </w:r>
      <w:r>
        <w:rPr>
          <w:rFonts w:hint="eastAsia" w:ascii="仿宋_GB2312" w:hAnsi="仿宋_GB2312" w:eastAsia="仿宋_GB2312" w:cs="仿宋_GB2312"/>
          <w:b w:val="0"/>
          <w:bCs w:val="0"/>
          <w:sz w:val="32"/>
          <w:szCs w:val="32"/>
        </w:rPr>
        <w:t>完成设计要求的全部任务，质量合格；对</w:t>
      </w:r>
      <w:r>
        <w:rPr>
          <w:rFonts w:ascii="仿宋_GB2312" w:hAnsi="仿宋_GB2312" w:eastAsia="仿宋_GB2312" w:cs="仿宋_GB2312"/>
          <w:b w:val="0"/>
          <w:bCs w:val="0"/>
          <w:sz w:val="32"/>
          <w:szCs w:val="32"/>
        </w:rPr>
        <w:t>金盏乡东窑村340户居民生活水源置换，达到压采地下水的目的</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通过自来水接入，村内供水管网的建设，从根本上解决了村内</w:t>
      </w:r>
      <w:r>
        <w:rPr>
          <w:rFonts w:hint="eastAsia" w:ascii="仿宋_GB2312" w:hAnsi="仿宋_GB2312" w:eastAsia="仿宋_GB2312" w:cs="仿宋_GB2312"/>
          <w:b w:val="0"/>
          <w:bCs w:val="0"/>
          <w:sz w:val="32"/>
          <w:szCs w:val="32"/>
        </w:rPr>
        <w:t>旧管线系统</w:t>
      </w:r>
      <w:r>
        <w:rPr>
          <w:rFonts w:ascii="仿宋_GB2312" w:hAnsi="仿宋_GB2312" w:eastAsia="仿宋_GB2312" w:cs="仿宋_GB2312"/>
          <w:b w:val="0"/>
          <w:bCs w:val="0"/>
          <w:sz w:val="32"/>
          <w:szCs w:val="32"/>
        </w:rPr>
        <w:t>供水跑冒滴漏的问题，实现用水计量和监管</w:t>
      </w:r>
      <w:r>
        <w:rPr>
          <w:rFonts w:hint="eastAsia" w:ascii="仿宋_GB2312" w:hAnsi="仿宋_GB2312" w:eastAsia="仿宋_GB2312" w:cs="仿宋_GB2312"/>
          <w:b w:val="0"/>
          <w:bCs w:val="0"/>
          <w:sz w:val="32"/>
          <w:szCs w:val="32"/>
        </w:rPr>
        <w:t>。</w:t>
      </w:r>
    </w:p>
    <w:p>
      <w:pPr>
        <w:spacing w:line="600" w:lineRule="exact"/>
        <w:ind w:firstLine="640"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阶段性目标：1、施工前准备阶段，完成施工招标工作，确定设计、监理、施工等单位；完成技术交底，设计、监理、施工要明确施工区域及内容，完成施工人员进场准备工作，确保施工生活区域准备到位、设施齐全、管理规范；完成施工证等相关手续办理工作。2、施工阶段，</w:t>
      </w:r>
      <w:r>
        <w:rPr>
          <w:rFonts w:hint="eastAsia" w:ascii="仿宋_GB2312" w:hAnsi="仿宋_GB2312" w:eastAsia="仿宋_GB2312" w:cs="仿宋_GB2312"/>
          <w:b w:val="0"/>
          <w:bCs w:val="0"/>
          <w:sz w:val="32"/>
          <w:szCs w:val="32"/>
        </w:rPr>
        <w:t>20</w:t>
      </w:r>
      <w:r>
        <w:rPr>
          <w:rFonts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rPr>
        <w:t>年第三季度已完成东窑村管沟铣刨、开槽下管、沟槽回填、井室安装砌筑等工程5</w:t>
      </w:r>
      <w:r>
        <w:rPr>
          <w:rFonts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rPr>
        <w:t>的施工内容，整体项目完成度达</w:t>
      </w:r>
      <w:r>
        <w:rPr>
          <w:rFonts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rPr>
        <w:t>%，202</w:t>
      </w: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年年底整体项目完成。</w:t>
      </w:r>
      <w:r>
        <w:rPr>
          <w:rFonts w:hint="eastAsia" w:ascii="仿宋_GB2312" w:hAnsi="仿宋_GB2312" w:eastAsia="仿宋_GB2312" w:cs="仿宋_GB2312"/>
          <w:b w:val="0"/>
          <w:bCs w:val="0"/>
          <w:color w:val="000000"/>
          <w:kern w:val="0"/>
          <w:sz w:val="32"/>
          <w:szCs w:val="32"/>
        </w:rPr>
        <w:t>3、竣工验收和移交，工程竣工后，领导小组办公室组织建设方代表、设计、监理、施工进行四方验收工作，对整治工作进行总结，质保期满后与东窑村“村两委”做好交接工作，由村委会负责后期维保。</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二、绩效评价工作开展情况</w:t>
      </w:r>
    </w:p>
    <w:p>
      <w:pPr>
        <w:spacing w:line="600" w:lineRule="exact"/>
        <w:ind w:firstLine="640"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color w:val="000000"/>
          <w:kern w:val="0"/>
          <w:sz w:val="32"/>
          <w:szCs w:val="32"/>
        </w:rPr>
        <w:t>绩效评价目的、对象和范围：</w:t>
      </w:r>
    </w:p>
    <w:p>
      <w:pPr>
        <w:spacing w:line="600" w:lineRule="exact"/>
        <w:ind w:firstLine="640" w:firstLineChars="200"/>
        <w:outlineLvl w:val="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为加强直达资金全过程预算绩效管理，对</w:t>
      </w:r>
      <w:r>
        <w:rPr>
          <w:rFonts w:hint="eastAsia" w:ascii="仿宋_GB2312" w:hAnsi="仿宋_GB2312" w:eastAsia="仿宋_GB2312" w:cs="仿宋_GB2312"/>
          <w:b w:val="0"/>
          <w:bCs w:val="0"/>
          <w:sz w:val="32"/>
          <w:szCs w:val="32"/>
        </w:rPr>
        <w:t>金盏乡东窑村水源置换工程的</w:t>
      </w:r>
      <w:r>
        <w:rPr>
          <w:rFonts w:hint="eastAsia" w:ascii="仿宋_GB2312" w:hAnsi="仿宋_GB2312" w:eastAsia="仿宋_GB2312" w:cs="仿宋_GB2312"/>
          <w:b w:val="0"/>
          <w:bCs w:val="0"/>
          <w:color w:val="000000"/>
          <w:kern w:val="0"/>
          <w:sz w:val="32"/>
          <w:szCs w:val="32"/>
        </w:rPr>
        <w:t>项目决策情况、项目过程情况、项目产出情况、项目效益情况</w:t>
      </w:r>
      <w:r>
        <w:rPr>
          <w:rFonts w:hint="eastAsia" w:ascii="仿宋_GB2312" w:hAnsi="仿宋_GB2312" w:eastAsia="仿宋_GB2312" w:cs="仿宋_GB2312"/>
          <w:b w:val="0"/>
          <w:bCs w:val="0"/>
          <w:sz w:val="32"/>
          <w:szCs w:val="32"/>
        </w:rPr>
        <w:t>开展绩效评价。</w:t>
      </w:r>
    </w:p>
    <w:p>
      <w:pPr>
        <w:numPr>
          <w:ilvl w:val="0"/>
          <w:numId w:val="1"/>
        </w:numPr>
        <w:spacing w:line="600" w:lineRule="exact"/>
        <w:ind w:firstLine="643" w:firstLineChars="200"/>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绩效评价原则、评价指标体系、评价方法、评价标准等。</w:t>
      </w:r>
    </w:p>
    <w:p>
      <w:pPr>
        <w:spacing w:line="600" w:lineRule="exact"/>
        <w:ind w:firstLine="640" w:firstLineChars="200"/>
        <w:jc w:val="left"/>
        <w:outlineLvl w:val="0"/>
        <w:rPr>
          <w:rFonts w:ascii="仿宋_GB2312" w:eastAsia="仿宋_GB2312"/>
          <w:b w:val="0"/>
          <w:sz w:val="32"/>
          <w:szCs w:val="32"/>
        </w:rPr>
      </w:pPr>
      <w:r>
        <w:rPr>
          <w:rFonts w:hint="eastAsia" w:ascii="仿宋_GB2312" w:hAnsi="仿宋_GB2312" w:eastAsia="仿宋_GB2312" w:cs="仿宋_GB2312"/>
          <w:b w:val="0"/>
          <w:bCs w:val="0"/>
          <w:kern w:val="0"/>
          <w:sz w:val="32"/>
          <w:szCs w:val="32"/>
        </w:rPr>
        <w:t>绩效评价的基本原则包括：</w:t>
      </w:r>
      <w:r>
        <w:rPr>
          <w:rFonts w:hint="eastAsia" w:ascii="仿宋_GB2312" w:eastAsia="仿宋_GB2312"/>
          <w:b w:val="0"/>
          <w:sz w:val="32"/>
          <w:szCs w:val="32"/>
        </w:rPr>
        <w:t>科学公正、统筹兼顾、激励约</w:t>
      </w:r>
    </w:p>
    <w:p>
      <w:pPr>
        <w:spacing w:line="600" w:lineRule="exact"/>
        <w:jc w:val="left"/>
        <w:outlineLvl w:val="0"/>
        <w:rPr>
          <w:rFonts w:ascii="仿宋_GB2312" w:hAnsi="仿宋_GB2312" w:eastAsia="仿宋_GB2312" w:cs="仿宋_GB2312"/>
          <w:b w:val="0"/>
          <w:bCs w:val="0"/>
          <w:kern w:val="0"/>
          <w:sz w:val="32"/>
          <w:szCs w:val="32"/>
        </w:rPr>
      </w:pPr>
      <w:r>
        <w:rPr>
          <w:rFonts w:hint="eastAsia" w:ascii="仿宋_GB2312" w:eastAsia="仿宋_GB2312"/>
          <w:b w:val="0"/>
          <w:sz w:val="32"/>
          <w:szCs w:val="32"/>
        </w:rPr>
        <w:t>束、公开透明；评价指标体系参照项目支出绩效评价评分表；评价方法主要包括成本效益分析法、比较法、因素分析法、最低成本法、公众评判法、标杆管理法等；绩效评价标准通常包括计划标准、行业标准、历史标准等。</w:t>
      </w:r>
    </w:p>
    <w:p>
      <w:pPr>
        <w:spacing w:line="600" w:lineRule="exact"/>
        <w:ind w:firstLine="643"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（四）绩效评价工作过程。</w:t>
      </w:r>
    </w:p>
    <w:p>
      <w:pPr>
        <w:spacing w:line="360" w:lineRule="auto"/>
        <w:ind w:firstLine="640" w:firstLineChars="20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绩效评价主要从项目决策、项目实施过程、项目产出、项目效益等情况进行分析工作过程。具体根据“项目支出绩效评价评分表”将项目立项、绩效目标、资金投入、资金管理、组织实施、产出数量、产出质量、产出时效、产出成本、项目效益等方面进行量化、具体分析。</w:t>
      </w:r>
    </w:p>
    <w:p>
      <w:pPr>
        <w:numPr>
          <w:ilvl w:val="0"/>
          <w:numId w:val="2"/>
        </w:num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综合评价情况及评价结论</w:t>
      </w:r>
    </w:p>
    <w:p>
      <w:pPr>
        <w:spacing w:line="600" w:lineRule="exact"/>
        <w:rPr>
          <w:rFonts w:ascii="黑体" w:hAnsi="黑体" w:eastAsia="黑体" w:cs="黑体"/>
          <w:b w:val="0"/>
          <w:color w:val="000000"/>
          <w:kern w:val="0"/>
          <w:sz w:val="32"/>
          <w:szCs w:val="32"/>
        </w:rPr>
      </w:pPr>
      <w:r>
        <w:rPr>
          <w:rFonts w:hint="eastAsia" w:eastAsia="仿宋_GB2312"/>
          <w:b w:val="0"/>
          <w:sz w:val="32"/>
          <w:szCs w:val="32"/>
        </w:rPr>
        <w:t>通过项目总体绩效评价分析来看，项目运行正常，投入环节操作规范、依据明确，后续工作将继续按照相关规定，对项目资金严格管理，对项目过程加强监测，产出环节能够按时完成计划，项目</w:t>
      </w:r>
      <w:r>
        <w:rPr>
          <w:rFonts w:hint="eastAsia" w:ascii="仿宋_GB2312" w:hAnsi="仿宋_GB2312" w:eastAsia="仿宋_GB2312" w:cs="仿宋_GB2312"/>
          <w:b w:val="0"/>
          <w:color w:val="000000"/>
          <w:kern w:val="0"/>
          <w:sz w:val="32"/>
          <w:szCs w:val="32"/>
        </w:rPr>
        <w:t>完成202</w:t>
      </w:r>
      <w:r>
        <w:rPr>
          <w:rFonts w:ascii="仿宋_GB2312" w:hAnsi="仿宋_GB2312" w:eastAsia="仿宋_GB2312" w:cs="仿宋_GB2312"/>
          <w:b w:val="0"/>
          <w:color w:val="000000"/>
          <w:kern w:val="0"/>
          <w:sz w:val="32"/>
          <w:szCs w:val="32"/>
        </w:rPr>
        <w:t>3</w:t>
      </w:r>
      <w:r>
        <w:rPr>
          <w:rFonts w:hint="eastAsia" w:ascii="仿宋_GB2312" w:hAnsi="仿宋_GB2312" w:eastAsia="仿宋_GB2312" w:cs="仿宋_GB2312"/>
          <w:b w:val="0"/>
          <w:color w:val="000000"/>
          <w:kern w:val="0"/>
          <w:sz w:val="32"/>
          <w:szCs w:val="32"/>
        </w:rPr>
        <w:t>年阶段性绩效目标。</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四、绩效评价指标分析</w:t>
      </w:r>
    </w:p>
    <w:p>
      <w:pPr>
        <w:spacing w:line="600" w:lineRule="exact"/>
        <w:ind w:firstLine="643"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（一）项目决策情况：</w:t>
      </w:r>
      <w:r>
        <w:rPr>
          <w:rFonts w:hint="eastAsia" w:ascii="仿宋_GB2312" w:hAnsi="仿宋_GB2312" w:eastAsia="仿宋_GB2312" w:cs="仿宋_GB2312"/>
          <w:b w:val="0"/>
          <w:bCs w:val="0"/>
          <w:color w:val="000000"/>
          <w:kern w:val="0"/>
          <w:sz w:val="32"/>
          <w:szCs w:val="32"/>
        </w:rPr>
        <w:t>依据项目批复，严格按照《金盏乡工程管理办法》要求，执行“三重一大”程序，在朝阳区财政综合业务系统网站完成政府采购项目立项审批流程，通过公开招标方式确定施工单位。</w:t>
      </w:r>
    </w:p>
    <w:p>
      <w:pPr>
        <w:spacing w:line="600" w:lineRule="exact"/>
        <w:ind w:firstLine="643"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（二）项目过程情况</w:t>
      </w:r>
      <w:r>
        <w:rPr>
          <w:rFonts w:hint="eastAsia" w:ascii="仿宋_GB2312" w:hAnsi="仿宋_GB2312" w:eastAsia="仿宋_GB2312" w:cs="仿宋_GB2312"/>
          <w:b w:val="0"/>
          <w:bCs w:val="0"/>
          <w:color w:val="000000"/>
          <w:kern w:val="0"/>
          <w:sz w:val="32"/>
          <w:szCs w:val="32"/>
        </w:rPr>
        <w:t>：</w:t>
      </w:r>
    </w:p>
    <w:p>
      <w:pPr>
        <w:spacing w:line="360" w:lineRule="auto"/>
        <w:ind w:firstLine="643" w:firstLineChars="200"/>
        <w:rPr>
          <w:rFonts w:eastAsia="仿宋_GB2312"/>
          <w:sz w:val="32"/>
          <w:szCs w:val="32"/>
        </w:rPr>
      </w:pPr>
      <w:r>
        <w:rPr>
          <w:rFonts w:hint="eastAsia" w:ascii="仿宋_GB2312" w:hAnsi="仿宋_GB2312" w:eastAsia="仿宋_GB2312" w:cs="仿宋_GB2312"/>
          <w:color w:val="000000"/>
          <w:kern w:val="0"/>
          <w:sz w:val="32"/>
          <w:szCs w:val="32"/>
        </w:rPr>
        <w:t>1、资金管理</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严格按照《金盏乡财政财务管理办法》、《金盏乡财务收支审批制度》、《金盏乡财政专项资金管理办法》、《金盏乡内部审计管理规定》等财务制度执行。</w:t>
      </w:r>
      <w:r>
        <w:rPr>
          <w:rFonts w:hint="eastAsia" w:eastAsia="仿宋_GB2312"/>
          <w:b w:val="0"/>
          <w:bCs w:val="0"/>
          <w:sz w:val="32"/>
          <w:szCs w:val="32"/>
        </w:rPr>
        <w:t>严格落实三重一大，规范资金管理。通过招投标选定服务单位。对工程进度、工程质量等进行考核，提请办事处审批后按照合同规定的进度支付工程款。项目资金使用符合相关的财务管理制度规定，项目资金规范运行。资金使用符合国家财经法规和财务管理制度以及有关专项资金管理办法的规定，符合项目预算批复或合同规定的用途，资金的拨付有完整的审批程序和手续。严格按照财务管理要求，设置专账核算，资金使用管理手续规范，建设项目拨款申请表、发票、财政支付凭证等资金使用手续完整规范。</w:t>
      </w:r>
    </w:p>
    <w:p>
      <w:pPr>
        <w:spacing w:line="360" w:lineRule="auto"/>
        <w:ind w:firstLine="643" w:firstLineChars="200"/>
        <w:rPr>
          <w:rFonts w:ascii="仿宋_GB2312" w:hAnsi="仿宋_GB2312" w:eastAsia="仿宋_GB2312" w:cs="仿宋_GB2312"/>
          <w:b w:val="0"/>
          <w:bCs w:val="0"/>
          <w:sz w:val="32"/>
          <w:szCs w:val="32"/>
        </w:rPr>
      </w:pPr>
      <w:r>
        <w:rPr>
          <w:rFonts w:hint="eastAsia" w:ascii="仿宋_GB2312" w:hAnsi="仿宋_GB2312" w:eastAsia="仿宋_GB2312" w:cs="仿宋_GB2312"/>
          <w:color w:val="000000"/>
          <w:kern w:val="0"/>
          <w:sz w:val="32"/>
          <w:szCs w:val="32"/>
        </w:rPr>
        <w:t>2、组织实施</w:t>
      </w:r>
      <w:r>
        <w:rPr>
          <w:rFonts w:hint="eastAsia" w:ascii="仿宋_GB2312" w:hAnsi="仿宋_GB2312" w:eastAsia="仿宋_GB2312" w:cs="仿宋_GB2312"/>
          <w:b w:val="0"/>
          <w:bCs w:val="0"/>
          <w:color w:val="000000"/>
          <w:kern w:val="0"/>
          <w:sz w:val="32"/>
          <w:szCs w:val="32"/>
        </w:rPr>
        <w:t>：项目</w:t>
      </w:r>
      <w:r>
        <w:rPr>
          <w:rFonts w:hint="eastAsia" w:ascii="仿宋_GB2312" w:hAnsi="仿宋_GB2312" w:eastAsia="仿宋_GB2312" w:cs="仿宋_GB2312"/>
          <w:b w:val="0"/>
          <w:bCs w:val="0"/>
          <w:sz w:val="32"/>
          <w:szCs w:val="32"/>
        </w:rPr>
        <w:t>成立水源置换工作领导小组，加强水源置换工程的组织领导，强化责任落实，确保工作到位。领导小组定期召开工作例会，适时召开工作推进会，沟通情况，研究问题，促进工作。该项目严格按照《金盏乡工程管理办法》要求，执行“三重一大”程序，在朝阳区财政综合业务系统网站完成政府采购项目立项审批流程，通过公开招标方式确定施工单位。目前项目正在实施过程中，待完成施工后进行验收评审。</w:t>
      </w:r>
    </w:p>
    <w:p>
      <w:pPr>
        <w:spacing w:line="600" w:lineRule="exact"/>
        <w:ind w:firstLine="643" w:firstLineChars="2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（三）项目产出情况</w:t>
      </w:r>
    </w:p>
    <w:p>
      <w:pPr>
        <w:spacing w:line="360" w:lineRule="auto"/>
        <w:ind w:firstLine="640" w:firstLineChars="200"/>
        <w:rPr>
          <w:b w:val="0"/>
          <w:kern w:val="0"/>
          <w:sz w:val="24"/>
          <w:szCs w:val="24"/>
        </w:rPr>
      </w:pPr>
      <w:r>
        <w:rPr>
          <w:rFonts w:hint="eastAsia" w:ascii="仿宋_GB2312" w:hAnsi="仿宋_GB2312" w:eastAsia="仿宋_GB2312" w:cs="仿宋_GB2312"/>
          <w:b w:val="0"/>
          <w:bCs w:val="0"/>
          <w:color w:val="000000"/>
          <w:kern w:val="0"/>
          <w:sz w:val="32"/>
          <w:szCs w:val="32"/>
        </w:rPr>
        <w:t>截至202</w:t>
      </w:r>
      <w:r>
        <w:rPr>
          <w:rFonts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b w:val="0"/>
          <w:bCs w:val="0"/>
          <w:color w:val="000000"/>
          <w:kern w:val="0"/>
          <w:sz w:val="32"/>
          <w:szCs w:val="32"/>
        </w:rPr>
        <w:t>年</w:t>
      </w:r>
      <w:r>
        <w:rPr>
          <w:rFonts w:ascii="仿宋_GB2312" w:hAnsi="仿宋_GB2312" w:eastAsia="仿宋_GB2312" w:cs="仿宋_GB2312"/>
          <w:b w:val="0"/>
          <w:bCs w:val="0"/>
          <w:color w:val="000000"/>
          <w:kern w:val="0"/>
          <w:sz w:val="32"/>
          <w:szCs w:val="32"/>
        </w:rPr>
        <w:t>6</w:t>
      </w:r>
      <w:r>
        <w:rPr>
          <w:rFonts w:hint="eastAsia" w:ascii="仿宋_GB2312" w:hAnsi="仿宋_GB2312" w:eastAsia="仿宋_GB2312" w:cs="仿宋_GB2312"/>
          <w:b w:val="0"/>
          <w:bCs w:val="0"/>
          <w:color w:val="000000"/>
          <w:kern w:val="0"/>
          <w:sz w:val="32"/>
          <w:szCs w:val="32"/>
        </w:rPr>
        <w:t>月3</w:t>
      </w:r>
      <w:r>
        <w:rPr>
          <w:rFonts w:hint="eastAsia" w:ascii="仿宋_GB2312" w:hAnsi="仿宋_GB2312" w:eastAsia="仿宋_GB2312" w:cs="仿宋_GB2312"/>
          <w:b w:val="0"/>
          <w:bCs w:val="0"/>
          <w:color w:val="000000"/>
          <w:kern w:val="0"/>
          <w:sz w:val="32"/>
          <w:szCs w:val="32"/>
          <w:lang w:val="en-US" w:eastAsia="zh-CN"/>
        </w:rPr>
        <w:t>0</w:t>
      </w:r>
      <w:bookmarkStart w:id="0" w:name="_GoBack"/>
      <w:bookmarkEnd w:id="0"/>
      <w:r>
        <w:rPr>
          <w:rFonts w:hint="eastAsia" w:ascii="仿宋_GB2312" w:hAnsi="仿宋_GB2312" w:eastAsia="仿宋_GB2312" w:cs="仿宋_GB2312"/>
          <w:b w:val="0"/>
          <w:bCs w:val="0"/>
          <w:color w:val="000000"/>
          <w:kern w:val="0"/>
          <w:sz w:val="32"/>
          <w:szCs w:val="32"/>
        </w:rPr>
        <w:t>日完成设计、监理、施工招标工作，确定设计、监理、施工单位：</w:t>
      </w:r>
      <w:r>
        <w:rPr>
          <w:rFonts w:hint="eastAsia" w:ascii="仿宋_GB2312" w:hAnsi="仿宋_GB2312" w:eastAsia="仿宋_GB2312" w:cs="仿宋_GB2312"/>
          <w:b w:val="0"/>
          <w:bCs w:val="0"/>
          <w:sz w:val="32"/>
          <w:szCs w:val="32"/>
        </w:rPr>
        <w:t>工程竣工验收质量合格，</w:t>
      </w:r>
      <w:r>
        <w:rPr>
          <w:rFonts w:hint="eastAsia" w:ascii="仿宋_GB2312" w:hAnsi="仿宋_GB2312" w:eastAsia="仿宋_GB2312" w:cs="仿宋_GB2312"/>
          <w:b w:val="0"/>
          <w:bCs w:val="0"/>
          <w:color w:val="000000"/>
          <w:kern w:val="0"/>
          <w:sz w:val="32"/>
          <w:szCs w:val="32"/>
        </w:rPr>
        <w:t>本项目在前期和建设过程中做好详细规划，注重进度及资金控制</w:t>
      </w:r>
      <w:r>
        <w:rPr>
          <w:rFonts w:hint="eastAsia" w:eastAsia="仿宋_GB2312"/>
          <w:b w:val="0"/>
          <w:bCs w:val="0"/>
          <w:sz w:val="32"/>
          <w:szCs w:val="32"/>
        </w:rPr>
        <w:t>，</w:t>
      </w:r>
      <w:r>
        <w:rPr>
          <w:rFonts w:eastAsia="仿宋_GB2312"/>
          <w:b w:val="0"/>
          <w:bCs w:val="0"/>
          <w:sz w:val="32"/>
          <w:szCs w:val="32"/>
        </w:rPr>
        <w:t>资金实际使用</w:t>
      </w:r>
      <w:r>
        <w:rPr>
          <w:rFonts w:hint="eastAsia" w:eastAsia="仿宋_GB2312"/>
          <w:b w:val="0"/>
          <w:bCs w:val="0"/>
          <w:sz w:val="32"/>
          <w:szCs w:val="32"/>
        </w:rPr>
        <w:t>情况为</w:t>
      </w:r>
      <w:r>
        <w:rPr>
          <w:rFonts w:hint="eastAsia" w:ascii="仿宋_GB2312" w:hAnsi="仿宋_GB2312" w:eastAsia="仿宋_GB2312" w:cs="仿宋_GB2312"/>
          <w:b w:val="0"/>
          <w:bCs w:val="0"/>
          <w:sz w:val="32"/>
          <w:szCs w:val="32"/>
        </w:rPr>
        <w:t>2023年度预算为835万元，实际支出835万元，剩余资金待工程竣工验收后支付。</w:t>
      </w:r>
    </w:p>
    <w:p>
      <w:pPr>
        <w:spacing w:line="600" w:lineRule="exact"/>
        <w:ind w:firstLine="643" w:firstLineChars="200"/>
        <w:outlineLvl w:val="0"/>
        <w:rPr>
          <w:rFonts w:ascii="仿宋_GB2312" w:hAnsi="仿宋_GB2312" w:eastAsia="仿宋_GB2312" w:cs="仿宋_GB2312"/>
          <w:color w:val="C00000"/>
          <w:kern w:val="0"/>
          <w:sz w:val="32"/>
          <w:szCs w:val="32"/>
        </w:rPr>
      </w:pPr>
      <w:r>
        <w:rPr>
          <w:rFonts w:hint="eastAsia" w:ascii="仿宋_GB2312" w:hAnsi="仿宋_GB2312" w:eastAsia="仿宋_GB2312" w:cs="仿宋_GB2312"/>
          <w:color w:val="000000"/>
          <w:kern w:val="0"/>
          <w:sz w:val="32"/>
          <w:szCs w:val="32"/>
        </w:rPr>
        <w:t>（四）项目效益情况。</w:t>
      </w:r>
    </w:p>
    <w:p>
      <w:pPr>
        <w:spacing w:line="360" w:lineRule="auto"/>
        <w:ind w:firstLine="64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实施效益：通过项目实施，从根本上解决了村内供水跑冒滴漏的问题，实现用水计量和监管，保证了村民的用水安全。更是为北京市和海河流域地下水超采综合治理贡献了一份力量。</w:t>
      </w:r>
    </w:p>
    <w:p>
      <w:pPr>
        <w:spacing w:line="360" w:lineRule="auto"/>
        <w:ind w:firstLine="640"/>
        <w:rPr>
          <w:rFonts w:ascii="仿宋_GB2312" w:hAnsi="仿宋_GB2312" w:eastAsia="仿宋_GB2312" w:cs="仿宋_GB2312"/>
          <w:b w:val="0"/>
          <w:bCs w:val="0"/>
          <w:color w:val="000000"/>
          <w:kern w:val="0"/>
          <w:sz w:val="32"/>
          <w:szCs w:val="32"/>
        </w:rPr>
      </w:pPr>
      <w:r>
        <w:rPr>
          <w:rFonts w:ascii="仿宋_GB2312" w:hAnsi="仿宋_GB2312" w:eastAsia="仿宋_GB2312" w:cs="仿宋_GB2312"/>
          <w:b w:val="0"/>
          <w:bCs w:val="0"/>
          <w:color w:val="000000"/>
          <w:kern w:val="0"/>
          <w:sz w:val="32"/>
          <w:szCs w:val="32"/>
        </w:rPr>
        <w:t>社会效益、环境效益和服务对象满意度</w:t>
      </w:r>
      <w:r>
        <w:rPr>
          <w:rFonts w:hint="eastAsia" w:ascii="仿宋_GB2312" w:hAnsi="仿宋_GB2312" w:eastAsia="仿宋_GB2312" w:cs="仿宋_GB2312"/>
          <w:b w:val="0"/>
          <w:bCs w:val="0"/>
          <w:color w:val="000000"/>
          <w:kern w:val="0"/>
          <w:sz w:val="32"/>
          <w:szCs w:val="32"/>
        </w:rPr>
        <w:t>：实现地下水严重超采区、禁止开采区、储备区及重要区域范围内机井合理有序退出，支撑地下水超采治理，保障地下水可持续利用和重要工程安全，</w:t>
      </w:r>
      <w:r>
        <w:rPr>
          <w:rFonts w:ascii="仿宋_GB2312" w:hAnsi="仿宋_GB2312" w:eastAsia="仿宋_GB2312" w:cs="仿宋_GB2312"/>
          <w:b w:val="0"/>
          <w:bCs w:val="0"/>
          <w:color w:val="000000"/>
          <w:kern w:val="0"/>
          <w:sz w:val="32"/>
          <w:szCs w:val="32"/>
        </w:rPr>
        <w:t>通过市政自来水置换农村居民生活井，一方面可以缓解地下水水位不断下降，涵养当地地下水资源。另一方面可以有效地保障居民的供水安全，减少管网漏损，同时，能让市民享受更好的供水质量和服务，进一步提升了城市供水的管理精细化水平，给市民创建更好的人居环境</w:t>
      </w:r>
      <w:r>
        <w:rPr>
          <w:rFonts w:hint="eastAsia" w:ascii="仿宋_GB2312" w:hAnsi="仿宋_GB2312" w:eastAsia="仿宋_GB2312" w:cs="仿宋_GB2312"/>
          <w:b w:val="0"/>
          <w:bCs w:val="0"/>
          <w:color w:val="000000"/>
          <w:kern w:val="0"/>
          <w:sz w:val="32"/>
          <w:szCs w:val="32"/>
        </w:rPr>
        <w:t>。</w:t>
      </w:r>
      <w:r>
        <w:rPr>
          <w:rFonts w:ascii="仿宋_GB2312" w:hAnsi="仿宋_GB2312" w:eastAsia="仿宋_GB2312" w:cs="仿宋_GB2312"/>
          <w:b w:val="0"/>
          <w:bCs w:val="0"/>
          <w:color w:val="000000"/>
          <w:kern w:val="0"/>
          <w:sz w:val="32"/>
          <w:szCs w:val="32"/>
        </w:rPr>
        <w:t>服务对象满意度指标满分100分，群众满意度达到95分以上。</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五、主要经验及做法、存在的问题及原因分析</w:t>
      </w:r>
    </w:p>
    <w:p>
      <w:pPr>
        <w:spacing w:line="600" w:lineRule="exact"/>
        <w:ind w:firstLine="640" w:firstLineChars="20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 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六、有关建议</w:t>
      </w:r>
    </w:p>
    <w:p>
      <w:pPr>
        <w:tabs>
          <w:tab w:val="left" w:pos="525"/>
        </w:tabs>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ab/>
      </w:r>
      <w:r>
        <w:rPr>
          <w:rFonts w:hint="eastAsia" w:ascii="仿宋_GB2312" w:hAnsi="仿宋_GB2312" w:eastAsia="仿宋_GB2312" w:cs="仿宋_GB2312"/>
          <w:b w:val="0"/>
          <w:bCs w:val="0"/>
          <w:color w:val="000000"/>
          <w:kern w:val="0"/>
          <w:sz w:val="32"/>
          <w:szCs w:val="32"/>
        </w:rPr>
        <w:t xml:space="preserve"> 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七、其他需要说明的问题</w:t>
      </w:r>
    </w:p>
    <w:p>
      <w:pPr>
        <w:spacing w:line="600" w:lineRule="exact"/>
        <w:ind w:firstLine="960" w:firstLineChars="300"/>
        <w:outlineLvl w:val="0"/>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无</w:t>
      </w:r>
    </w:p>
    <w:p>
      <w:pPr>
        <w:spacing w:line="600" w:lineRule="exact"/>
        <w:ind w:firstLine="640" w:firstLineChars="200"/>
        <w:rPr>
          <w:rFonts w:ascii="黑体" w:hAnsi="黑体" w:eastAsia="黑体" w:cs="黑体"/>
          <w:b w:val="0"/>
          <w:color w:val="000000"/>
          <w:kern w:val="0"/>
          <w:sz w:val="32"/>
          <w:szCs w:val="32"/>
        </w:rPr>
      </w:pPr>
      <w:r>
        <w:rPr>
          <w:rFonts w:hint="eastAsia" w:ascii="黑体" w:hAnsi="黑体" w:eastAsia="黑体" w:cs="黑体"/>
          <w:b w:val="0"/>
          <w:color w:val="000000"/>
          <w:kern w:val="0"/>
          <w:sz w:val="32"/>
          <w:szCs w:val="32"/>
        </w:rPr>
        <w:t>八、项目支出绩效评价评分表</w:t>
      </w:r>
    </w:p>
    <w:p>
      <w:pPr>
        <w:widowControl/>
        <w:jc w:val="center"/>
        <w:rPr>
          <w:b w:val="0"/>
          <w:bCs w:val="0"/>
          <w:color w:val="FF0000"/>
          <w:szCs w:val="24"/>
        </w:rPr>
      </w:pPr>
      <w:r>
        <w:rPr>
          <w:b w:val="0"/>
          <w:bCs w:val="0"/>
          <w:color w:val="FF0000"/>
          <w:szCs w:val="24"/>
        </w:rPr>
        <w:br w:type="page"/>
      </w:r>
      <w:r>
        <w:rPr>
          <w:rFonts w:hint="eastAsia" w:ascii="宋体" w:hAnsi="宋体" w:cs="宋体"/>
          <w:color w:val="000000"/>
          <w:kern w:val="0"/>
          <w:sz w:val="36"/>
          <w:szCs w:val="36"/>
        </w:rPr>
        <w:t>项目支出绩效评价评分表</w:t>
      </w:r>
    </w:p>
    <w:tbl>
      <w:tblPr>
        <w:tblStyle w:val="8"/>
        <w:tblW w:w="9259" w:type="dxa"/>
        <w:tblInd w:w="118" w:type="dxa"/>
        <w:tblLayout w:type="fixed"/>
        <w:tblCellMar>
          <w:top w:w="0" w:type="dxa"/>
          <w:left w:w="108" w:type="dxa"/>
          <w:bottom w:w="0" w:type="dxa"/>
          <w:right w:w="108" w:type="dxa"/>
        </w:tblCellMar>
      </w:tblPr>
      <w:tblGrid>
        <w:gridCol w:w="719"/>
        <w:gridCol w:w="700"/>
        <w:gridCol w:w="720"/>
        <w:gridCol w:w="720"/>
        <w:gridCol w:w="700"/>
        <w:gridCol w:w="3200"/>
        <w:gridCol w:w="900"/>
        <w:gridCol w:w="1600"/>
      </w:tblGrid>
      <w:tr>
        <w:tblPrEx>
          <w:tblLayout w:type="fixed"/>
          <w:tblCellMar>
            <w:top w:w="0" w:type="dxa"/>
            <w:left w:w="108" w:type="dxa"/>
            <w:bottom w:w="0" w:type="dxa"/>
            <w:right w:w="108" w:type="dxa"/>
          </w:tblCellMar>
        </w:tblPrEx>
        <w:trPr>
          <w:trHeight w:val="612"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一级指标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二级指标</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三级指标</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分值</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指标解释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得分</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扣分理由</w:t>
            </w:r>
          </w:p>
        </w:tc>
      </w:tr>
      <w:tr>
        <w:tblPrEx>
          <w:tblLayout w:type="fixed"/>
          <w:tblCellMar>
            <w:top w:w="0" w:type="dxa"/>
            <w:left w:w="108" w:type="dxa"/>
            <w:bottom w:w="0" w:type="dxa"/>
            <w:right w:w="108" w:type="dxa"/>
          </w:tblCellMar>
        </w:tblPrEx>
        <w:trPr>
          <w:trHeight w:val="540"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决策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7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3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61"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绩效目标合理性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357"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绩效指标明确性</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依据绩效目标设定的绩效指标是否清晰、细化、可衡量等，用以反映和考核项目绩效目标的明细化情况。</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180" w:firstLineChars="100"/>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1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0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89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528"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过程</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资金管理</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70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2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项目预算资金是否按照计划执行，用以反映或考核项目预算执行情况。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24"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68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资金使用合规性</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组织实施</w:t>
            </w:r>
          </w:p>
        </w:tc>
        <w:tc>
          <w:tcPr>
            <w:tcW w:w="72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15　</w:t>
            </w:r>
          </w:p>
        </w:tc>
        <w:tc>
          <w:tcPr>
            <w:tcW w:w="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管理制度健全性</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10"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2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1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43" w:hRule="atLeast"/>
        </w:trPr>
        <w:tc>
          <w:tcPr>
            <w:tcW w:w="71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（30分）</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产出数量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实际完成率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63"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399"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产出质量</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质量达标率</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10</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　</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118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68"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产出时效</w:t>
            </w:r>
          </w:p>
        </w:tc>
        <w:tc>
          <w:tcPr>
            <w:tcW w:w="72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完成及时性</w:t>
            </w:r>
          </w:p>
        </w:tc>
        <w:tc>
          <w:tcPr>
            <w:tcW w:w="7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tc>
        <w:tc>
          <w:tcPr>
            <w:tcW w:w="32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6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345"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32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90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1606" w:hRule="atLeast"/>
        </w:trPr>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产出成本</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5</w:t>
            </w:r>
          </w:p>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7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成本节约率</w:t>
            </w:r>
          </w:p>
        </w:tc>
        <w:tc>
          <w:tcPr>
            <w:tcW w:w="70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583" w:hRule="atLeast"/>
        </w:trPr>
        <w:tc>
          <w:tcPr>
            <w:tcW w:w="719" w:type="dxa"/>
            <w:vMerge w:val="restart"/>
            <w:tcBorders>
              <w:top w:val="nil"/>
              <w:left w:val="single" w:color="000000" w:sz="8" w:space="0"/>
              <w:bottom w:val="single" w:color="auto" w:sz="4" w:space="0"/>
              <w:right w:val="nil"/>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效益</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（25分）　</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项目效益　</w:t>
            </w:r>
          </w:p>
        </w:tc>
        <w:tc>
          <w:tcPr>
            <w:tcW w:w="720"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25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实施效益</w:t>
            </w:r>
          </w:p>
        </w:tc>
        <w:tc>
          <w:tcPr>
            <w:tcW w:w="7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32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项目实施所产生的效益。</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　</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71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val="0"/>
                <w:bCs w:val="0"/>
                <w:color w:val="000000"/>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18"/>
                <w:szCs w:val="18"/>
              </w:rPr>
            </w:pPr>
          </w:p>
        </w:tc>
        <w:tc>
          <w:tcPr>
            <w:tcW w:w="720" w:type="dxa"/>
            <w:vMerge w:val="continue"/>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w:t>
            </w:r>
          </w:p>
        </w:tc>
        <w:tc>
          <w:tcPr>
            <w:tcW w:w="7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社会公众或服务对象对项目实施效果的满意程度。</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5　</w:t>
            </w:r>
          </w:p>
        </w:tc>
        <w:tc>
          <w:tcPr>
            <w:tcW w:w="1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7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合计（100分）</w:t>
            </w:r>
          </w:p>
        </w:tc>
        <w:tc>
          <w:tcPr>
            <w:tcW w:w="25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100</w:t>
            </w:r>
          </w:p>
        </w:tc>
      </w:tr>
    </w:tbl>
    <w:p>
      <w:pPr>
        <w:spacing w:line="360" w:lineRule="auto"/>
        <w:rPr>
          <w:b w:val="0"/>
          <w:bCs w:val="0"/>
          <w:szCs w:val="24"/>
        </w:rPr>
      </w:pPr>
    </w:p>
    <w:p>
      <w:pPr>
        <w:widowControl/>
        <w:jc w:val="left"/>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3067"/>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26600166">
    <w:nsid w:val="D82986E6"/>
    <w:multiLevelType w:val="singleLevel"/>
    <w:tmpl w:val="D82986E6"/>
    <w:lvl w:ilvl="0" w:tentative="1">
      <w:start w:val="2"/>
      <w:numFmt w:val="chineseCounting"/>
      <w:suff w:val="nothing"/>
      <w:lvlText w:val="（%1）"/>
      <w:lvlJc w:val="left"/>
      <w:rPr>
        <w:rFonts w:hint="eastAsia"/>
      </w:rPr>
    </w:lvl>
  </w:abstractNum>
  <w:abstractNum w:abstractNumId="3933067916">
    <w:nsid w:val="EA6DDA8C"/>
    <w:multiLevelType w:val="singleLevel"/>
    <w:tmpl w:val="EA6DDA8C"/>
    <w:lvl w:ilvl="0" w:tentative="1">
      <w:start w:val="3"/>
      <w:numFmt w:val="chineseCounting"/>
      <w:suff w:val="nothing"/>
      <w:lvlText w:val="%1、"/>
      <w:lvlJc w:val="left"/>
      <w:rPr>
        <w:rFonts w:hint="eastAsia"/>
      </w:rPr>
    </w:lvl>
  </w:abstractNum>
  <w:num w:numId="1">
    <w:abstractNumId w:val="3626600166"/>
  </w:num>
  <w:num w:numId="2">
    <w:abstractNumId w:val="39330679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3B81"/>
    <w:rsid w:val="000465D0"/>
    <w:rsid w:val="000867E1"/>
    <w:rsid w:val="000A072A"/>
    <w:rsid w:val="000A2DD7"/>
    <w:rsid w:val="000E350A"/>
    <w:rsid w:val="001056A2"/>
    <w:rsid w:val="00114092"/>
    <w:rsid w:val="00127DDC"/>
    <w:rsid w:val="00140263"/>
    <w:rsid w:val="0016405C"/>
    <w:rsid w:val="0018244C"/>
    <w:rsid w:val="00197FD3"/>
    <w:rsid w:val="001A62C1"/>
    <w:rsid w:val="001C0326"/>
    <w:rsid w:val="001C6B51"/>
    <w:rsid w:val="001D1996"/>
    <w:rsid w:val="00203B81"/>
    <w:rsid w:val="00264FAA"/>
    <w:rsid w:val="00290E69"/>
    <w:rsid w:val="002F0166"/>
    <w:rsid w:val="00313158"/>
    <w:rsid w:val="00352360"/>
    <w:rsid w:val="003720F5"/>
    <w:rsid w:val="00376B71"/>
    <w:rsid w:val="00391044"/>
    <w:rsid w:val="003A7564"/>
    <w:rsid w:val="003D6286"/>
    <w:rsid w:val="003F4CCC"/>
    <w:rsid w:val="0045775B"/>
    <w:rsid w:val="004D69EF"/>
    <w:rsid w:val="004F2B5F"/>
    <w:rsid w:val="00511D83"/>
    <w:rsid w:val="00550F8E"/>
    <w:rsid w:val="005669F6"/>
    <w:rsid w:val="00595F9D"/>
    <w:rsid w:val="005A234A"/>
    <w:rsid w:val="005B01CC"/>
    <w:rsid w:val="00621510"/>
    <w:rsid w:val="00621C9C"/>
    <w:rsid w:val="00682D7F"/>
    <w:rsid w:val="006E3EA8"/>
    <w:rsid w:val="0073505B"/>
    <w:rsid w:val="007918E4"/>
    <w:rsid w:val="00792DC4"/>
    <w:rsid w:val="007A0B89"/>
    <w:rsid w:val="007A3104"/>
    <w:rsid w:val="007C0033"/>
    <w:rsid w:val="007E00F5"/>
    <w:rsid w:val="007F20D9"/>
    <w:rsid w:val="00811202"/>
    <w:rsid w:val="0081709E"/>
    <w:rsid w:val="00824512"/>
    <w:rsid w:val="00824CFD"/>
    <w:rsid w:val="008418F8"/>
    <w:rsid w:val="00865E55"/>
    <w:rsid w:val="008766D7"/>
    <w:rsid w:val="008D24B7"/>
    <w:rsid w:val="008E0630"/>
    <w:rsid w:val="008F649A"/>
    <w:rsid w:val="009003E8"/>
    <w:rsid w:val="00994C02"/>
    <w:rsid w:val="009A78D5"/>
    <w:rsid w:val="009B4DB8"/>
    <w:rsid w:val="009F4E1C"/>
    <w:rsid w:val="009F6C31"/>
    <w:rsid w:val="00A3235D"/>
    <w:rsid w:val="00A54F72"/>
    <w:rsid w:val="00A559D3"/>
    <w:rsid w:val="00A5737C"/>
    <w:rsid w:val="00AB34E8"/>
    <w:rsid w:val="00AD4096"/>
    <w:rsid w:val="00B635E5"/>
    <w:rsid w:val="00BA33CA"/>
    <w:rsid w:val="00BC7E5D"/>
    <w:rsid w:val="00BE51A1"/>
    <w:rsid w:val="00BF20B7"/>
    <w:rsid w:val="00C146D6"/>
    <w:rsid w:val="00C727AA"/>
    <w:rsid w:val="00DA06CB"/>
    <w:rsid w:val="00DE442D"/>
    <w:rsid w:val="00DF5C6C"/>
    <w:rsid w:val="00E661CF"/>
    <w:rsid w:val="00E753FE"/>
    <w:rsid w:val="00E916C9"/>
    <w:rsid w:val="00EA57AA"/>
    <w:rsid w:val="00EB47F0"/>
    <w:rsid w:val="00F03E1D"/>
    <w:rsid w:val="00F31138"/>
    <w:rsid w:val="00F3582B"/>
    <w:rsid w:val="00F77A2F"/>
    <w:rsid w:val="00F92AFB"/>
    <w:rsid w:val="00FD2D40"/>
    <w:rsid w:val="00FD2F20"/>
    <w:rsid w:val="00FF3BAC"/>
    <w:rsid w:val="016132B6"/>
    <w:rsid w:val="024B4E81"/>
    <w:rsid w:val="037E715B"/>
    <w:rsid w:val="04E65C4C"/>
    <w:rsid w:val="05371DAD"/>
    <w:rsid w:val="07EF1899"/>
    <w:rsid w:val="0815046B"/>
    <w:rsid w:val="085C2D65"/>
    <w:rsid w:val="088617DB"/>
    <w:rsid w:val="08D343AB"/>
    <w:rsid w:val="0AA135F5"/>
    <w:rsid w:val="0AAB4F99"/>
    <w:rsid w:val="0B4F2F5C"/>
    <w:rsid w:val="0BC67942"/>
    <w:rsid w:val="0C0867F5"/>
    <w:rsid w:val="0C9E06AD"/>
    <w:rsid w:val="0CBD1BA8"/>
    <w:rsid w:val="0CBD2F1B"/>
    <w:rsid w:val="0DF01D99"/>
    <w:rsid w:val="0E571A54"/>
    <w:rsid w:val="0F65097D"/>
    <w:rsid w:val="0FAB4A23"/>
    <w:rsid w:val="0FC768FD"/>
    <w:rsid w:val="10973360"/>
    <w:rsid w:val="10E31E49"/>
    <w:rsid w:val="11201827"/>
    <w:rsid w:val="11D1381A"/>
    <w:rsid w:val="12612B3F"/>
    <w:rsid w:val="12D414FD"/>
    <w:rsid w:val="135D41EB"/>
    <w:rsid w:val="14E132C4"/>
    <w:rsid w:val="15020968"/>
    <w:rsid w:val="154E0556"/>
    <w:rsid w:val="15FD5E81"/>
    <w:rsid w:val="16514BA1"/>
    <w:rsid w:val="166955B0"/>
    <w:rsid w:val="17C02598"/>
    <w:rsid w:val="1894132C"/>
    <w:rsid w:val="19DB1B1A"/>
    <w:rsid w:val="1A1236FB"/>
    <w:rsid w:val="1A2453E7"/>
    <w:rsid w:val="1A8C45AD"/>
    <w:rsid w:val="1B083A15"/>
    <w:rsid w:val="1B3E068F"/>
    <w:rsid w:val="1CA95D3A"/>
    <w:rsid w:val="1CCC72BF"/>
    <w:rsid w:val="1CEC1BCE"/>
    <w:rsid w:val="1D6213D2"/>
    <w:rsid w:val="1D8C0D4C"/>
    <w:rsid w:val="1D9B3920"/>
    <w:rsid w:val="1DF1795D"/>
    <w:rsid w:val="1E0628A2"/>
    <w:rsid w:val="1E0E684E"/>
    <w:rsid w:val="1EF4165C"/>
    <w:rsid w:val="1FC55BF0"/>
    <w:rsid w:val="20272D1A"/>
    <w:rsid w:val="208F2F42"/>
    <w:rsid w:val="210C569B"/>
    <w:rsid w:val="216E6C20"/>
    <w:rsid w:val="21924D87"/>
    <w:rsid w:val="21E36EBA"/>
    <w:rsid w:val="21FF3681"/>
    <w:rsid w:val="222D35AF"/>
    <w:rsid w:val="232609CE"/>
    <w:rsid w:val="25A921A2"/>
    <w:rsid w:val="278369B9"/>
    <w:rsid w:val="2B91379B"/>
    <w:rsid w:val="2BC450AC"/>
    <w:rsid w:val="2C131E61"/>
    <w:rsid w:val="2D9970A0"/>
    <w:rsid w:val="2E1371BB"/>
    <w:rsid w:val="2ED20DF7"/>
    <w:rsid w:val="2F5E1743"/>
    <w:rsid w:val="31052967"/>
    <w:rsid w:val="318E2037"/>
    <w:rsid w:val="32174800"/>
    <w:rsid w:val="32C2497A"/>
    <w:rsid w:val="331E4CC5"/>
    <w:rsid w:val="33513943"/>
    <w:rsid w:val="36D66E6D"/>
    <w:rsid w:val="36E15010"/>
    <w:rsid w:val="3710730C"/>
    <w:rsid w:val="37E048D1"/>
    <w:rsid w:val="389740C4"/>
    <w:rsid w:val="3BED6815"/>
    <w:rsid w:val="3C447388"/>
    <w:rsid w:val="3D581F8C"/>
    <w:rsid w:val="3F704632"/>
    <w:rsid w:val="408D2D87"/>
    <w:rsid w:val="40F459CD"/>
    <w:rsid w:val="42D108DF"/>
    <w:rsid w:val="43093F7E"/>
    <w:rsid w:val="43572A5C"/>
    <w:rsid w:val="435E5002"/>
    <w:rsid w:val="43C216E8"/>
    <w:rsid w:val="43CB081E"/>
    <w:rsid w:val="43D90C02"/>
    <w:rsid w:val="440A4B3A"/>
    <w:rsid w:val="442307B8"/>
    <w:rsid w:val="442E4143"/>
    <w:rsid w:val="45370C42"/>
    <w:rsid w:val="45BB5FBA"/>
    <w:rsid w:val="45FC4005"/>
    <w:rsid w:val="463C3AF7"/>
    <w:rsid w:val="46EC2E80"/>
    <w:rsid w:val="495B4E6B"/>
    <w:rsid w:val="49947A51"/>
    <w:rsid w:val="49E54ED5"/>
    <w:rsid w:val="4AFA404D"/>
    <w:rsid w:val="4B0971B7"/>
    <w:rsid w:val="4B150438"/>
    <w:rsid w:val="4BA22D45"/>
    <w:rsid w:val="4C423C72"/>
    <w:rsid w:val="4C892FB9"/>
    <w:rsid w:val="4D111254"/>
    <w:rsid w:val="4D73213F"/>
    <w:rsid w:val="512424D1"/>
    <w:rsid w:val="51F25FB8"/>
    <w:rsid w:val="53007AF1"/>
    <w:rsid w:val="540A3018"/>
    <w:rsid w:val="542C131C"/>
    <w:rsid w:val="548C5B21"/>
    <w:rsid w:val="552A070B"/>
    <w:rsid w:val="591E2D1E"/>
    <w:rsid w:val="594A67D1"/>
    <w:rsid w:val="5BC5182C"/>
    <w:rsid w:val="5C56079A"/>
    <w:rsid w:val="5F5E7C52"/>
    <w:rsid w:val="5FD05E77"/>
    <w:rsid w:val="5FF6234F"/>
    <w:rsid w:val="604613F1"/>
    <w:rsid w:val="61191D6A"/>
    <w:rsid w:val="620E02D5"/>
    <w:rsid w:val="63560768"/>
    <w:rsid w:val="63AF1A91"/>
    <w:rsid w:val="63D0779B"/>
    <w:rsid w:val="648502D6"/>
    <w:rsid w:val="667C2D78"/>
    <w:rsid w:val="67193127"/>
    <w:rsid w:val="690610A7"/>
    <w:rsid w:val="694C1166"/>
    <w:rsid w:val="69826A4F"/>
    <w:rsid w:val="69AD7B60"/>
    <w:rsid w:val="6A620E9D"/>
    <w:rsid w:val="6B26180E"/>
    <w:rsid w:val="6B26454D"/>
    <w:rsid w:val="6BA8134B"/>
    <w:rsid w:val="6C1C5103"/>
    <w:rsid w:val="6C7A396F"/>
    <w:rsid w:val="6E1768AD"/>
    <w:rsid w:val="6E234C80"/>
    <w:rsid w:val="6E305B9D"/>
    <w:rsid w:val="6EEA0BED"/>
    <w:rsid w:val="6F6D7A13"/>
    <w:rsid w:val="70294262"/>
    <w:rsid w:val="70E5697A"/>
    <w:rsid w:val="71070AA2"/>
    <w:rsid w:val="71C22CAB"/>
    <w:rsid w:val="72706321"/>
    <w:rsid w:val="738A283F"/>
    <w:rsid w:val="744F3B3D"/>
    <w:rsid w:val="74C96D26"/>
    <w:rsid w:val="74FF5126"/>
    <w:rsid w:val="75563AA6"/>
    <w:rsid w:val="75F7576F"/>
    <w:rsid w:val="75F82392"/>
    <w:rsid w:val="76166D56"/>
    <w:rsid w:val="77060168"/>
    <w:rsid w:val="77CF4C1E"/>
    <w:rsid w:val="7912314C"/>
    <w:rsid w:val="793C0462"/>
    <w:rsid w:val="7A572717"/>
    <w:rsid w:val="7ACB2050"/>
    <w:rsid w:val="7B2352E3"/>
    <w:rsid w:val="7D8A1835"/>
    <w:rsid w:val="7E440744"/>
    <w:rsid w:val="7E4815AE"/>
    <w:rsid w:val="7EF01559"/>
    <w:rsid w:val="7F1564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val="0"/>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b w:val="0"/>
      <w:bCs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b w:val="0"/>
      <w:bCs w:val="0"/>
      <w:sz w:val="18"/>
      <w:szCs w:val="18"/>
    </w:rPr>
  </w:style>
  <w:style w:type="paragraph" w:styleId="5">
    <w:name w:val="footnote text"/>
    <w:basedOn w:val="1"/>
    <w:qFormat/>
    <w:uiPriority w:val="0"/>
    <w:pPr>
      <w:snapToGrid w:val="0"/>
    </w:pPr>
    <w:rPr>
      <w:sz w:val="18"/>
    </w:rPr>
  </w:style>
  <w:style w:type="character" w:styleId="7">
    <w:name w:val="footnote reference"/>
    <w:qFormat/>
    <w:uiPriority w:val="0"/>
    <w:rPr>
      <w:vertAlign w:val="superscript"/>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626</Words>
  <Characters>3573</Characters>
  <Lines>29</Lines>
  <Paragraphs>8</Paragraphs>
  <TotalTime>0</TotalTime>
  <ScaleCrop>false</ScaleCrop>
  <LinksUpToDate>false</LinksUpToDate>
  <CharactersWithSpaces>4191</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2024-03-11T03:16:00Z</dcterms:created>
  <dc:creator>User</dc:creator>
  <cp:lastModifiedBy>Lenovo</cp:lastModifiedBy>
  <dcterms:modified xsi:type="dcterms:W3CDTF">2024-09-19T08:58:46Z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