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jc w:val="center"/>
        <w:outlineLvl w:val="0"/>
        <w:rPr>
          <w:rFonts w:hint="eastAsia" w:ascii="黑体" w:hAnsi="黑体" w:eastAsia="黑体" w:cs="宋体"/>
          <w:color w:val="FF0000"/>
          <w:kern w:val="36"/>
          <w:sz w:val="48"/>
          <w:szCs w:val="48"/>
          <w:lang w:eastAsia="zh-CN"/>
        </w:rPr>
      </w:pPr>
      <w:r>
        <w:rPr>
          <w:rFonts w:hint="eastAsia" w:ascii="黑体" w:hAnsi="黑体" w:eastAsia="黑体" w:cs="宋体"/>
          <w:color w:val="FF0000"/>
          <w:kern w:val="36"/>
          <w:sz w:val="48"/>
          <w:szCs w:val="48"/>
          <w:lang w:eastAsia="zh-CN"/>
        </w:rPr>
        <w:t>北京市朝阳区城市管理综合行政执法局</w:t>
      </w:r>
    </w:p>
    <w:p>
      <w:pPr>
        <w:widowControl/>
        <w:shd w:val="clear" w:color="auto" w:fill="FFFFFF"/>
        <w:jc w:val="center"/>
        <w:outlineLvl w:val="0"/>
        <w:rPr>
          <w:rFonts w:hint="eastAsia" w:ascii="黑体" w:hAnsi="黑体" w:eastAsia="黑体" w:cs="宋体"/>
          <w:kern w:val="36"/>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109855</wp:posOffset>
                </wp:positionV>
                <wp:extent cx="5262880" cy="0"/>
                <wp:effectExtent l="0" t="0" r="0" b="0"/>
                <wp:wrapNone/>
                <wp:docPr id="2" name="直接连接符 2"/>
                <wp:cNvGraphicFramePr/>
                <a:graphic xmlns:a="http://schemas.openxmlformats.org/drawingml/2006/main">
                  <a:graphicData uri="http://schemas.microsoft.com/office/word/2010/wordprocessingShape">
                    <wps:wsp>
                      <wps:cNvCnPr/>
                      <wps:spPr>
                        <a:xfrm>
                          <a:off x="1208405" y="1572895"/>
                          <a:ext cx="526288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8.65pt;height:0pt;width:414.4pt;z-index:251658240;mso-width-relative:page;mso-height-relative:page;" filled="f" stroked="t" coordsize="21600,21600" o:gfxdata="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991e0wAAAAcBAAAPAAAAAAAAAAEAIAAA&#10;ACIAAABkcnMvZG93bnJldi54bWxQSwECFAAUAAAACACHTuJAMsGOMdgBAABwAwAADgAAAAAAAAAB&#10;ACAAAAAiAQAAZHJzL2Uyb0RvYy54bWxQSwUGAAAAAAYABgBZAQAAbAUAAAAA&#10;">
                <v:fill on="f" focussize="0,0"/>
                <v:stroke weight="1.75pt" color="#FF0000 [3204]" miterlimit="8" joinstyle="miter"/>
                <v:imagedata o:title=""/>
                <o:lock v:ext="edit" aspectratio="f"/>
              </v:line>
            </w:pict>
          </mc:Fallback>
        </mc:AlternateContent>
      </w:r>
    </w:p>
    <w:p>
      <w:pPr>
        <w:widowControl/>
        <w:shd w:val="clear" w:color="auto" w:fill="FFFFFF"/>
        <w:jc w:val="center"/>
        <w:outlineLvl w:val="0"/>
        <w:rPr>
          <w:rFonts w:hint="eastAsia" w:ascii="宋体" w:hAnsi="宋体" w:eastAsia="宋体" w:cs="宋体"/>
          <w:b/>
          <w:bCs/>
          <w:color w:val="auto"/>
          <w:sz w:val="44"/>
          <w:szCs w:val="44"/>
          <w:lang w:eastAsia="zh-CN"/>
        </w:rPr>
      </w:pPr>
      <w:r>
        <w:rPr>
          <w:rFonts w:hint="eastAsia" w:ascii="黑体" w:hAnsi="黑体" w:eastAsia="黑体" w:cs="宋体"/>
          <w:kern w:val="36"/>
          <w:sz w:val="44"/>
          <w:szCs w:val="44"/>
        </w:rPr>
        <w:t>2021年朝阳区</w:t>
      </w:r>
      <w:r>
        <w:rPr>
          <w:rFonts w:hint="eastAsia" w:ascii="宋体" w:hAnsi="宋体" w:eastAsia="宋体" w:cs="宋体"/>
          <w:b/>
          <w:bCs/>
          <w:color w:val="auto"/>
          <w:sz w:val="44"/>
          <w:szCs w:val="44"/>
          <w:lang w:eastAsia="zh-CN"/>
        </w:rPr>
        <w:t>城市管理综合行政执法局</w:t>
      </w:r>
    </w:p>
    <w:p>
      <w:pPr>
        <w:widowControl/>
        <w:shd w:val="clear" w:color="auto" w:fill="FFFFFF"/>
        <w:jc w:val="center"/>
        <w:outlineLvl w:val="0"/>
        <w:rPr>
          <w:rFonts w:hint="eastAsia" w:ascii="仿宋_GB2312" w:hAnsi="仿宋_GB2312" w:eastAsia="仿宋_GB2312" w:cs="仿宋_GB2312"/>
          <w:color w:val="auto"/>
          <w:sz w:val="32"/>
          <w:szCs w:val="32"/>
          <w:lang w:val="en-US" w:eastAsia="zh-CN"/>
        </w:rPr>
      </w:pPr>
      <w:r>
        <w:rPr>
          <w:rFonts w:hint="eastAsia" w:ascii="黑体" w:hAnsi="黑体" w:eastAsia="黑体" w:cs="宋体"/>
          <w:kern w:val="36"/>
          <w:sz w:val="44"/>
          <w:szCs w:val="44"/>
        </w:rPr>
        <w:t>法治政府建设情况报告</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right="0" w:rightChars="0"/>
        <w:jc w:val="left"/>
        <w:rPr>
          <w:rFonts w:hint="eastAsia" w:ascii="黑体" w:hAnsi="黑体" w:eastAsia="黑体" w:cs="宋体"/>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right="0" w:rightChars="0"/>
        <w:jc w:val="both"/>
        <w:rPr>
          <w:rFonts w:hint="eastAsia" w:ascii="仿宋_GB2312" w:hAnsi="仿宋_GB2312" w:eastAsia="仿宋_GB2312" w:cs="仿宋_GB2312"/>
          <w:b/>
          <w:bCs w:val="0"/>
          <w:sz w:val="32"/>
          <w:szCs w:val="32"/>
        </w:rPr>
      </w:pPr>
      <w:r>
        <w:rPr>
          <w:rFonts w:hint="eastAsia" w:ascii="黑体" w:hAnsi="黑体" w:eastAsia="黑体" w:cs="宋体"/>
          <w:bCs/>
          <w:color w:val="000000"/>
          <w:kern w:val="0"/>
          <w:sz w:val="32"/>
          <w:szCs w:val="32"/>
          <w:lang w:val="en-US" w:eastAsia="zh-CN"/>
        </w:rPr>
        <w:t xml:space="preserve">   </w:t>
      </w:r>
      <w:r>
        <w:rPr>
          <w:rFonts w:hint="eastAsia" w:ascii="仿宋_GB2312" w:hAnsi="仿宋_GB2312" w:eastAsia="仿宋_GB2312" w:cs="仿宋_GB2312"/>
          <w:b/>
          <w:bCs w:val="0"/>
          <w:color w:val="000000"/>
          <w:kern w:val="0"/>
          <w:sz w:val="32"/>
          <w:szCs w:val="32"/>
          <w:lang w:val="en-US" w:eastAsia="zh-CN"/>
        </w:rPr>
        <w:t xml:space="preserve"> </w:t>
      </w:r>
      <w:r>
        <w:rPr>
          <w:rFonts w:hint="eastAsia" w:ascii="仿宋_GB2312" w:hAnsi="仿宋_GB2312" w:eastAsia="仿宋_GB2312" w:cs="仿宋_GB2312"/>
          <w:b/>
          <w:bCs w:val="0"/>
          <w:color w:val="000000"/>
          <w:kern w:val="0"/>
          <w:sz w:val="32"/>
          <w:szCs w:val="32"/>
        </w:rPr>
        <w:t>一、推进法治政府建设情况</w:t>
      </w:r>
    </w:p>
    <w:p>
      <w:pPr>
        <w:keepNext w:val="0"/>
        <w:keepLines w:val="0"/>
        <w:pageBreakBefore w:val="0"/>
        <w:widowControl/>
        <w:numPr>
          <w:ilvl w:val="0"/>
          <w:numId w:val="1"/>
        </w:numPr>
        <w:shd w:val="clear" w:color="auto" w:fill="FFFFFF"/>
        <w:kinsoku/>
        <w:wordWrap/>
        <w:overflowPunct/>
        <w:topLinePunct w:val="0"/>
        <w:autoSpaceDE/>
        <w:autoSpaceDN/>
        <w:bidi w:val="0"/>
        <w:adjustRightInd/>
        <w:spacing w:line="520" w:lineRule="exact"/>
        <w:ind w:left="0" w:leftChars="0" w:right="0" w:rightChars="0" w:firstLine="640" w:firstLineChars="200"/>
        <w:jc w:val="both"/>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sz w:val="32"/>
          <w:szCs w:val="32"/>
        </w:rPr>
        <w:t>全面履职</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color w:val="000000"/>
          <w:sz w:val="32"/>
          <w:szCs w:val="32"/>
        </w:rPr>
        <w:t>着力营造宜居优美的城市环境秩序</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left="0" w:leftChars="0" w:right="0" w:rightChars="0"/>
        <w:jc w:val="both"/>
        <w:rPr>
          <w:rFonts w:hint="eastAsia" w:ascii="仿宋_GB2312" w:hAnsi="仿宋_GB2312" w:eastAsia="仿宋_GB2312" w:cs="仿宋_GB2312"/>
          <w:b w:val="0"/>
          <w:bCs w:val="0"/>
          <w:color w:val="000000"/>
          <w:sz w:val="32"/>
          <w:szCs w:val="32"/>
          <w:shd w:val="clear" w:color="auto" w:fill="auto"/>
          <w:lang w:eastAsia="zh-CN"/>
        </w:rPr>
      </w:pPr>
      <w:r>
        <w:rPr>
          <w:rFonts w:hint="eastAsia" w:ascii="仿宋_GB2312" w:hAnsi="仿宋_GB2312" w:eastAsia="仿宋_GB2312" w:cs="仿宋_GB2312"/>
          <w:b/>
          <w:bCs w:val="0"/>
          <w:sz w:val="32"/>
          <w:szCs w:val="32"/>
          <w:lang w:val="en-US" w:eastAsia="zh-CN"/>
        </w:rPr>
        <w:t xml:space="preserve">    1.</w:t>
      </w:r>
      <w:r>
        <w:rPr>
          <w:rFonts w:hint="eastAsia" w:ascii="仿宋_GB2312" w:hAnsi="仿宋_GB2312" w:eastAsia="仿宋_GB2312" w:cs="仿宋_GB2312"/>
          <w:b/>
          <w:bCs w:val="0"/>
          <w:sz w:val="32"/>
          <w:szCs w:val="32"/>
        </w:rPr>
        <w:t>深入推进垃圾分类专项执法工作，提升分类成效。</w:t>
      </w:r>
      <w:r>
        <w:rPr>
          <w:rFonts w:hint="eastAsia" w:ascii="仿宋_GB2312" w:hAnsi="仿宋_GB2312" w:eastAsia="仿宋_GB2312" w:cs="仿宋_GB2312"/>
          <w:sz w:val="32"/>
          <w:szCs w:val="32"/>
        </w:rPr>
        <w:t>以《北京市生活垃圾管理条例》正式实施一周年为契机，持续开展波次专项执法行动，加大对重点场所、重点违法形态的执法处罚力度；深化“城管执法进社区”活动，建立联动机制，把握好居民小区垃圾分类问题高</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时段，加强</w:t>
      </w:r>
      <w:r>
        <w:rPr>
          <w:rFonts w:hint="eastAsia" w:ascii="仿宋_GB2312" w:hAnsi="仿宋_GB2312" w:eastAsia="仿宋_GB2312" w:cs="仿宋_GB2312"/>
          <w:color w:val="auto"/>
          <w:sz w:val="32"/>
          <w:szCs w:val="32"/>
        </w:rPr>
        <w:t>执法检查，</w:t>
      </w:r>
      <w:r>
        <w:rPr>
          <w:rFonts w:hint="eastAsia" w:ascii="仿宋_GB2312" w:hAnsi="仿宋_GB2312" w:eastAsia="仿宋_GB2312" w:cs="仿宋_GB2312"/>
          <w:color w:val="auto"/>
          <w:sz w:val="32"/>
          <w:szCs w:val="32"/>
          <w:lang w:eastAsia="zh-CN"/>
        </w:rPr>
        <w:t>强化普法宣传，</w:t>
      </w:r>
      <w:r>
        <w:rPr>
          <w:rFonts w:hint="eastAsia" w:ascii="仿宋_GB2312" w:hAnsi="仿宋_GB2312" w:eastAsia="仿宋_GB2312" w:cs="仿宋_GB2312"/>
          <w:color w:val="auto"/>
          <w:sz w:val="32"/>
          <w:szCs w:val="32"/>
        </w:rPr>
        <w:t>推动居住小区生活垃圾分类水平</w:t>
      </w:r>
      <w:r>
        <w:rPr>
          <w:rFonts w:hint="eastAsia" w:ascii="仿宋_GB2312" w:hAnsi="仿宋_GB2312" w:eastAsia="仿宋_GB2312" w:cs="仿宋_GB2312"/>
          <w:color w:val="auto"/>
          <w:sz w:val="32"/>
          <w:szCs w:val="32"/>
          <w:lang w:eastAsia="zh-CN"/>
        </w:rPr>
        <w:t>稳步</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全年</w:t>
      </w:r>
      <w:r>
        <w:rPr>
          <w:rFonts w:hint="default" w:ascii="Times New Roman" w:hAnsi="Times New Roman" w:eastAsia="仿宋_GB2312" w:cs="Times New Roman"/>
          <w:sz w:val="32"/>
          <w:szCs w:val="32"/>
          <w:highlight w:val="none"/>
          <w:lang w:val="en-US" w:eastAsia="zh-CN"/>
        </w:rPr>
        <w:t>制发生活垃圾通报25期，录入检查单85346个，累计立案5409起，罚款178.2万元。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持续抓好占道经营专项整治工作，坚决遏制反弹。</w:t>
      </w:r>
      <w:r>
        <w:rPr>
          <w:rFonts w:hint="eastAsia" w:ascii="仿宋_GB2312" w:hAnsi="仿宋_GB2312" w:eastAsia="仿宋_GB2312" w:cs="仿宋_GB2312"/>
          <w:sz w:val="32"/>
          <w:szCs w:val="32"/>
        </w:rPr>
        <w:t>落实疏解整治促提升行动部署，开展占道经营动态清零行动，以整治完成的上账点位及群众举报高发点位为重点，</w:t>
      </w:r>
      <w:r>
        <w:rPr>
          <w:rFonts w:hint="eastAsia" w:ascii="仿宋_GB2312" w:hAnsi="仿宋_GB2312" w:eastAsia="仿宋_GB2312" w:cs="仿宋_GB2312"/>
          <w:bCs/>
          <w:color w:val="000000"/>
          <w:sz w:val="32"/>
          <w:szCs w:val="32"/>
        </w:rPr>
        <w:t>压实街乡主体责任，抓好节点管控，</w:t>
      </w:r>
      <w:r>
        <w:rPr>
          <w:rFonts w:hint="eastAsia" w:ascii="仿宋_GB2312" w:hAnsi="仿宋_GB2312" w:eastAsia="仿宋_GB2312" w:cs="仿宋_GB2312"/>
          <w:color w:val="000000"/>
          <w:sz w:val="32"/>
          <w:szCs w:val="32"/>
        </w:rPr>
        <w:t>定期专题调度，分级约谈整改，保持高压态势，巩固</w:t>
      </w:r>
      <w:r>
        <w:rPr>
          <w:rFonts w:hint="eastAsia" w:ascii="仿宋_GB2312" w:hAnsi="仿宋_GB2312" w:eastAsia="仿宋_GB2312" w:cs="仿宋_GB2312"/>
          <w:bCs/>
          <w:color w:val="000000"/>
          <w:sz w:val="32"/>
          <w:szCs w:val="32"/>
        </w:rPr>
        <w:t>整治效果。</w:t>
      </w:r>
      <w:r>
        <w:rPr>
          <w:rFonts w:hint="eastAsia" w:ascii="仿宋_GB2312" w:hAnsi="仿宋_GB2312" w:eastAsia="仿宋_GB2312" w:cs="仿宋_GB2312"/>
          <w:bCs/>
          <w:color w:val="000000"/>
          <w:sz w:val="32"/>
          <w:szCs w:val="32"/>
          <w:lang w:eastAsia="zh-CN"/>
        </w:rPr>
        <w:t>全年</w:t>
      </w:r>
      <w:r>
        <w:rPr>
          <w:rFonts w:hint="default" w:ascii="Times New Roman" w:hAnsi="Times New Roman" w:eastAsia="仿宋_GB2312" w:cs="Times New Roman"/>
          <w:color w:val="auto"/>
          <w:sz w:val="32"/>
          <w:szCs w:val="32"/>
        </w:rPr>
        <w:t>全区占道经营类举报量7767件，同比2019年下降52.3%，同比2020年下降3.3%，达到了“与2019年相比明显下降，力争低于2020年举报量”的工作目标</w:t>
      </w:r>
      <w:r>
        <w:rPr>
          <w:rFonts w:hint="eastAsia" w:ascii="仿宋_GB2312" w:hAnsi="仿宋_GB2312" w:eastAsia="仿宋_GB2312" w:cs="仿宋_GB2312"/>
          <w:bCs/>
          <w:color w:val="000000"/>
          <w:sz w:val="32"/>
          <w:szCs w:val="32"/>
          <w:shd w:val="clear" w:color="auto" w:fill="auto"/>
          <w:lang w:eastAsia="zh-CN"/>
        </w:rPr>
        <w:t>。</w:t>
      </w:r>
    </w:p>
    <w:p>
      <w:pPr>
        <w:keepNext w:val="0"/>
        <w:keepLines w:val="0"/>
        <w:pageBreakBefore w:val="0"/>
        <w:widowControl w:val="0"/>
        <w:tabs>
          <w:tab w:val="center" w:pos="4662"/>
        </w:tabs>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Times New Roman" w:hAnsi="Times New Roman" w:eastAsia="仿宋_GB2312"/>
          <w:color w:val="00000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rPr>
        <w:t>扎实开展城市运行安全专项执法工作，推动隐患治理。</w:t>
      </w:r>
      <w:r>
        <w:rPr>
          <w:rFonts w:hint="eastAsia" w:ascii="仿宋_GB2312" w:hAnsi="仿宋_GB2312" w:eastAsia="仿宋_GB2312" w:cs="仿宋_GB2312"/>
          <w:color w:val="auto"/>
          <w:sz w:val="32"/>
          <w:szCs w:val="32"/>
        </w:rPr>
        <w:t>落实新修订的《北京市燃气管理条例》，以检查单为依托强化统筹调度，以隐患台账为抓手</w:t>
      </w:r>
      <w:r>
        <w:rPr>
          <w:rFonts w:hint="eastAsia" w:ascii="仿宋_GB2312" w:hAnsi="仿宋_GB2312" w:eastAsia="仿宋_GB2312" w:cs="仿宋_GB2312"/>
          <w:color w:val="auto"/>
          <w:sz w:val="32"/>
          <w:szCs w:val="32"/>
          <w:lang w:eastAsia="zh-CN"/>
        </w:rPr>
        <w:t>集中</w:t>
      </w:r>
      <w:r>
        <w:rPr>
          <w:rFonts w:hint="eastAsia" w:ascii="仿宋_GB2312" w:hAnsi="仿宋_GB2312" w:eastAsia="仿宋_GB2312" w:cs="仿宋_GB2312"/>
          <w:color w:val="auto"/>
          <w:sz w:val="32"/>
          <w:szCs w:val="32"/>
        </w:rPr>
        <w:t>攻坚，以执法</w:t>
      </w:r>
      <w:r>
        <w:rPr>
          <w:rFonts w:hint="eastAsia" w:ascii="仿宋_GB2312" w:hAnsi="仿宋_GB2312" w:eastAsia="仿宋_GB2312" w:cs="仿宋_GB2312"/>
          <w:color w:val="auto"/>
          <w:sz w:val="32"/>
          <w:szCs w:val="32"/>
          <w:lang w:eastAsia="zh-CN"/>
        </w:rPr>
        <w:t>疑难</w:t>
      </w:r>
      <w:r>
        <w:rPr>
          <w:rFonts w:hint="eastAsia" w:ascii="仿宋_GB2312" w:hAnsi="仿宋_GB2312" w:eastAsia="仿宋_GB2312" w:cs="仿宋_GB2312"/>
          <w:color w:val="auto"/>
          <w:sz w:val="32"/>
          <w:szCs w:val="32"/>
        </w:rPr>
        <w:t>问题为</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加强业务指导，深入推进街乡燃气安全专项执法行动，</w:t>
      </w:r>
      <w:r>
        <w:rPr>
          <w:rFonts w:hint="eastAsia" w:ascii="Times New Roman" w:hAnsi="Times New Roman" w:eastAsia="仿宋_GB2312"/>
          <w:color w:val="000000"/>
          <w:sz w:val="32"/>
          <w:szCs w:val="32"/>
          <w:lang w:eastAsia="zh-CN"/>
        </w:rPr>
        <w:t>全年</w:t>
      </w:r>
      <w:r>
        <w:rPr>
          <w:rFonts w:ascii="Times New Roman" w:hAnsi="Times New Roman" w:eastAsia="仿宋_GB2312"/>
          <w:color w:val="000000"/>
          <w:sz w:val="32"/>
          <w:szCs w:val="32"/>
        </w:rPr>
        <w:t>全区综合行政执法系统共检查燃气供应企业及用户共</w:t>
      </w:r>
      <w:r>
        <w:rPr>
          <w:rFonts w:hint="eastAsia" w:ascii="Times New Roman" w:hAnsi="Times New Roman" w:eastAsia="仿宋_GB2312"/>
          <w:color w:val="000000"/>
          <w:sz w:val="32"/>
          <w:szCs w:val="32"/>
          <w:lang w:val="en-US" w:eastAsia="zh-CN"/>
        </w:rPr>
        <w:t>2.8</w:t>
      </w:r>
      <w:r>
        <w:rPr>
          <w:rFonts w:ascii="Times New Roman" w:hAnsi="Times New Roman" w:eastAsia="仿宋_GB2312"/>
          <w:color w:val="000000"/>
          <w:sz w:val="32"/>
          <w:szCs w:val="32"/>
        </w:rPr>
        <w:t>万余家次，针对燃气类违法行为共立案</w:t>
      </w:r>
      <w:r>
        <w:rPr>
          <w:rFonts w:hint="eastAsia" w:ascii="Times New Roman" w:hAnsi="Times New Roman" w:eastAsia="仿宋_GB2312"/>
          <w:color w:val="000000"/>
          <w:sz w:val="32"/>
          <w:szCs w:val="32"/>
          <w:lang w:val="en-US" w:eastAsia="zh-CN"/>
        </w:rPr>
        <w:t>99</w:t>
      </w:r>
      <w:r>
        <w:rPr>
          <w:rFonts w:ascii="Times New Roman" w:hAnsi="Times New Roman" w:eastAsia="仿宋_GB2312"/>
          <w:color w:val="000000"/>
          <w:sz w:val="32"/>
          <w:szCs w:val="32"/>
        </w:rPr>
        <w:t>起，罚款约</w:t>
      </w:r>
      <w:r>
        <w:rPr>
          <w:rFonts w:hint="eastAsia" w:ascii="Times New Roman" w:hAnsi="Times New Roman" w:eastAsia="仿宋_GB2312"/>
          <w:color w:val="000000"/>
          <w:sz w:val="32"/>
          <w:szCs w:val="32"/>
          <w:lang w:val="en-US" w:eastAsia="zh-CN"/>
        </w:rPr>
        <w:t>28.51</w:t>
      </w:r>
      <w:r>
        <w:rPr>
          <w:rFonts w:ascii="Times New Roman" w:hAnsi="Times New Roman" w:eastAsia="仿宋_GB2312"/>
          <w:color w:val="000000"/>
          <w:sz w:val="32"/>
          <w:szCs w:val="32"/>
        </w:rPr>
        <w:t>万余元</w:t>
      </w:r>
      <w:r>
        <w:rPr>
          <w:rFonts w:hint="eastAsia" w:ascii="Times New Roman" w:hAnsi="Times New Roman" w:eastAsia="仿宋_GB2312"/>
          <w:color w:val="000000"/>
          <w:sz w:val="32"/>
          <w:szCs w:val="32"/>
          <w:lang w:eastAsia="zh-CN"/>
        </w:rPr>
        <w:t>；联合区相关职能部门开展联合抽查</w:t>
      </w:r>
      <w:r>
        <w:rPr>
          <w:rFonts w:hint="eastAsia" w:ascii="Times New Roman" w:hAnsi="Times New Roman" w:eastAsia="仿宋_GB2312"/>
          <w:color w:val="000000"/>
          <w:sz w:val="32"/>
          <w:szCs w:val="32"/>
          <w:lang w:val="en-US" w:eastAsia="zh-CN"/>
        </w:rPr>
        <w:t>1期；</w:t>
      </w:r>
      <w:r>
        <w:rPr>
          <w:rFonts w:hint="eastAsia" w:ascii="Times New Roman" w:hAnsi="Times New Roman" w:eastAsia="仿宋_GB2312"/>
          <w:color w:val="000000"/>
          <w:sz w:val="32"/>
          <w:szCs w:val="32"/>
        </w:rPr>
        <w:t>组织骨干力量排查违规出售、储存、运输瓶装液化气窝点2处，非法售卖液化气案件1起，有效震慑违规供气违法行为。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shd w:val="clear" w:color="auto" w:fill="auto"/>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zh-CN"/>
        </w:rPr>
        <w:t>坚决打好大气污染防治攻坚战，保障首都“常态蓝”。</w:t>
      </w:r>
      <w:r>
        <w:rPr>
          <w:rFonts w:hint="eastAsia" w:ascii="仿宋_GB2312" w:hAnsi="仿宋_GB2312" w:eastAsia="仿宋_GB2312" w:cs="仿宋_GB2312"/>
          <w:sz w:val="32"/>
          <w:szCs w:val="32"/>
        </w:rPr>
        <w:t>坚持“一微克”行动，按照“源头严防、过程严管、后果严惩”的原则，严控施工现场、建筑垃圾、渣土运输和泄漏遗撒类违法行为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加强部门间协调配合，通过“每周行动日”、“点穴式执法”、非现场执法等多形式联动，实施对污染防治工作的联合监管、联合惩戒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强化执法宣传，开展“检查全覆盖、告知全覆盖、自律承诺全覆盖”工作，引导社会单位参加城市治理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做好空气重</w:t>
      </w:r>
      <w:r>
        <w:rPr>
          <w:rFonts w:hint="eastAsia" w:ascii="仿宋_GB2312" w:hAnsi="仿宋_GB2312" w:eastAsia="仿宋_GB2312" w:cs="仿宋_GB2312"/>
          <w:color w:val="auto"/>
          <w:sz w:val="32"/>
          <w:szCs w:val="32"/>
        </w:rPr>
        <w:t>污染天气应对，</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重点时间节点管控，提前宣传部署，从严从重处罚。</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共立案查处施工现场类案件288起，罚款407.08万元，建筑垃圾类案件399起，罚款92.13万元，渣土运输及泄漏遗撒案件1080起，罚款190.41万元，噪声及夜施类案件109起，罚款125.3万元，掘占路类案件42起，罚款17.2万元。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zh-CN"/>
        </w:rPr>
        <w:t>有序推进规自领域别墅区违建整改，完善管控机制。</w:t>
      </w:r>
      <w:r>
        <w:rPr>
          <w:rFonts w:hint="eastAsia" w:ascii="仿宋_GB2312" w:hAnsi="仿宋_GB2312" w:eastAsia="仿宋_GB2312" w:cs="仿宋_GB2312"/>
          <w:bCs/>
          <w:sz w:val="32"/>
          <w:szCs w:val="32"/>
        </w:rPr>
        <w:t>广泛推广《关于加强别墅区违法建设管控的意见》的运用，压实别墅区违</w:t>
      </w:r>
      <w:r>
        <w:rPr>
          <w:rFonts w:hint="eastAsia" w:ascii="仿宋_GB2312" w:hAnsi="仿宋_GB2312" w:eastAsia="仿宋_GB2312" w:cs="仿宋_GB2312"/>
          <w:bCs/>
          <w:color w:val="auto"/>
          <w:sz w:val="32"/>
          <w:szCs w:val="32"/>
          <w:highlight w:val="none"/>
        </w:rPr>
        <w:t>法建设“五方责任”，严格落实装修“闭环式链条管理”机制，从装修报备、审核、监管入手，强化别墅区违建管控工作，</w:t>
      </w:r>
      <w:r>
        <w:rPr>
          <w:rFonts w:ascii="Times New Roman" w:hAnsi="Times New Roman" w:eastAsia="仿宋_GB2312"/>
          <w:bCs/>
          <w:sz w:val="32"/>
          <w:szCs w:val="32"/>
        </w:rPr>
        <w:t>今年以来，共对135家业主的装修行为进行审核、备案，发现新增违建苗头26家，已全部整改完毕；</w:t>
      </w:r>
      <w:r>
        <w:rPr>
          <w:rFonts w:ascii="Times New Roman" w:hAnsi="Times New Roman" w:eastAsia="仿宋_GB2312"/>
          <w:sz w:val="32"/>
          <w:szCs w:val="32"/>
        </w:rPr>
        <w:t>对整改任务涉及的38件112处别墅违建逐一摸排，</w:t>
      </w:r>
      <w:r>
        <w:rPr>
          <w:rFonts w:ascii="Times New Roman" w:hAnsi="Times New Roman" w:eastAsia="仿宋_GB2312"/>
          <w:bCs/>
          <w:sz w:val="32"/>
          <w:szCs w:val="32"/>
        </w:rPr>
        <w:t>依据违法形态和拆除难易度分类建账，明确分步实施路径，定期协商调度，“一案一策”逐条解决整改难点</w:t>
      </w:r>
      <w:r>
        <w:rPr>
          <w:rFonts w:ascii="Times New Roman" w:hAnsi="Times New Roman" w:eastAsia="仿宋_GB2312"/>
          <w:sz w:val="32"/>
          <w:szCs w:val="32"/>
        </w:rPr>
        <w:t>，</w:t>
      </w:r>
      <w:r>
        <w:rPr>
          <w:rFonts w:ascii="Times New Roman" w:hAnsi="Times New Roman" w:eastAsia="仿宋_GB2312"/>
          <w:bCs/>
          <w:sz w:val="32"/>
          <w:szCs w:val="32"/>
        </w:rPr>
        <w:t>有序推进整改工作</w:t>
      </w:r>
      <w:r>
        <w:rPr>
          <w:rFonts w:ascii="Times New Roman" w:hAnsi="Times New Roman" w:eastAsia="仿宋_GB2312"/>
          <w:sz w:val="32"/>
          <w:szCs w:val="32"/>
        </w:rPr>
        <w:t>。</w:t>
      </w:r>
      <w:r>
        <w:rPr>
          <w:rFonts w:ascii="Times New Roman" w:hAnsi="Times New Roman" w:eastAsia="仿宋_GB2312"/>
          <w:bCs/>
          <w:sz w:val="32"/>
          <w:szCs w:val="32"/>
        </w:rPr>
        <w:t>截止</w:t>
      </w:r>
      <w:r>
        <w:rPr>
          <w:rFonts w:hint="eastAsia" w:ascii="Times New Roman" w:hAnsi="Times New Roman" w:eastAsia="仿宋_GB2312"/>
          <w:bCs/>
          <w:sz w:val="32"/>
          <w:szCs w:val="32"/>
        </w:rPr>
        <w:t>目前</w:t>
      </w:r>
      <w:r>
        <w:rPr>
          <w:rFonts w:ascii="Times New Roman" w:hAnsi="Times New Roman" w:eastAsia="仿宋_GB2312"/>
          <w:bCs/>
          <w:sz w:val="32"/>
          <w:szCs w:val="32"/>
        </w:rPr>
        <w:t>，共结案19件，整改违法建设65处。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auto"/>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zh-CN"/>
        </w:rPr>
        <w:t>积极开展无障碍环境专项整治，营造无碍氛围。</w:t>
      </w:r>
      <w:r>
        <w:rPr>
          <w:rFonts w:hint="eastAsia" w:ascii="仿宋_GB2312" w:hAnsi="仿宋_GB2312" w:eastAsia="仿宋_GB2312" w:cs="仿宋_GB2312"/>
          <w:sz w:val="32"/>
          <w:szCs w:val="32"/>
        </w:rPr>
        <w:t>以服务冬奥会、冬残奥会为目标，聚焦涉奥核心地区、重点地区及全区主要大街、商圈、交通枢纽周边，按照“二清理、二杜绝、一消除”的要求，全面排查城市道路范围内占用、损毁无障碍设施违法情况；联动作战、合力造势，在重点地区开展联动执法，对突出问题进行集中整治；联合相关单位开展“首善有爱 环境无碍”执法宣传，</w:t>
      </w:r>
      <w:r>
        <w:rPr>
          <w:rFonts w:hint="eastAsia" w:ascii="仿宋_GB2312" w:hAnsi="仿宋_GB2312" w:eastAsia="仿宋_GB2312" w:cs="仿宋_GB2312"/>
          <w:sz w:val="32"/>
          <w:szCs w:val="32"/>
          <w:lang w:eastAsia="zh-CN"/>
        </w:rPr>
        <w:t>温馨助力冬奥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全年</w:t>
      </w:r>
      <w:r>
        <w:rPr>
          <w:rFonts w:hint="default" w:ascii="Times New Roman" w:hAnsi="Times New Roman" w:eastAsia="仿宋_GB2312" w:cs="Times New Roman"/>
          <w:color w:val="auto"/>
          <w:sz w:val="32"/>
          <w:szCs w:val="32"/>
        </w:rPr>
        <w:t>开展执法检查3564次，巡查检查街道13380条次，开展宣传活动621次，联合执法185次，清理整治盲道779条次，查处无障碍设施问题124起，罚款金额58700元。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bCs/>
          <w:i w:val="0"/>
          <w:i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 xml:space="preserve">    （二）夯实基础，深入学习依法治国新理念新思想新战略和业务法规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1.强化理论武装，把牢法治文化方向。</w:t>
      </w:r>
      <w:r>
        <w:rPr>
          <w:rFonts w:hint="eastAsia" w:ascii="仿宋_GB2312" w:hAnsi="仿宋_GB2312" w:eastAsia="仿宋_GB2312" w:cs="仿宋_GB2312"/>
          <w:color w:val="auto"/>
          <w:sz w:val="32"/>
          <w:szCs w:val="32"/>
          <w:lang w:val="en-US" w:eastAsia="zh-CN"/>
        </w:rPr>
        <w:t>坚持把学习贯彻习近平法治思想和中央全面依法治国工作会议精神作为学习教育常态化制度化的重要内容。落实领导干部学法要求，在班子会会前学法，力求学懂弄通总书记关于全面依法治国的新理念新思想新战略，将其作为根本遵循和行动纲领，不断提升队伍依法行政的观念和能力。全年共开展中心组学习23期，交流发言8次，学习习近平法治思想、《法治政府建设实施纲要（2021-2025年）》等学法内容6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坚持钝学累功，打牢依法行政基石</w:t>
      </w:r>
      <w:r>
        <w:rPr>
          <w:rStyle w:val="9"/>
          <w:rFonts w:hint="eastAsia" w:ascii="仿宋_GB2312" w:hAnsi="仿宋_GB2312" w:eastAsia="仿宋_GB2312" w:cs="仿宋_GB2312"/>
          <w:b/>
          <w:bCs/>
          <w:color w:val="auto"/>
          <w:sz w:val="32"/>
          <w:szCs w:val="32"/>
        </w:rPr>
        <w:t>。</w:t>
      </w:r>
      <w:r>
        <w:rPr>
          <w:rFonts w:hint="eastAsia" w:ascii="仿宋_GB2312" w:hAnsi="仿宋_GB2312" w:eastAsia="仿宋_GB2312" w:cs="仿宋_GB2312"/>
          <w:sz w:val="32"/>
          <w:szCs w:val="32"/>
          <w:highlight w:val="none"/>
          <w:lang w:val="en-US" w:eastAsia="zh-CN"/>
        </w:rPr>
        <w:t>结合不同类别、不同层次、不同岗位的特点和工作实际，精准设置业务培训班次和内容，灵活采用网络平台、视频会议、线下考试等多种形式，努力培养造就一支高素质专业化城管队伍。</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b w:val="0"/>
          <w:bCs w:val="0"/>
          <w:color w:val="auto"/>
          <w:sz w:val="32"/>
          <w:szCs w:val="32"/>
        </w:rPr>
        <w:t>围绕城市管理痼疾顽症开展法律法规规章</w:t>
      </w:r>
      <w:r>
        <w:rPr>
          <w:rFonts w:hint="eastAsia" w:ascii="仿宋_GB2312" w:hAnsi="仿宋_GB2312" w:eastAsia="仿宋_GB2312" w:cs="仿宋_GB2312"/>
          <w:b w:val="0"/>
          <w:bCs w:val="0"/>
          <w:color w:val="auto"/>
          <w:sz w:val="32"/>
          <w:szCs w:val="32"/>
          <w:highlight w:val="none"/>
        </w:rPr>
        <w:t>层级培训</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期</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组织法制骨干</w:t>
      </w:r>
      <w:r>
        <w:rPr>
          <w:rFonts w:hint="eastAsia" w:ascii="仿宋_GB2312" w:hAnsi="仿宋_GB2312" w:eastAsia="仿宋_GB2312" w:cs="仿宋_GB2312"/>
          <w:b w:val="0"/>
          <w:bCs w:val="0"/>
          <w:color w:val="auto"/>
          <w:sz w:val="32"/>
          <w:szCs w:val="32"/>
          <w:highlight w:val="none"/>
          <w:lang w:eastAsia="zh-CN"/>
        </w:rPr>
        <w:t>网络</w:t>
      </w:r>
      <w:r>
        <w:rPr>
          <w:rFonts w:hint="eastAsia" w:ascii="仿宋_GB2312" w:hAnsi="仿宋_GB2312" w:eastAsia="仿宋_GB2312" w:cs="仿宋_GB2312"/>
          <w:b w:val="0"/>
          <w:bCs w:val="0"/>
          <w:color w:val="auto"/>
          <w:sz w:val="32"/>
          <w:szCs w:val="32"/>
          <w:highlight w:val="none"/>
        </w:rPr>
        <w:t>旁听行政诉讼案件</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期</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以</w:t>
      </w:r>
      <w:r>
        <w:rPr>
          <w:rFonts w:hint="eastAsia" w:ascii="仿宋_GB2312" w:hAnsi="仿宋_GB2312" w:eastAsia="仿宋_GB2312" w:cs="仿宋_GB2312"/>
          <w:b w:val="0"/>
          <w:bCs w:val="0"/>
          <w:color w:val="auto"/>
          <w:sz w:val="32"/>
          <w:szCs w:val="32"/>
          <w:highlight w:val="none"/>
          <w:lang w:eastAsia="zh-CN"/>
        </w:rPr>
        <w:t>适用的新法规、</w:t>
      </w:r>
      <w:r>
        <w:rPr>
          <w:rFonts w:hint="eastAsia" w:ascii="仿宋_GB2312" w:hAnsi="仿宋_GB2312" w:eastAsia="仿宋_GB2312" w:cs="仿宋_GB2312"/>
          <w:b w:val="0"/>
          <w:bCs w:val="0"/>
          <w:color w:val="auto"/>
          <w:sz w:val="32"/>
          <w:szCs w:val="32"/>
          <w:highlight w:val="none"/>
        </w:rPr>
        <w:t>实际案例为切入口，</w:t>
      </w:r>
      <w:r>
        <w:rPr>
          <w:rFonts w:hint="eastAsia" w:ascii="仿宋_GB2312" w:hAnsi="仿宋_GB2312" w:eastAsia="仿宋_GB2312" w:cs="仿宋_GB2312"/>
          <w:b w:val="0"/>
          <w:bCs w:val="0"/>
          <w:color w:val="auto"/>
          <w:sz w:val="32"/>
          <w:szCs w:val="32"/>
          <w:highlight w:val="none"/>
          <w:lang w:eastAsia="zh-CN"/>
        </w:rPr>
        <w:t>组织</w:t>
      </w:r>
      <w:r>
        <w:rPr>
          <w:rFonts w:hint="eastAsia" w:ascii="仿宋_GB2312" w:hAnsi="仿宋_GB2312" w:eastAsia="仿宋_GB2312" w:cs="仿宋_GB2312"/>
          <w:b w:val="0"/>
          <w:bCs w:val="0"/>
          <w:color w:val="auto"/>
          <w:sz w:val="32"/>
          <w:szCs w:val="32"/>
          <w:highlight w:val="none"/>
        </w:rPr>
        <w:t>行政执法实务讲座</w:t>
      </w:r>
      <w:r>
        <w:rPr>
          <w:rFonts w:hint="eastAsia" w:ascii="仿宋_GB2312" w:hAnsi="仿宋_GB2312" w:eastAsia="仿宋_GB2312" w:cs="仿宋_GB2312"/>
          <w:b w:val="0"/>
          <w:bCs w:val="0"/>
          <w:color w:val="auto"/>
          <w:sz w:val="32"/>
          <w:szCs w:val="32"/>
          <w:highlight w:val="none"/>
          <w:lang w:eastAsia="zh-CN"/>
        </w:rPr>
        <w:t>网络培训</w:t>
      </w:r>
      <w:r>
        <w:rPr>
          <w:rFonts w:hint="eastAsia" w:ascii="仿宋_GB2312" w:hAnsi="仿宋_GB2312" w:eastAsia="仿宋_GB2312" w:cs="仿宋_GB2312"/>
          <w:b w:val="0"/>
          <w:bCs w:val="0"/>
          <w:color w:val="auto"/>
          <w:sz w:val="32"/>
          <w:szCs w:val="32"/>
          <w:highlight w:val="none"/>
          <w:lang w:val="en-US" w:eastAsia="zh-CN"/>
        </w:rPr>
        <w:t>3期、视频培训5</w:t>
      </w:r>
      <w:r>
        <w:rPr>
          <w:rFonts w:hint="eastAsia" w:ascii="仿宋_GB2312" w:hAnsi="仿宋_GB2312" w:eastAsia="仿宋_GB2312" w:cs="仿宋_GB2312"/>
          <w:b w:val="0"/>
          <w:bCs w:val="0"/>
          <w:color w:val="auto"/>
          <w:sz w:val="32"/>
          <w:szCs w:val="32"/>
          <w:highlight w:val="none"/>
        </w:rPr>
        <w:t>期</w:t>
      </w:r>
      <w:r>
        <w:rPr>
          <w:rFonts w:hint="eastAsia" w:ascii="仿宋_GB2312" w:hAnsi="仿宋_GB2312" w:eastAsia="仿宋_GB2312" w:cs="仿宋_GB2312"/>
          <w:b w:val="0"/>
          <w:bCs w:val="0"/>
          <w:color w:val="auto"/>
          <w:sz w:val="32"/>
          <w:szCs w:val="32"/>
          <w:highlight w:val="none"/>
          <w:lang w:eastAsia="zh-CN"/>
        </w:rPr>
        <w:t>、线下培训</w:t>
      </w:r>
      <w:r>
        <w:rPr>
          <w:rFonts w:hint="eastAsia" w:ascii="仿宋_GB2312" w:hAnsi="仿宋_GB2312" w:eastAsia="仿宋_GB2312" w:cs="仿宋_GB2312"/>
          <w:b w:val="0"/>
          <w:bCs w:val="0"/>
          <w:color w:val="auto"/>
          <w:sz w:val="32"/>
          <w:szCs w:val="32"/>
          <w:highlight w:val="none"/>
          <w:lang w:val="en-US" w:eastAsia="zh-CN"/>
        </w:rPr>
        <w:t>4期</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利用网络媒体及时、高效的特点，实时回答各类疑难问题</w:t>
      </w:r>
      <w:r>
        <w:rPr>
          <w:rFonts w:hint="eastAsia" w:ascii="仿宋_GB2312" w:hAnsi="仿宋_GB2312" w:eastAsia="仿宋_GB2312" w:cs="仿宋_GB2312"/>
          <w:b w:val="0"/>
          <w:bCs w:val="0"/>
          <w:color w:val="auto"/>
          <w:sz w:val="32"/>
          <w:szCs w:val="32"/>
          <w:highlight w:val="none"/>
          <w:lang w:eastAsia="zh-CN"/>
        </w:rPr>
        <w:t>万</w:t>
      </w:r>
      <w:r>
        <w:rPr>
          <w:rFonts w:hint="eastAsia" w:ascii="仿宋_GB2312" w:hAnsi="仿宋_GB2312" w:eastAsia="仿宋_GB2312" w:cs="仿宋_GB2312"/>
          <w:b w:val="0"/>
          <w:bCs w:val="0"/>
          <w:color w:val="auto"/>
          <w:sz w:val="32"/>
          <w:szCs w:val="32"/>
          <w:highlight w:val="none"/>
        </w:rPr>
        <w:t>余件</w:t>
      </w:r>
      <w:r>
        <w:rPr>
          <w:rFonts w:hint="eastAsia" w:ascii="仿宋_GB2312" w:hAnsi="仿宋_GB2312" w:eastAsia="仿宋_GB2312" w:cs="仿宋_GB2312"/>
          <w:b w:val="0"/>
          <w:bCs w:val="0"/>
          <w:color w:val="auto"/>
          <w:sz w:val="32"/>
          <w:szCs w:val="32"/>
          <w:highlight w:val="none"/>
          <w:lang w:eastAsia="zh-CN"/>
        </w:rPr>
        <w:t>；制发各类指导性文件</w:t>
      </w:r>
      <w:r>
        <w:rPr>
          <w:rFonts w:hint="eastAsia" w:ascii="仿宋_GB2312" w:hAnsi="仿宋_GB2312" w:eastAsia="仿宋_GB2312" w:cs="仿宋_GB2312"/>
          <w:b w:val="0"/>
          <w:bCs w:val="0"/>
          <w:color w:val="auto"/>
          <w:sz w:val="32"/>
          <w:szCs w:val="32"/>
          <w:highlight w:val="none"/>
          <w:lang w:val="en-US" w:eastAsia="zh-CN"/>
        </w:rPr>
        <w:t>35件</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（三）助推重点领域立法，推动城市管理科学民主决策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1.助推本市重点领域立法。</w:t>
      </w:r>
      <w:r>
        <w:rPr>
          <w:rFonts w:hint="eastAsia" w:ascii="仿宋_GB2312" w:hAnsi="仿宋_GB2312" w:eastAsia="仿宋_GB2312" w:cs="仿宋_GB2312"/>
          <w:color w:val="auto"/>
          <w:sz w:val="32"/>
          <w:szCs w:val="32"/>
          <w:lang w:val="en-US" w:eastAsia="zh-CN"/>
        </w:rPr>
        <w:t>围绕城市治理中的热点问题和掣肘一线执法的难点问题，对《北京市无障碍环境建设条例》《北京市国际交往语言环境建设条例》等4部法律法规提出修订建议，增强立法的科学性和可操作性。</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right="0" w:right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2.健全依法决策机制。</w:t>
      </w:r>
      <w:r>
        <w:rPr>
          <w:rFonts w:hint="eastAsia" w:ascii="仿宋_GB2312" w:hAnsi="仿宋_GB2312" w:eastAsia="仿宋_GB2312" w:cs="仿宋_GB2312"/>
          <w:color w:val="auto"/>
          <w:sz w:val="32"/>
          <w:szCs w:val="32"/>
          <w:lang w:val="en-US" w:eastAsia="zh-CN"/>
        </w:rPr>
        <w:t>完善、落实“三重一大”事项集体决策规定，</w:t>
      </w:r>
      <w:r>
        <w:rPr>
          <w:rFonts w:hint="eastAsia" w:ascii="仿宋_GB2312" w:hAnsi="仿宋_GB2312" w:eastAsia="仿宋_GB2312" w:cs="仿宋_GB2312"/>
          <w:color w:val="auto"/>
          <w:sz w:val="32"/>
          <w:szCs w:val="32"/>
          <w:lang w:eastAsia="zh-CN"/>
        </w:rPr>
        <w:t>对重大事项做到违反法律政策规定的不决策，没有经过深入调查研究的不决策，没有经过征求意见的不决策，没有经过充分酝酿的不决策。共召开局党委会</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期、领导班子会</w:t>
      </w:r>
      <w:r>
        <w:rPr>
          <w:rFonts w:hint="eastAsia" w:ascii="仿宋_GB2312" w:hAnsi="仿宋_GB2312" w:eastAsia="仿宋_GB2312" w:cs="仿宋_GB2312"/>
          <w:color w:val="auto"/>
          <w:sz w:val="32"/>
          <w:szCs w:val="32"/>
          <w:lang w:val="en-US" w:eastAsia="zh-CN"/>
        </w:rPr>
        <w:t>15期，</w:t>
      </w:r>
      <w:r>
        <w:rPr>
          <w:rFonts w:hint="eastAsia" w:ascii="仿宋_GB2312" w:hAnsi="仿宋_GB2312" w:eastAsia="仿宋_GB2312" w:cs="仿宋_GB2312"/>
          <w:color w:val="auto"/>
          <w:sz w:val="32"/>
          <w:szCs w:val="32"/>
          <w:lang w:eastAsia="zh-CN"/>
        </w:rPr>
        <w:t>审议重大事项</w:t>
      </w:r>
      <w:r>
        <w:rPr>
          <w:rFonts w:hint="eastAsia" w:ascii="仿宋_GB2312" w:hAnsi="仿宋_GB2312" w:eastAsia="仿宋_GB2312" w:cs="仿宋_GB2312"/>
          <w:color w:val="auto"/>
          <w:sz w:val="32"/>
          <w:szCs w:val="32"/>
          <w:lang w:val="en-US" w:eastAsia="zh-CN"/>
        </w:rPr>
        <w:t>153</w:t>
      </w:r>
      <w:r>
        <w:rPr>
          <w:rFonts w:hint="eastAsia" w:ascii="仿宋_GB2312" w:hAnsi="仿宋_GB2312" w:eastAsia="仿宋_GB2312" w:cs="仿宋_GB2312"/>
          <w:color w:val="auto"/>
          <w:sz w:val="32"/>
          <w:szCs w:val="32"/>
          <w:lang w:eastAsia="zh-CN"/>
        </w:rPr>
        <w:t>项；召开局长办公会</w:t>
      </w:r>
      <w:r>
        <w:rPr>
          <w:rFonts w:hint="eastAsia" w:ascii="仿宋_GB2312" w:hAnsi="仿宋_GB2312" w:eastAsia="仿宋_GB2312" w:cs="仿宋_GB2312"/>
          <w:color w:val="auto"/>
          <w:sz w:val="32"/>
          <w:szCs w:val="32"/>
          <w:lang w:val="en-US" w:eastAsia="zh-CN"/>
        </w:rPr>
        <w:t>6期，</w:t>
      </w:r>
      <w:r>
        <w:rPr>
          <w:rFonts w:hint="eastAsia" w:ascii="仿宋_GB2312" w:hAnsi="仿宋_GB2312" w:eastAsia="仿宋_GB2312" w:cs="仿宋_GB2312"/>
          <w:color w:val="auto"/>
          <w:sz w:val="32"/>
          <w:szCs w:val="32"/>
          <w:lang w:eastAsia="zh-CN"/>
        </w:rPr>
        <w:t>审议</w:t>
      </w:r>
      <w:r>
        <w:rPr>
          <w:rFonts w:hint="eastAsia" w:ascii="仿宋_GB2312" w:hAnsi="仿宋_GB2312" w:eastAsia="仿宋_GB2312" w:cs="仿宋_GB2312"/>
          <w:color w:val="auto"/>
          <w:sz w:val="32"/>
          <w:szCs w:val="32"/>
          <w:lang w:val="en-US" w:eastAsia="zh-CN"/>
        </w:rPr>
        <w:t>议题8项；局</w:t>
      </w:r>
      <w:r>
        <w:rPr>
          <w:rFonts w:hint="eastAsia" w:ascii="仿宋_GB2312" w:hAnsi="仿宋_GB2312" w:eastAsia="仿宋_GB2312" w:cs="仿宋_GB2312"/>
          <w:color w:val="auto"/>
          <w:sz w:val="32"/>
          <w:szCs w:val="32"/>
          <w:lang w:eastAsia="zh-CN"/>
        </w:rPr>
        <w:t>重大行政执法决定法制审核委员会共审核执法案卷</w:t>
      </w:r>
      <w:r>
        <w:rPr>
          <w:rFonts w:hint="eastAsia" w:ascii="仿宋_GB2312" w:hAnsi="仿宋_GB2312" w:eastAsia="仿宋_GB2312" w:cs="仿宋_GB2312"/>
          <w:color w:val="auto"/>
          <w:sz w:val="32"/>
          <w:szCs w:val="32"/>
          <w:lang w:val="en-US" w:eastAsia="zh-CN"/>
        </w:rPr>
        <w:t>1卷。</w:t>
      </w:r>
    </w:p>
    <w:p>
      <w:pPr>
        <w:keepNext w:val="0"/>
        <w:keepLines w:val="0"/>
        <w:pageBreakBefore w:val="0"/>
        <w:kinsoku/>
        <w:wordWrap/>
        <w:overflowPunct/>
        <w:topLinePunct w:val="0"/>
        <w:autoSpaceDE/>
        <w:autoSpaceDN/>
        <w:bidi w:val="0"/>
        <w:adjustRightInd/>
        <w:spacing w:line="52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3.完善法律顾问制度。</w:t>
      </w:r>
      <w:r>
        <w:rPr>
          <w:rFonts w:hint="eastAsia" w:ascii="仿宋_GB2312" w:hAnsi="仿宋_GB2312" w:eastAsia="仿宋_GB2312" w:cs="仿宋_GB2312"/>
          <w:color w:val="auto"/>
          <w:sz w:val="32"/>
          <w:szCs w:val="32"/>
          <w:lang w:val="en-US" w:eastAsia="zh-CN"/>
        </w:rPr>
        <w:t>充分发挥法律顾问团队在案件办理、案件代理、辅助执法、合法性审查等方面的专业优势，靠前过滤拦截法律风险，提升依法决策，规范执法能力水平。</w:t>
      </w:r>
      <w:r>
        <w:rPr>
          <w:rFonts w:hint="eastAsia" w:ascii="仿宋_GB2312" w:hAnsi="仿宋_GB2312" w:eastAsia="仿宋_GB2312" w:cs="仿宋_GB2312"/>
          <w:color w:val="auto"/>
          <w:sz w:val="32"/>
          <w:szCs w:val="32"/>
          <w:highlight w:val="none"/>
          <w:lang w:val="en-US" w:eastAsia="zh-CN"/>
        </w:rPr>
        <w:t>聘请律所共对合同行为、行政管理行为进行合法性、合理性审查27件；参与行政复议、行政诉讼、投诉处理等案件的代理及其他事务的处理9起；协助起草行政执法培训讲义1起。</w:t>
      </w:r>
    </w:p>
    <w:p>
      <w:pPr>
        <w:keepNext w:val="0"/>
        <w:keepLines w:val="0"/>
        <w:pageBreakBefore w:val="0"/>
        <w:kinsoku/>
        <w:wordWrap/>
        <w:overflowPunct/>
        <w:topLinePunct w:val="0"/>
        <w:autoSpaceDE/>
        <w:autoSpaceDN/>
        <w:bidi w:val="0"/>
        <w:adjustRightInd/>
        <w:spacing w:line="520" w:lineRule="exact"/>
        <w:ind w:left="0" w:leftChars="0" w:right="0" w:rightChars="0" w:firstLine="640" w:firstLineChars="200"/>
        <w:jc w:val="both"/>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4.规范性文件合法性审查。</w:t>
      </w:r>
      <w:r>
        <w:rPr>
          <w:rFonts w:hint="eastAsia" w:ascii="仿宋_GB2312" w:hAnsi="仿宋_GB2312" w:eastAsia="仿宋_GB2312" w:cs="仿宋_GB2312"/>
          <w:color w:val="auto"/>
          <w:sz w:val="32"/>
          <w:szCs w:val="32"/>
          <w:lang w:val="en-US" w:eastAsia="zh-CN"/>
        </w:rPr>
        <w:t>我局已</w:t>
      </w:r>
      <w:r>
        <w:rPr>
          <w:rFonts w:hint="eastAsia" w:ascii="仿宋_GB2312" w:hAnsi="仿宋_GB2312" w:eastAsia="仿宋_GB2312" w:cs="仿宋_GB2312"/>
          <w:color w:val="auto"/>
          <w:sz w:val="32"/>
          <w:szCs w:val="32"/>
          <w:lang w:eastAsia="zh-CN"/>
        </w:rPr>
        <w:t>制定了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行政规范性文件</w:t>
      </w:r>
      <w:r>
        <w:rPr>
          <w:rFonts w:hint="eastAsia" w:ascii="仿宋_GB2312" w:hAnsi="仿宋_GB2312" w:eastAsia="仿宋_GB2312" w:cs="仿宋_GB2312"/>
          <w:color w:val="auto"/>
          <w:sz w:val="32"/>
          <w:szCs w:val="32"/>
          <w:lang w:eastAsia="zh-CN"/>
        </w:rPr>
        <w:t>合法性审核机制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，将合法性审核环节落实在局法制科，确保文件制定的科学性、合法性、适用性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截至目前，我局未制定规范性文件。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（四）推进政府职能转变，加快建设法治政府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统筹指导</w:t>
      </w:r>
      <w:r>
        <w:rPr>
          <w:rFonts w:hint="eastAsia" w:ascii="仿宋_GB2312" w:hAnsi="仿宋_GB2312" w:eastAsia="仿宋_GB2312" w:cs="仿宋_GB2312"/>
          <w:b/>
          <w:bCs/>
          <w:sz w:val="32"/>
          <w:szCs w:val="32"/>
          <w:lang w:val="zh-CN"/>
        </w:rPr>
        <w:t>全面推进依法行政。</w:t>
      </w:r>
      <w:r>
        <w:rPr>
          <w:rFonts w:hint="eastAsia" w:ascii="仿宋_GB2312" w:hAnsi="仿宋_GB2312" w:eastAsia="仿宋_GB2312" w:cs="仿宋_GB2312"/>
          <w:sz w:val="32"/>
          <w:szCs w:val="32"/>
        </w:rPr>
        <w:t>针对今年5月新下放的行政执法职权，梳理交接事项，制发工作指导，顺利完成</w:t>
      </w:r>
      <w:r>
        <w:rPr>
          <w:rFonts w:hint="eastAsia" w:ascii="仿宋_GB2312" w:hAnsi="仿宋_GB2312" w:eastAsia="仿宋_GB2312" w:cs="仿宋_GB2312"/>
          <w:sz w:val="32"/>
          <w:szCs w:val="32"/>
          <w:lang w:eastAsia="zh-CN"/>
        </w:rPr>
        <w:t>下放工作</w:t>
      </w:r>
      <w:r>
        <w:rPr>
          <w:rFonts w:hint="eastAsia" w:ascii="仿宋_GB2312" w:hAnsi="仿宋_GB2312" w:eastAsia="仿宋_GB2312" w:cs="仿宋_GB2312"/>
          <w:sz w:val="32"/>
          <w:szCs w:val="32"/>
        </w:rPr>
        <w:t>；开展调研走访，汇总基层执法存在的</w:t>
      </w:r>
      <w:r>
        <w:rPr>
          <w:rFonts w:hint="eastAsia" w:ascii="仿宋_GB2312" w:hAnsi="仿宋_GB2312" w:eastAsia="仿宋_GB2312" w:cs="仿宋_GB2312"/>
          <w:sz w:val="32"/>
          <w:szCs w:val="32"/>
          <w:lang w:eastAsia="zh-CN"/>
        </w:rPr>
        <w:t>疑难问题</w:t>
      </w:r>
      <w:r>
        <w:rPr>
          <w:rFonts w:hint="eastAsia" w:ascii="仿宋_GB2312" w:hAnsi="仿宋_GB2312" w:eastAsia="仿宋_GB2312" w:cs="仿宋_GB2312"/>
          <w:sz w:val="32"/>
          <w:szCs w:val="32"/>
        </w:rPr>
        <w:t>，积极与市局、区司法局和其他职能部门对接，统筹研究破解对策，</w:t>
      </w:r>
      <w:r>
        <w:rPr>
          <w:rFonts w:hint="eastAsia" w:ascii="仿宋_GB2312" w:hAnsi="仿宋_GB2312" w:eastAsia="仿宋_GB2312" w:cs="仿宋_GB2312"/>
          <w:sz w:val="32"/>
          <w:szCs w:val="32"/>
          <w:lang w:eastAsia="zh-CN"/>
        </w:rPr>
        <w:t>制发</w:t>
      </w:r>
      <w:r>
        <w:rPr>
          <w:rFonts w:hint="eastAsia" w:ascii="仿宋_GB2312" w:hAnsi="仿宋_GB2312" w:eastAsia="仿宋_GB2312" w:cs="仿宋_GB2312"/>
          <w:color w:val="auto"/>
          <w:sz w:val="32"/>
          <w:szCs w:val="32"/>
          <w:lang w:val="en-US" w:eastAsia="zh-CN"/>
        </w:rPr>
        <w:t>《行政处罚信息公示期管理实施细则》</w:t>
      </w:r>
      <w:r>
        <w:rPr>
          <w:rFonts w:hint="eastAsia" w:ascii="仿宋_GB2312" w:hAnsi="仿宋_GB2312" w:eastAsia="仿宋_GB2312" w:cs="仿宋_GB2312"/>
          <w:sz w:val="32"/>
          <w:szCs w:val="32"/>
          <w:lang w:eastAsia="zh-CN"/>
        </w:rPr>
        <w:t>《落实城市管理违法行为举报奖励办法实施细则》</w:t>
      </w:r>
      <w:r>
        <w:rPr>
          <w:rFonts w:hint="eastAsia" w:ascii="仿宋_GB2312" w:hAnsi="仿宋_GB2312" w:eastAsia="仿宋_GB2312" w:cs="仿宋_GB2312"/>
          <w:color w:val="auto"/>
          <w:sz w:val="32"/>
          <w:szCs w:val="32"/>
          <w:lang w:val="en-US" w:eastAsia="zh-CN"/>
        </w:rPr>
        <w:t>《关于违法建设认定及暂停办理不动产登记相关工作的通知》，</w:t>
      </w:r>
      <w:r>
        <w:rPr>
          <w:rFonts w:hint="eastAsia" w:ascii="仿宋_GB2312" w:hAnsi="仿宋_GB2312" w:eastAsia="仿宋_GB2312" w:cs="仿宋_GB2312"/>
          <w:sz w:val="32"/>
          <w:szCs w:val="32"/>
        </w:rPr>
        <w:t>健全执法工作体系，优化执法工作流程，</w:t>
      </w:r>
      <w:r>
        <w:rPr>
          <w:rFonts w:hint="eastAsia" w:ascii="仿宋_GB2312" w:hAnsi="仿宋_GB2312" w:eastAsia="仿宋_GB2312" w:cs="仿宋_GB2312"/>
          <w:sz w:val="32"/>
          <w:szCs w:val="32"/>
          <w:lang w:val="zh-CN"/>
        </w:rPr>
        <w:t>为规范执法行为、提升执法效能提供保障。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2.落实行政执法三项制度。</w:t>
      </w:r>
      <w:r>
        <w:rPr>
          <w:rFonts w:hint="eastAsia" w:ascii="仿宋_GB2312" w:hAnsi="仿宋_GB2312" w:eastAsia="仿宋_GB2312" w:cs="仿宋_GB2312"/>
          <w:sz w:val="32"/>
          <w:szCs w:val="32"/>
          <w:lang w:val="en-US" w:eastAsia="zh-CN"/>
        </w:rPr>
        <w:t>在行政执法公示方面，官网设立行政执法公示专栏，</w:t>
      </w:r>
      <w:r>
        <w:rPr>
          <w:rFonts w:hint="eastAsia" w:ascii="仿宋_GB2312" w:hAnsi="仿宋_GB2312" w:eastAsia="仿宋_GB2312" w:cs="仿宋_GB2312"/>
          <w:color w:val="auto"/>
          <w:sz w:val="32"/>
          <w:szCs w:val="32"/>
          <w:lang w:val="en-US" w:eastAsia="zh-CN"/>
        </w:rPr>
        <w:t>公示权责清单、执法人员信息、执法证件式样、执法流程、双随机抽查事项清单等</w:t>
      </w:r>
      <w:r>
        <w:rPr>
          <w:rFonts w:hint="eastAsia" w:ascii="仿宋_GB2312" w:hAnsi="仿宋_GB2312" w:eastAsia="仿宋_GB2312" w:cs="仿宋_GB2312"/>
          <w:sz w:val="32"/>
          <w:szCs w:val="32"/>
          <w:lang w:val="en-US" w:eastAsia="zh-CN"/>
        </w:rPr>
        <w:t>；在执法全过程记录方面,通过纸质文书记载与摄像照相动态留存互补，推动实现执法全过程记录; 在落实执法岗位方面，A岗关联率83.72%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参与执法率</w:t>
      </w:r>
      <w:r>
        <w:rPr>
          <w:rFonts w:hint="eastAsia" w:ascii="仿宋_GB2312" w:hAnsi="仿宋_GB2312" w:eastAsia="仿宋_GB2312" w:cs="仿宋_GB2312"/>
          <w:sz w:val="32"/>
          <w:szCs w:val="32"/>
          <w:lang w:val="en-US" w:eastAsia="zh-CN"/>
        </w:rPr>
        <w:t>93.91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，组织新录用人员联机考试1期，考试通过率100%，高于我区考评分值；在案卷审核评查方面，建立法制审核、日常自查、月度抽查的检查机制，</w:t>
      </w:r>
      <w:r>
        <w:rPr>
          <w:rFonts w:hint="eastAsia" w:ascii="仿宋_GB2312" w:hAnsi="仿宋_GB2312" w:eastAsia="仿宋_GB2312" w:cs="仿宋_GB2312"/>
          <w:color w:val="auto"/>
          <w:sz w:val="32"/>
          <w:szCs w:val="32"/>
          <w:lang w:val="en-US" w:eastAsia="zh-CN"/>
        </w:rPr>
        <w:t>审核重大案卷14卷、评查案卷122卷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3.全面推进政务公开。</w:t>
      </w:r>
      <w:r>
        <w:rPr>
          <w:rFonts w:hint="eastAsia" w:ascii="仿宋_GB2312" w:hAnsi="仿宋_GB2312" w:eastAsia="仿宋_GB2312" w:cs="仿宋_GB2312"/>
          <w:sz w:val="32"/>
          <w:szCs w:val="32"/>
          <w:lang w:val="en-US" w:eastAsia="zh-CN"/>
        </w:rPr>
        <w:t>主动公开权力清单、执法动态、“双随机”抽查情况、财政预决算等内容信息。优化营商环境，推动信用信息归集和惩戒联动，严格落实双公示制度，</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highlight w:val="none"/>
          <w:lang w:val="en-US" w:eastAsia="zh-CN"/>
        </w:rPr>
        <w:t>公示行政检查信息33842条、行政</w:t>
      </w:r>
      <w:r>
        <w:rPr>
          <w:rFonts w:hint="eastAsia" w:ascii="仿宋_GB2312" w:hAnsi="仿宋_GB2312" w:eastAsia="仿宋_GB2312" w:cs="仿宋_GB2312"/>
          <w:color w:val="auto"/>
          <w:sz w:val="32"/>
          <w:szCs w:val="32"/>
          <w:lang w:val="en-US" w:eastAsia="zh-CN"/>
        </w:rPr>
        <w:t>处罚信息84条，</w:t>
      </w:r>
      <w:r>
        <w:rPr>
          <w:rFonts w:hint="eastAsia" w:ascii="仿宋_GB2312" w:hAnsi="仿宋_GB2312" w:eastAsia="仿宋_GB2312" w:cs="仿宋_GB2312"/>
          <w:sz w:val="32"/>
          <w:szCs w:val="32"/>
          <w:lang w:val="en-US" w:eastAsia="zh-CN"/>
        </w:rPr>
        <w:t>不断把法治城管、透明城管建设向纵深推进。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（五）加大全民守法普法力度，推动社会多元共治</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sz w:val="32"/>
          <w:szCs w:val="32"/>
        </w:rPr>
        <w:t>紧扣节点开展形式多样的社会宣传活动</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sz w:val="32"/>
          <w:szCs w:val="32"/>
          <w:lang w:eastAsia="zh-CN"/>
        </w:rPr>
        <w:t>落实普法责任制，</w:t>
      </w:r>
      <w:r>
        <w:rPr>
          <w:rFonts w:hint="eastAsia" w:ascii="仿宋_GB2312" w:hAnsi="仿宋_GB2312" w:eastAsia="仿宋_GB2312" w:cs="仿宋_GB2312"/>
          <w:b w:val="0"/>
          <w:sz w:val="32"/>
          <w:szCs w:val="32"/>
        </w:rPr>
        <w:t>结合城管职能及工作实际，采取线上线</w:t>
      </w:r>
      <w:r>
        <w:rPr>
          <w:rFonts w:hint="eastAsia" w:ascii="仿宋_GB2312" w:hAnsi="仿宋_GB2312" w:eastAsia="仿宋_GB2312" w:cs="仿宋_GB2312"/>
          <w:b w:val="0"/>
          <w:sz w:val="32"/>
          <w:szCs w:val="32"/>
          <w:lang w:eastAsia="zh-CN"/>
        </w:rPr>
        <w:t>下联动模式，组织</w:t>
      </w:r>
      <w:r>
        <w:rPr>
          <w:rFonts w:hint="eastAsia" w:ascii="仿宋_GB2312" w:hAnsi="仿宋_GB2312" w:eastAsia="仿宋_GB2312" w:cs="仿宋_GB2312"/>
          <w:b w:val="0"/>
          <w:sz w:val="32"/>
          <w:szCs w:val="32"/>
        </w:rPr>
        <w:t>开展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民法典”、“奋进百年路 普法践初心”、“</w:t>
      </w:r>
      <w:r>
        <w:rPr>
          <w:rFonts w:hint="eastAsia" w:ascii="仿宋_GB2312" w:hAnsi="仿宋_GB2312" w:eastAsia="仿宋_GB2312" w:cs="仿宋_GB2312"/>
          <w:color w:val="auto"/>
          <w:sz w:val="32"/>
          <w:szCs w:val="32"/>
          <w:lang w:val="en-US" w:eastAsia="zh-CN"/>
        </w:rPr>
        <w:t>12.4”、“冬奥会”</w:t>
      </w:r>
      <w:r>
        <w:rPr>
          <w:rFonts w:hint="eastAsia" w:ascii="仿宋_GB2312" w:hAnsi="仿宋_GB2312" w:eastAsia="仿宋_GB2312" w:cs="仿宋_GB2312"/>
          <w:color w:val="auto"/>
          <w:sz w:val="32"/>
          <w:szCs w:val="32"/>
          <w:lang w:val="zh-CN"/>
        </w:rPr>
        <w:t>等</w:t>
      </w:r>
      <w:r>
        <w:rPr>
          <w:rFonts w:hint="eastAsia" w:ascii="仿宋_GB2312" w:hAnsi="仿宋_GB2312" w:eastAsia="仿宋_GB2312" w:cs="仿宋_GB2312"/>
          <w:color w:val="auto"/>
          <w:sz w:val="32"/>
          <w:szCs w:val="32"/>
          <w:lang w:val="en-US" w:eastAsia="zh-CN"/>
        </w:rPr>
        <w:t>9期</w:t>
      </w:r>
      <w:r>
        <w:rPr>
          <w:rFonts w:hint="eastAsia" w:ascii="仿宋_GB2312" w:hAnsi="仿宋_GB2312" w:eastAsia="仿宋_GB2312" w:cs="仿宋_GB2312"/>
          <w:b w:val="0"/>
          <w:color w:val="auto"/>
          <w:sz w:val="32"/>
          <w:szCs w:val="32"/>
        </w:rPr>
        <w:t>主题</w:t>
      </w:r>
      <w:r>
        <w:rPr>
          <w:rFonts w:hint="eastAsia" w:ascii="仿宋_GB2312" w:hAnsi="仿宋_GB2312" w:eastAsia="仿宋_GB2312" w:cs="仿宋_GB2312"/>
          <w:b w:val="0"/>
          <w:color w:val="auto"/>
          <w:sz w:val="32"/>
          <w:szCs w:val="32"/>
          <w:lang w:eastAsia="zh-CN"/>
        </w:rPr>
        <w:t>普法</w:t>
      </w:r>
      <w:r>
        <w:rPr>
          <w:rFonts w:hint="eastAsia" w:ascii="仿宋_GB2312" w:hAnsi="仿宋_GB2312" w:eastAsia="仿宋_GB2312" w:cs="仿宋_GB2312"/>
          <w:b w:val="0"/>
          <w:color w:val="auto"/>
          <w:sz w:val="32"/>
          <w:szCs w:val="32"/>
        </w:rPr>
        <w:t>宣传活动</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b w:val="0"/>
          <w:color w:val="auto"/>
          <w:sz w:val="32"/>
          <w:szCs w:val="32"/>
        </w:rPr>
        <w:t>线上在</w:t>
      </w:r>
      <w:r>
        <w:rPr>
          <w:rFonts w:hint="eastAsia" w:ascii="仿宋_GB2312" w:hAnsi="仿宋_GB2312" w:eastAsia="仿宋_GB2312" w:cs="仿宋_GB2312"/>
          <w:b w:val="0"/>
          <w:color w:val="auto"/>
          <w:sz w:val="32"/>
          <w:szCs w:val="32"/>
          <w:lang w:eastAsia="zh-CN"/>
        </w:rPr>
        <w:t>城管</w:t>
      </w:r>
      <w:r>
        <w:rPr>
          <w:rFonts w:hint="eastAsia" w:ascii="仿宋_GB2312" w:hAnsi="仿宋_GB2312" w:eastAsia="仿宋_GB2312" w:cs="仿宋_GB2312"/>
          <w:b w:val="0"/>
          <w:color w:val="auto"/>
          <w:sz w:val="32"/>
          <w:szCs w:val="32"/>
        </w:rPr>
        <w:t>公众号上发表</w:t>
      </w:r>
      <w:r>
        <w:rPr>
          <w:rFonts w:hint="eastAsia" w:ascii="仿宋_GB2312" w:hAnsi="仿宋_GB2312" w:eastAsia="仿宋_GB2312" w:cs="仿宋_GB2312"/>
          <w:b w:val="0"/>
          <w:color w:val="auto"/>
          <w:sz w:val="32"/>
          <w:szCs w:val="32"/>
          <w:lang w:eastAsia="zh-CN"/>
        </w:rPr>
        <w:t>普法</w:t>
      </w:r>
      <w:r>
        <w:rPr>
          <w:rFonts w:hint="eastAsia" w:ascii="仿宋_GB2312" w:hAnsi="仿宋_GB2312" w:eastAsia="仿宋_GB2312" w:cs="仿宋_GB2312"/>
          <w:b w:val="0"/>
          <w:color w:val="auto"/>
          <w:sz w:val="32"/>
          <w:szCs w:val="32"/>
        </w:rPr>
        <w:t>文章</w:t>
      </w:r>
      <w:r>
        <w:rPr>
          <w:rFonts w:hint="eastAsia" w:ascii="仿宋_GB2312" w:hAnsi="仿宋_GB2312" w:eastAsia="仿宋_GB2312" w:cs="仿宋_GB2312"/>
          <w:b w:val="0"/>
          <w:color w:val="auto"/>
          <w:sz w:val="32"/>
          <w:szCs w:val="32"/>
          <w:lang w:val="en-US" w:eastAsia="zh-CN"/>
        </w:rPr>
        <w:t>12期</w:t>
      </w:r>
      <w:r>
        <w:rPr>
          <w:rFonts w:hint="eastAsia" w:ascii="仿宋_GB2312" w:hAnsi="仿宋_GB2312" w:eastAsia="仿宋_GB2312" w:cs="仿宋_GB2312"/>
          <w:b w:val="0"/>
          <w:color w:val="auto"/>
          <w:sz w:val="32"/>
          <w:szCs w:val="32"/>
          <w:lang w:eastAsia="zh-CN"/>
        </w:rPr>
        <w:t>；在微信企业号开设普法园地，普及民法典、宪法知识</w:t>
      </w:r>
      <w:r>
        <w:rPr>
          <w:rFonts w:hint="eastAsia" w:ascii="仿宋_GB2312" w:hAnsi="仿宋_GB2312" w:eastAsia="仿宋_GB2312" w:cs="仿宋_GB2312"/>
          <w:b w:val="0"/>
          <w:color w:val="auto"/>
          <w:sz w:val="32"/>
          <w:szCs w:val="32"/>
          <w:lang w:val="en-US" w:eastAsia="zh-CN"/>
        </w:rPr>
        <w:t>53期；</w:t>
      </w:r>
      <w:r>
        <w:rPr>
          <w:rFonts w:hint="eastAsia" w:ascii="仿宋_GB2312" w:hAnsi="仿宋_GB2312" w:eastAsia="仿宋_GB2312" w:cs="仿宋_GB2312"/>
          <w:b w:val="0"/>
          <w:color w:val="auto"/>
          <w:sz w:val="32"/>
          <w:szCs w:val="32"/>
          <w:lang w:eastAsia="zh-CN"/>
        </w:rPr>
        <w:t>与“朝阳普法”公众号对接，组织全员积极参与互动。</w:t>
      </w:r>
      <w:r>
        <w:rPr>
          <w:rFonts w:hint="eastAsia" w:ascii="仿宋_GB2312" w:hAnsi="仿宋_GB2312" w:eastAsia="仿宋_GB2312" w:cs="仿宋_GB2312"/>
          <w:b w:val="0"/>
          <w:color w:val="auto"/>
          <w:sz w:val="32"/>
          <w:szCs w:val="32"/>
        </w:rPr>
        <w:t>线下</w:t>
      </w:r>
      <w:r>
        <w:rPr>
          <w:rFonts w:hint="eastAsia" w:ascii="仿宋_GB2312" w:hAnsi="仿宋_GB2312" w:eastAsia="仿宋_GB2312" w:cs="仿宋_GB2312"/>
          <w:b w:val="0"/>
          <w:color w:val="auto"/>
          <w:sz w:val="32"/>
          <w:szCs w:val="32"/>
          <w:lang w:eastAsia="zh-CN"/>
        </w:rPr>
        <w:t>在局机关张贴普法海报；</w:t>
      </w:r>
      <w:r>
        <w:rPr>
          <w:rFonts w:hint="eastAsia" w:ascii="仿宋_GB2312" w:hAnsi="仿宋_GB2312" w:eastAsia="仿宋_GB2312" w:cs="仿宋_GB2312"/>
          <w:color w:val="auto"/>
          <w:sz w:val="32"/>
          <w:szCs w:val="32"/>
        </w:rPr>
        <w:t>电子屏显示普法宣传语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电视滚动播放普法宣传片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color w:val="auto"/>
          <w:sz w:val="32"/>
          <w:szCs w:val="32"/>
          <w:lang w:eastAsia="zh-CN"/>
        </w:rPr>
        <w:t>开展答题竞猜；</w:t>
      </w:r>
      <w:r>
        <w:rPr>
          <w:rFonts w:hint="eastAsia" w:ascii="仿宋_GB2312" w:hAnsi="仿宋_GB2312" w:eastAsia="仿宋_GB2312" w:cs="仿宋_GB2312"/>
          <w:b w:val="0"/>
          <w:color w:val="auto"/>
          <w:sz w:val="32"/>
          <w:szCs w:val="32"/>
        </w:rPr>
        <w:t>招募志愿者</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rPr>
        <w:t>携手各街、乡综合执法队设置宣传站点，共发布项目</w:t>
      </w:r>
      <w:r>
        <w:rPr>
          <w:rFonts w:hint="eastAsia" w:ascii="仿宋_GB2312" w:hAnsi="仿宋_GB2312" w:eastAsia="仿宋_GB2312" w:cs="仿宋_GB2312"/>
          <w:b w:val="0"/>
          <w:color w:val="auto"/>
          <w:sz w:val="32"/>
          <w:szCs w:val="32"/>
          <w:lang w:val="en-US" w:eastAsia="zh-CN"/>
        </w:rPr>
        <w:t>37</w:t>
      </w:r>
      <w:r>
        <w:rPr>
          <w:rFonts w:hint="eastAsia" w:ascii="仿宋_GB2312" w:hAnsi="仿宋_GB2312" w:eastAsia="仿宋_GB2312" w:cs="仿宋_GB2312"/>
          <w:b w:val="0"/>
          <w:color w:val="auto"/>
          <w:sz w:val="32"/>
          <w:szCs w:val="32"/>
        </w:rPr>
        <w:t>个，新招募志愿者</w:t>
      </w:r>
      <w:r>
        <w:rPr>
          <w:rFonts w:hint="eastAsia" w:ascii="仿宋_GB2312" w:hAnsi="仿宋_GB2312" w:eastAsia="仿宋_GB2312" w:cs="仿宋_GB2312"/>
          <w:b w:val="0"/>
          <w:color w:val="auto"/>
          <w:sz w:val="32"/>
          <w:szCs w:val="32"/>
          <w:lang w:val="en-US" w:eastAsia="zh-CN"/>
        </w:rPr>
        <w:t>74</w:t>
      </w:r>
      <w:r>
        <w:rPr>
          <w:rFonts w:hint="eastAsia" w:ascii="仿宋_GB2312" w:hAnsi="仿宋_GB2312" w:eastAsia="仿宋_GB2312" w:cs="仿宋_GB2312"/>
          <w:b w:val="0"/>
          <w:color w:val="auto"/>
          <w:sz w:val="32"/>
          <w:szCs w:val="32"/>
        </w:rPr>
        <w:t>人</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color w:val="auto"/>
          <w:sz w:val="32"/>
          <w:szCs w:val="32"/>
        </w:rPr>
        <w:t>取得了较好</w:t>
      </w:r>
      <w:r>
        <w:rPr>
          <w:rFonts w:hint="eastAsia" w:ascii="仿宋_GB2312" w:hAnsi="仿宋_GB2312" w:eastAsia="仿宋_GB2312" w:cs="仿宋_GB2312"/>
          <w:color w:val="auto"/>
          <w:sz w:val="32"/>
          <w:szCs w:val="32"/>
          <w:lang w:eastAsia="zh-CN"/>
        </w:rPr>
        <w:t>的宣传</w:t>
      </w:r>
      <w:r>
        <w:rPr>
          <w:rFonts w:hint="eastAsia" w:ascii="仿宋_GB2312" w:hAnsi="仿宋_GB2312" w:eastAsia="仿宋_GB2312" w:cs="仿宋_GB2312"/>
          <w:color w:val="auto"/>
          <w:sz w:val="32"/>
          <w:szCs w:val="32"/>
        </w:rPr>
        <w:t>效果。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2.以案释法讲好“城管故事”。</w:t>
      </w:r>
      <w:r>
        <w:rPr>
          <w:rFonts w:hint="eastAsia" w:ascii="仿宋_GB2312" w:hAnsi="仿宋_GB2312" w:eastAsia="仿宋_GB2312" w:cs="仿宋_GB2312"/>
          <w:b w:val="0"/>
          <w:bCs w:val="0"/>
          <w:color w:val="auto"/>
          <w:sz w:val="32"/>
          <w:szCs w:val="32"/>
        </w:rPr>
        <w:t>每季度向各执法队征集执法案例，从中提取具有推广或警示意义的典型案例予以分析，</w:t>
      </w:r>
      <w:r>
        <w:rPr>
          <w:rFonts w:hint="eastAsia" w:ascii="仿宋_GB2312" w:hAnsi="仿宋_GB2312" w:eastAsia="仿宋_GB2312" w:cs="仿宋_GB2312"/>
          <w:b w:val="0"/>
          <w:bCs w:val="0"/>
          <w:color w:val="auto"/>
          <w:sz w:val="32"/>
          <w:szCs w:val="32"/>
          <w:lang w:eastAsia="zh-CN"/>
        </w:rPr>
        <w:t>撰写</w:t>
      </w:r>
      <w:r>
        <w:rPr>
          <w:rFonts w:hint="eastAsia" w:ascii="仿宋_GB2312" w:hAnsi="仿宋_GB2312" w:eastAsia="仿宋_GB2312" w:cs="仿宋_GB2312"/>
          <w:b w:val="0"/>
          <w:bCs w:val="0"/>
          <w:color w:val="auto"/>
          <w:sz w:val="32"/>
          <w:szCs w:val="32"/>
        </w:rPr>
        <w:t>案例分析</w:t>
      </w: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篇</w:t>
      </w:r>
      <w:r>
        <w:rPr>
          <w:rFonts w:hint="eastAsia" w:ascii="仿宋_GB2312" w:hAnsi="仿宋_GB2312" w:eastAsia="仿宋_GB2312" w:cs="仿宋_GB2312"/>
          <w:b w:val="0"/>
          <w:bCs w:val="0"/>
          <w:color w:val="auto"/>
          <w:sz w:val="32"/>
          <w:szCs w:val="32"/>
          <w:lang w:eastAsia="zh-CN"/>
        </w:rPr>
        <w:t>、制作</w:t>
      </w:r>
      <w:r>
        <w:rPr>
          <w:rFonts w:hint="eastAsia" w:ascii="仿宋_GB2312" w:hAnsi="仿宋_GB2312" w:eastAsia="仿宋_GB2312" w:cs="仿宋_GB2312"/>
          <w:b w:val="0"/>
          <w:bCs w:val="0"/>
          <w:color w:val="auto"/>
          <w:sz w:val="32"/>
          <w:szCs w:val="32"/>
          <w:lang w:val="en-US" w:eastAsia="zh-CN"/>
        </w:rPr>
        <w:t>19本案由的参考卷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通过</w:t>
      </w:r>
      <w:r>
        <w:rPr>
          <w:rFonts w:hint="eastAsia" w:ascii="仿宋_GB2312" w:hAnsi="仿宋_GB2312" w:eastAsia="仿宋_GB2312" w:cs="仿宋_GB2312"/>
          <w:b w:val="0"/>
          <w:bCs w:val="0"/>
          <w:color w:val="auto"/>
          <w:sz w:val="32"/>
          <w:szCs w:val="32"/>
          <w:lang w:val="en-US" w:eastAsia="zh-CN"/>
        </w:rPr>
        <w:t>动画、案例实拍等</w:t>
      </w:r>
      <w:r>
        <w:rPr>
          <w:rFonts w:hint="eastAsia" w:ascii="仿宋_GB2312" w:hAnsi="仿宋_GB2312" w:eastAsia="仿宋_GB2312" w:cs="仿宋_GB2312"/>
          <w:b w:val="0"/>
          <w:bCs w:val="0"/>
          <w:color w:val="auto"/>
          <w:sz w:val="32"/>
          <w:szCs w:val="32"/>
          <w:lang w:eastAsia="zh-CN"/>
        </w:rPr>
        <w:t>形式拍摄</w:t>
      </w:r>
      <w:r>
        <w:rPr>
          <w:rFonts w:hint="eastAsia" w:ascii="仿宋_GB2312" w:hAnsi="仿宋_GB2312" w:eastAsia="仿宋_GB2312" w:cs="仿宋_GB2312"/>
          <w:color w:val="auto"/>
          <w:sz w:val="32"/>
          <w:szCs w:val="32"/>
          <w:lang w:val="en-US" w:eastAsia="zh-CN"/>
        </w:rPr>
        <w:t>城管业务课程库，目前已纳入课程51门92节，</w:t>
      </w:r>
      <w:r>
        <w:rPr>
          <w:rFonts w:hint="eastAsia" w:ascii="仿宋_GB2312" w:hAnsi="仿宋_GB2312" w:eastAsia="仿宋_GB2312" w:cs="仿宋_GB2312"/>
          <w:color w:val="auto"/>
          <w:sz w:val="32"/>
          <w:szCs w:val="32"/>
          <w:highlight w:val="none"/>
          <w:lang w:val="zh-CN" w:eastAsia="zh-CN"/>
        </w:rPr>
        <w:t>面向市局及兄弟单位分享课程</w:t>
      </w:r>
      <w:r>
        <w:rPr>
          <w:rFonts w:hint="eastAsia" w:ascii="仿宋_GB2312" w:hAnsi="仿宋_GB2312" w:eastAsia="仿宋_GB2312" w:cs="仿宋_GB2312"/>
          <w:color w:val="auto"/>
          <w:kern w:val="2"/>
          <w:sz w:val="32"/>
          <w:szCs w:val="32"/>
          <w:highlight w:val="none"/>
          <w:lang w:val="en-US" w:eastAsia="zh-CN" w:bidi="ar-SA"/>
        </w:rPr>
        <w:t>近30</w:t>
      </w:r>
      <w:r>
        <w:rPr>
          <w:rFonts w:hint="eastAsia" w:ascii="仿宋_GB2312" w:hAnsi="仿宋_GB2312" w:eastAsia="仿宋_GB2312" w:cs="仿宋_GB2312"/>
          <w:color w:val="auto"/>
          <w:sz w:val="32"/>
          <w:szCs w:val="32"/>
          <w:highlight w:val="none"/>
          <w:lang w:val="en-US" w:eastAsia="zh-CN"/>
        </w:rPr>
        <w:t>节；</w:t>
      </w:r>
      <w:r>
        <w:rPr>
          <w:rFonts w:hint="eastAsia" w:ascii="仿宋_GB2312" w:hAnsi="仿宋_GB2312" w:eastAsia="仿宋_GB2312" w:cs="仿宋_GB2312"/>
          <w:b w:val="0"/>
          <w:bCs w:val="0"/>
          <w:color w:val="auto"/>
          <w:sz w:val="32"/>
          <w:szCs w:val="32"/>
        </w:rPr>
        <w:t>在城管公众号开辟“城城课堂”栏目，</w:t>
      </w:r>
      <w:r>
        <w:rPr>
          <w:rFonts w:hint="eastAsia" w:ascii="仿宋_GB2312" w:hAnsi="仿宋_GB2312" w:eastAsia="仿宋_GB2312" w:cs="仿宋_GB2312"/>
          <w:b w:val="0"/>
          <w:bCs w:val="0"/>
          <w:color w:val="auto"/>
          <w:sz w:val="32"/>
          <w:szCs w:val="32"/>
          <w:lang w:eastAsia="zh-CN"/>
        </w:rPr>
        <w:t>借助具体执法</w:t>
      </w:r>
      <w:r>
        <w:rPr>
          <w:rFonts w:hint="eastAsia" w:ascii="仿宋_GB2312" w:hAnsi="仿宋_GB2312" w:eastAsia="仿宋_GB2312" w:cs="仿宋_GB2312"/>
          <w:b w:val="0"/>
          <w:bCs w:val="0"/>
          <w:color w:val="auto"/>
          <w:sz w:val="32"/>
          <w:szCs w:val="32"/>
        </w:rPr>
        <w:t>案例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用轻松诙谐的网络语言将枯燥难懂的法律法规普及给群众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受到粉丝的广泛关注</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baseline"/>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（六）有效化解社会矛盾纠纷，维护人民群众合法权益</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依法做好行政应诉</w:t>
      </w:r>
      <w:r>
        <w:rPr>
          <w:rFonts w:hint="eastAsia" w:ascii="仿宋_GB2312" w:hAnsi="仿宋_GB2312" w:eastAsia="仿宋_GB2312" w:cs="仿宋_GB2312"/>
          <w:b/>
          <w:bCs/>
          <w:color w:val="auto"/>
          <w:sz w:val="32"/>
          <w:szCs w:val="32"/>
          <w:lang w:eastAsia="zh-CN"/>
        </w:rPr>
        <w:t>、复议答辩</w:t>
      </w:r>
      <w:r>
        <w:rPr>
          <w:rFonts w:hint="eastAsia" w:ascii="仿宋_GB2312" w:hAnsi="仿宋_GB2312" w:eastAsia="仿宋_GB2312" w:cs="仿宋_GB2312"/>
          <w:b/>
          <w:bCs/>
          <w:color w:val="auto"/>
          <w:sz w:val="32"/>
          <w:szCs w:val="32"/>
        </w:rPr>
        <w:t>工作。</w:t>
      </w:r>
      <w:r>
        <w:rPr>
          <w:rFonts w:hint="eastAsia" w:ascii="仿宋_GB2312" w:hAnsi="仿宋_GB2312" w:eastAsia="仿宋_GB2312" w:cs="仿宋_GB2312"/>
          <w:color w:val="auto"/>
          <w:sz w:val="32"/>
          <w:szCs w:val="32"/>
        </w:rPr>
        <w:t>通过采取政府购买服务的方式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委托律师参与代理工作，加强行政应诉</w:t>
      </w:r>
      <w:r>
        <w:rPr>
          <w:rFonts w:hint="eastAsia" w:ascii="仿宋_GB2312" w:hAnsi="仿宋_GB2312" w:eastAsia="仿宋_GB2312" w:cs="仿宋_GB2312"/>
          <w:color w:val="auto"/>
          <w:sz w:val="32"/>
          <w:szCs w:val="32"/>
          <w:lang w:eastAsia="zh-CN"/>
        </w:rPr>
        <w:t>答辩</w:t>
      </w:r>
      <w:r>
        <w:rPr>
          <w:rFonts w:hint="eastAsia" w:ascii="仿宋_GB2312" w:hAnsi="仿宋_GB2312" w:eastAsia="仿宋_GB2312" w:cs="仿宋_GB2312"/>
          <w:color w:val="auto"/>
          <w:sz w:val="32"/>
          <w:szCs w:val="32"/>
        </w:rPr>
        <w:t>力量，提高案件办理的专业性和时效性，确保出庭应诉</w:t>
      </w:r>
      <w:r>
        <w:rPr>
          <w:rFonts w:hint="eastAsia" w:ascii="仿宋_GB2312" w:hAnsi="仿宋_GB2312" w:eastAsia="仿宋_GB2312" w:cs="仿宋_GB2312"/>
          <w:color w:val="auto"/>
          <w:sz w:val="32"/>
          <w:szCs w:val="32"/>
          <w:lang w:eastAsia="zh-CN"/>
        </w:rPr>
        <w:t>、答辩</w:t>
      </w:r>
      <w:r>
        <w:rPr>
          <w:rFonts w:hint="eastAsia" w:ascii="仿宋_GB2312" w:hAnsi="仿宋_GB2312" w:eastAsia="仿宋_GB2312" w:cs="仿宋_GB2312"/>
          <w:color w:val="auto"/>
          <w:sz w:val="32"/>
          <w:szCs w:val="32"/>
        </w:rPr>
        <w:t>工作的质量和效果。</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lang w:val="en-US" w:eastAsia="zh-CN"/>
        </w:rPr>
        <w:t>共</w:t>
      </w:r>
      <w:r>
        <w:rPr>
          <w:rFonts w:hint="eastAsia" w:ascii="仿宋_GB2312" w:hAnsi="仿宋_GB2312" w:eastAsia="仿宋_GB2312" w:cs="仿宋_GB2312"/>
          <w:color w:val="auto"/>
          <w:sz w:val="32"/>
          <w:szCs w:val="32"/>
          <w:lang w:val="zh-CN" w:eastAsia="zh-CN"/>
        </w:rPr>
        <w:t>发生行政诉讼案件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zh-CN" w:eastAsia="zh-CN"/>
        </w:rPr>
        <w:t>起、复议案件</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eastAsia="zh-CN"/>
        </w:rPr>
        <w:t>起，</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下降</w:t>
      </w:r>
      <w:r>
        <w:rPr>
          <w:rFonts w:hint="eastAsia" w:ascii="仿宋_GB2312" w:hAnsi="仿宋_GB2312" w:eastAsia="仿宋_GB2312" w:cs="仿宋_GB2312"/>
          <w:color w:val="auto"/>
          <w:sz w:val="32"/>
          <w:szCs w:val="32"/>
          <w:lang w:val="en-US" w:eastAsia="zh-CN"/>
        </w:rPr>
        <w:t>69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上述案件无迟延提交答辩、贻误出庭现象，并严格落实行政机关负责人出庭应诉的要求，以主管副局长作为行政机关负责人出庭应诉</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次。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jc w:val="both"/>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highlight w:val="none"/>
        </w:rPr>
        <w:t>加强和改进信访工作。</w:t>
      </w:r>
      <w:r>
        <w:rPr>
          <w:rFonts w:hint="eastAsia" w:ascii="仿宋_GB2312" w:hAnsi="仿宋_GB2312" w:eastAsia="仿宋_GB2312" w:cs="仿宋_GB2312"/>
          <w:color w:val="auto"/>
          <w:sz w:val="32"/>
          <w:szCs w:val="32"/>
          <w:highlight w:val="none"/>
        </w:rPr>
        <w:t>积极适应新时代社会主要矛盾新变化，坚持以人民为中心，以依法及时就地解决群众合理诉求为根本，继续深化阳光信访、责任信访、法治信访，健全完善工作环节，畅通信访通道，对矛盾纠纷逐级排查，层层分解，使其化解在萌芽状态，共收群众来信来访</w:t>
      </w: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color w:val="auto"/>
          <w:sz w:val="32"/>
          <w:szCs w:val="32"/>
          <w:highlight w:val="none"/>
        </w:rPr>
        <w:t>件，同比下降</w:t>
      </w:r>
      <w:r>
        <w:rPr>
          <w:rFonts w:hint="eastAsia" w:ascii="仿宋_GB2312" w:hAnsi="仿宋_GB2312" w:eastAsia="仿宋_GB2312" w:cs="仿宋_GB2312"/>
          <w:color w:val="auto"/>
          <w:sz w:val="32"/>
          <w:szCs w:val="32"/>
          <w:highlight w:val="none"/>
          <w:lang w:val="en-US" w:eastAsia="zh-CN"/>
        </w:rPr>
        <w:t>60.48</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pacing w:line="520" w:lineRule="exact"/>
        <w:ind w:left="0" w:leftChars="0" w:right="0" w:rightChars="0" w:firstLine="640"/>
        <w:jc w:val="both"/>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工作亮点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仿宋_GB2312" w:hAnsi="仿宋_GB2312" w:eastAsia="仿宋_GB2312" w:cs="仿宋_GB2312"/>
          <w:color w:val="FF0000"/>
          <w:sz w:val="32"/>
          <w:szCs w:val="32"/>
          <w:highlight w:val="red"/>
          <w:shd w:val="clear" w:color="auto" w:fill="auto"/>
          <w:lang w:eastAsia="zh-CN"/>
        </w:rPr>
      </w:pPr>
      <w:r>
        <w:rPr>
          <w:rFonts w:hint="eastAsia" w:ascii="仿宋_GB2312" w:hAnsi="仿宋_GB2312" w:eastAsia="仿宋_GB2312" w:cs="仿宋_GB2312"/>
          <w:b/>
          <w:bCs w:val="0"/>
          <w:color w:val="000000"/>
          <w:sz w:val="32"/>
          <w:szCs w:val="32"/>
          <w:lang w:eastAsia="zh-CN"/>
        </w:rPr>
        <w:t>（一）</w:t>
      </w:r>
      <w:r>
        <w:rPr>
          <w:rFonts w:hint="eastAsia" w:ascii="仿宋_GB2312" w:hAnsi="仿宋_GB2312" w:eastAsia="仿宋_GB2312" w:cs="仿宋_GB2312"/>
          <w:b/>
          <w:bCs w:val="0"/>
          <w:color w:val="000000"/>
          <w:sz w:val="32"/>
          <w:szCs w:val="32"/>
        </w:rPr>
        <w:t>围绕中心服务大局，全面提升重大活动环境保障水平</w:t>
      </w:r>
      <w:r>
        <w:rPr>
          <w:rFonts w:hint="eastAsia" w:ascii="仿宋_GB2312" w:hAnsi="仿宋_GB2312" w:eastAsia="仿宋_GB2312" w:cs="仿宋_GB2312"/>
          <w:b/>
          <w:bCs w:val="0"/>
          <w:color w:val="000000"/>
          <w:sz w:val="32"/>
          <w:szCs w:val="32"/>
          <w:lang w:eastAsia="zh-CN"/>
        </w:rPr>
        <w:t>。</w:t>
      </w:r>
      <w:r>
        <w:rPr>
          <w:rFonts w:hint="eastAsia" w:ascii="仿宋_GB2312" w:hAnsi="仿宋_GB2312" w:eastAsia="仿宋_GB2312" w:cs="仿宋_GB2312"/>
          <w:sz w:val="32"/>
          <w:szCs w:val="32"/>
          <w:lang w:eastAsia="zh-CN"/>
        </w:rPr>
        <w:t>为做好</w:t>
      </w:r>
      <w:r>
        <w:rPr>
          <w:rFonts w:hint="eastAsia" w:ascii="仿宋_GB2312" w:hAnsi="仿宋_GB2312" w:eastAsia="仿宋_GB2312" w:cs="仿宋_GB2312"/>
          <w:sz w:val="32"/>
          <w:szCs w:val="32"/>
        </w:rPr>
        <w:t>建党一百周年庆祝活动和北京冬奥会</w:t>
      </w:r>
      <w:r>
        <w:rPr>
          <w:rFonts w:hint="eastAsia" w:ascii="仿宋_GB2312" w:hAnsi="仿宋_GB2312" w:eastAsia="仿宋_GB2312" w:cs="仿宋_GB2312"/>
          <w:sz w:val="32"/>
          <w:szCs w:val="32"/>
          <w:lang w:eastAsia="zh-CN"/>
        </w:rPr>
        <w:t>、冬残奥会“两件大事”环境秩序保障工作，</w:t>
      </w:r>
      <w:r>
        <w:rPr>
          <w:rFonts w:hint="eastAsia" w:ascii="仿宋_GB2312" w:hAnsi="仿宋_GB2312" w:eastAsia="仿宋_GB2312" w:cs="仿宋_GB2312"/>
          <w:sz w:val="32"/>
          <w:szCs w:val="32"/>
        </w:rPr>
        <w:t>按照市、区指挥部工作安排，我局成立工作专班，以奥运核心区为重点，辐射各主要道路和活动联络线，坚持打防管控并重，先期开展秩序问题和安全隐患拉网式排查，积极开展市容环境秩序专项治理工作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在冬奥会开闭幕式对应期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冬奥测试赛</w:t>
      </w:r>
      <w:r>
        <w:rPr>
          <w:rFonts w:hint="eastAsia" w:ascii="仿宋_GB2312" w:hAnsi="仿宋_GB2312" w:eastAsia="仿宋_GB2312" w:cs="仿宋_GB2312"/>
          <w:sz w:val="32"/>
          <w:szCs w:val="32"/>
          <w:lang w:eastAsia="zh-CN"/>
        </w:rPr>
        <w:t>期间和重要会议、</w:t>
      </w:r>
      <w:r>
        <w:rPr>
          <w:rFonts w:hint="eastAsia" w:ascii="仿宋_GB2312" w:hAnsi="仿宋_GB2312" w:eastAsia="仿宋_GB2312" w:cs="仿宋_GB2312"/>
          <w:sz w:val="32"/>
          <w:szCs w:val="32"/>
        </w:rPr>
        <w:t>重要节假日期间，统筹调配全区执法力量，以固定点位盯守和流动区域巡查相结合的方式，加大赛场驻地、重点场所、途经路线等活动涉及地区的巡查频次和执法力度，圆满完成各项保障任务。在挂销账工作中，聚焦难点、痛点问题，对京藏高速健德桥周边无照游商，奥运中心区域共享单车、机动车和旅游大巴乱停放的高发问题，联合交通、文旅、奥管委和属地街道开展多部门错时巡查和联合执法活动，取得了良好效果</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color w:val="auto"/>
          <w:sz w:val="32"/>
          <w:szCs w:val="32"/>
          <w:highlight w:val="none"/>
          <w:shd w:val="clear" w:color="auto" w:fill="auto"/>
        </w:rPr>
        <w:t>今年以来，累计出动综合执法人员6.1万人次，检查环境秩序、市容景观、施工工地等相关点位17293个，开展集中整治1712次，治理乱点1580个。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sz w:val="32"/>
          <w:szCs w:val="32"/>
          <w:lang w:val="zh-CN"/>
        </w:rPr>
        <w:t>完善工作机制，确保执法工作高效运转。</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统筹指导、综合协调、教育培训、督察考核等配套制度，推动形成执法整体合力。</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铺好业务“奠基石”，落实市区部署，逐一制定方案，细化工作措施，紧抓教育培训，明确街乡“干什么”；</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找准工作“风向标”，结合冬奥测试赛、两会保障等重点时期，以“接诉即办每月一题”、提升群众安全感、背街小巷治理、地铁口周边治理等综合性工作为引领，促进专项执法的开展，指导街乡“怎么干”；</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用好考核“指挥棒”，调整优化对街乡专项执法工作的考核细则，制发扬尘、燃气类专项通报，评优评劣，引导街乡“好好干”；</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当好“绣花针”，建立燃气隐患区级联合检查机制，探索工地扬尘污染防治联防机制，巩固部门间台账共享、信息互通、数据报送、线索转办、案件移送机制，推进联合督导、联合执法常态化，畅通“市区街”三级纵向贯穿，做好“部门、街乡”间“穿针引线”，实现专项工作全区“一块干”。</w:t>
      </w:r>
    </w:p>
    <w:p>
      <w:pPr>
        <w:pStyle w:val="2"/>
        <w:keepNext w:val="0"/>
        <w:keepLines w:val="0"/>
        <w:pageBreakBefore w:val="0"/>
        <w:numPr>
          <w:ilvl w:val="0"/>
          <w:numId w:val="0"/>
        </w:numPr>
        <w:kinsoku/>
        <w:wordWrap/>
        <w:overflowPunct/>
        <w:topLinePunct w:val="0"/>
        <w:autoSpaceDE/>
        <w:autoSpaceDN/>
        <w:bidi w:val="0"/>
        <w:adjustRightInd/>
        <w:spacing w:after="0" w:line="520" w:lineRule="exact"/>
        <w:ind w:left="0" w:leftChars="0" w:right="0" w:rightChars="0"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不断探索，</w:t>
      </w:r>
      <w:r>
        <w:rPr>
          <w:rFonts w:hint="eastAsia" w:ascii="仿宋_GB2312" w:hAnsi="仿宋_GB2312" w:eastAsia="仿宋_GB2312" w:cs="仿宋_GB2312"/>
          <w:b/>
          <w:bCs/>
          <w:sz w:val="32"/>
          <w:szCs w:val="32"/>
          <w:lang w:val="en-US" w:eastAsia="zh-CN"/>
        </w:rPr>
        <w:t>开展城管业务规范化系列项目建设</w:t>
      </w: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sz w:val="32"/>
          <w:szCs w:val="32"/>
          <w:lang w:val="zh-CN" w:eastAsia="zh-CN"/>
        </w:rPr>
        <w:t>为确保职权下放后各项执法业务工作</w:t>
      </w:r>
      <w:r>
        <w:rPr>
          <w:rFonts w:hint="eastAsia" w:ascii="仿宋_GB2312" w:hAnsi="仿宋_GB2312" w:eastAsia="仿宋_GB2312" w:cs="仿宋_GB2312"/>
          <w:sz w:val="32"/>
          <w:szCs w:val="32"/>
          <w:lang w:val="en-US" w:eastAsia="zh-CN"/>
        </w:rPr>
        <w:t>“放得下、接得住、管得好”</w:t>
      </w:r>
      <w:r>
        <w:rPr>
          <w:rFonts w:hint="eastAsia" w:ascii="仿宋_GB2312" w:hAnsi="仿宋_GB2312" w:eastAsia="仿宋_GB2312" w:cs="仿宋_GB2312"/>
          <w:sz w:val="32"/>
          <w:szCs w:val="32"/>
          <w:lang w:val="zh-CN" w:eastAsia="zh-CN"/>
        </w:rPr>
        <w:t>，我局不断探索完善多层次、全方位的培训体系，</w:t>
      </w:r>
      <w:r>
        <w:rPr>
          <w:rFonts w:hint="eastAsia" w:ascii="仿宋_GB2312" w:hAnsi="仿宋_GB2312" w:eastAsia="仿宋_GB2312" w:cs="仿宋_GB2312"/>
          <w:sz w:val="32"/>
          <w:szCs w:val="32"/>
          <w:lang w:val="en-US" w:eastAsia="zh-CN"/>
        </w:rPr>
        <w:t>针对当前工作重点难点问题和干部履职能力建设短板，持续增强网络培训阵地功能，开展城管业务规范化系列项目建设。自主制作贴近实战、易于吸收的5—8分钟精品微课，通过视频、动画、案例等方式阐明某个专项执法的主要流程、关键环节和注意事项，增强课程的针对性、时效性和吸引力，满足即学即用、精准施训的学习需求。</w:t>
      </w:r>
      <w:r>
        <w:rPr>
          <w:rFonts w:hint="eastAsia" w:ascii="仿宋_GB2312" w:hAnsi="仿宋_GB2312" w:eastAsia="仿宋_GB2312" w:cs="仿宋_GB2312"/>
          <w:sz w:val="32"/>
          <w:szCs w:val="32"/>
          <w:highlight w:val="none"/>
          <w:lang w:val="en-US" w:eastAsia="zh-CN"/>
        </w:rPr>
        <w:t>建立了内容丰富、形式多样的城管业务课程库，</w:t>
      </w:r>
      <w:r>
        <w:rPr>
          <w:rFonts w:hint="eastAsia" w:ascii="仿宋_GB2312" w:hAnsi="仿宋_GB2312" w:eastAsia="仿宋_GB2312" w:cs="仿宋_GB2312"/>
          <w:color w:val="auto"/>
          <w:sz w:val="32"/>
          <w:szCs w:val="32"/>
          <w:highlight w:val="none"/>
          <w:lang w:val="en-US" w:eastAsia="zh-CN"/>
        </w:rPr>
        <w:t>目前已纳入课程51门92节，累计培训达3万人次。</w:t>
      </w:r>
    </w:p>
    <w:p>
      <w:pPr>
        <w:pStyle w:val="2"/>
        <w:keepNext w:val="0"/>
        <w:keepLines w:val="0"/>
        <w:pageBreakBefore w:val="0"/>
        <w:numPr>
          <w:ilvl w:val="0"/>
          <w:numId w:val="0"/>
        </w:numPr>
        <w:kinsoku/>
        <w:wordWrap/>
        <w:overflowPunct/>
        <w:topLinePunct w:val="0"/>
        <w:autoSpaceDE/>
        <w:autoSpaceDN/>
        <w:bidi w:val="0"/>
        <w:adjustRightInd/>
        <w:spacing w:after="0" w:line="520" w:lineRule="exact"/>
        <w:ind w:left="0" w:leftChars="0" w:right="0" w:rightChars="0" w:firstLine="640"/>
        <w:jc w:val="both"/>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三、法治政府建设中存在的不足</w:t>
      </w:r>
    </w:p>
    <w:p>
      <w:pPr>
        <w:pStyle w:val="2"/>
        <w:keepNext w:val="0"/>
        <w:keepLines w:val="0"/>
        <w:pageBreakBefore w:val="0"/>
        <w:numPr>
          <w:ilvl w:val="0"/>
          <w:numId w:val="0"/>
        </w:numPr>
        <w:kinsoku/>
        <w:wordWrap/>
        <w:overflowPunct/>
        <w:topLinePunct w:val="0"/>
        <w:autoSpaceDE/>
        <w:autoSpaceDN/>
        <w:bidi w:val="0"/>
        <w:adjustRightInd/>
        <w:spacing w:after="0" w:line="520" w:lineRule="exact"/>
        <w:ind w:left="0" w:leftChars="0" w:right="0" w:righ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少数干部对法治政府建设工作重要性缺乏足够认识，统筹谋划业务工作与法治政府建设工作上思路不广、措施不活；二是法律法规宣传不够到位，普法工作力度仍需加强。对城市管理方面法律法规宣传贯彻不够全面，普法方式相对单调、群众知晓率和宣传覆盖面不够高的问题依然存在，需拓宽思路、创新方式，继续加大力度开展相关普法工作。</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right="0" w:rightChars="0" w:firstLine="640"/>
        <w:jc w:val="both"/>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四、2021年各部门党政主要负责人履行推进法治政府建设第一责任人职责情况</w:t>
      </w:r>
    </w:p>
    <w:p>
      <w:pPr>
        <w:pStyle w:val="2"/>
        <w:keepNext w:val="0"/>
        <w:keepLines w:val="0"/>
        <w:pageBreakBefore w:val="0"/>
        <w:kinsoku/>
        <w:wordWrap/>
        <w:overflowPunct/>
        <w:topLinePunct w:val="0"/>
        <w:autoSpaceDE/>
        <w:autoSpaceDN/>
        <w:bidi w:val="0"/>
        <w:adjustRightInd/>
        <w:spacing w:after="0" w:line="520" w:lineRule="exact"/>
        <w:ind w:left="0" w:leftChars="0" w:right="0" w:rightChars="0"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eastAsia="zh-CN"/>
        </w:rPr>
        <w:t>（一）压实主体责任。</w:t>
      </w:r>
      <w:r>
        <w:rPr>
          <w:rFonts w:hint="eastAsia" w:ascii="仿宋_GB2312" w:hAnsi="仿宋_GB2312" w:eastAsia="仿宋_GB2312" w:cs="仿宋_GB2312"/>
          <w:kern w:val="2"/>
          <w:sz w:val="32"/>
          <w:szCs w:val="32"/>
          <w:lang w:val="en-US" w:eastAsia="zh-CN" w:bidi="ar-SA"/>
        </w:rPr>
        <w:t>根据区委《关于全面推进朝阳区法治建设的实施意见》和《朝阳区党政主要负责人履行推进法治建设第一责任人职责的实施细则》要求，局法治政府建设组织领导落实到位，党政主要负责人为法治政府建设第一责任人，对法治政府建设重点工作亲自研究部署、亲自推动落实。将法治政府建设纳入年度重点工作计划，年初制定了《普法依法治理工作要点》《推进法治政府建设工作要点》，落实到具体责任部门，并牵头督办检查，形成报告，使法治政府建设工作做到不疏不漏、有效衔接、相互补台，高效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（二）加强队伍建设。</w:t>
      </w:r>
      <w:r>
        <w:rPr>
          <w:rFonts w:hint="eastAsia" w:ascii="仿宋_GB2312" w:hAnsi="仿宋_GB2312" w:eastAsia="仿宋_GB2312" w:cs="仿宋_GB2312"/>
          <w:color w:val="auto"/>
          <w:sz w:val="32"/>
          <w:szCs w:val="32"/>
          <w:lang w:eastAsia="zh-CN"/>
        </w:rPr>
        <w:t>坚持重视法治素养和法治能力的用人导向，今年组织选拔招录城管队员75人，职级晋升</w:t>
      </w:r>
      <w:r>
        <w:rPr>
          <w:rFonts w:hint="eastAsia" w:ascii="仿宋_GB2312" w:hAnsi="仿宋_GB2312" w:eastAsia="仿宋_GB2312" w:cs="仿宋_GB2312"/>
          <w:color w:val="auto"/>
          <w:sz w:val="32"/>
          <w:szCs w:val="32"/>
          <w:lang w:val="en-US" w:eastAsia="zh-CN"/>
        </w:rPr>
        <w:t>13人</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bCs/>
          <w:color w:val="auto"/>
          <w:sz w:val="32"/>
          <w:szCs w:val="32"/>
        </w:rPr>
        <w:t>坚持全面依规治党，把学习和遵循党内法规制度作为基础性经常性工作来抓，</w:t>
      </w:r>
      <w:r>
        <w:rPr>
          <w:rFonts w:hint="eastAsia" w:ascii="仿宋_GB2312" w:hAnsi="仿宋_GB2312" w:eastAsia="仿宋_GB2312" w:cs="仿宋_GB2312"/>
          <w:color w:val="auto"/>
          <w:sz w:val="32"/>
          <w:szCs w:val="32"/>
          <w:lang w:eastAsia="zh-CN"/>
        </w:rPr>
        <w:t>加强对重点环节、重点领域、重点岗位人员的规范、管理和监督，</w:t>
      </w:r>
      <w:r>
        <w:rPr>
          <w:rFonts w:hint="eastAsia" w:ascii="Times New Roman" w:hAnsi="Times New Roman" w:eastAsia="仿宋_GB2312" w:cs="Times New Roman"/>
          <w:color w:val="auto"/>
          <w:sz w:val="32"/>
          <w:szCs w:val="32"/>
          <w:lang w:eastAsia="zh-CN"/>
        </w:rPr>
        <w:t>今年</w:t>
      </w:r>
      <w:r>
        <w:rPr>
          <w:rFonts w:hint="eastAsia" w:ascii="仿宋_GB2312" w:hAnsi="仿宋_GB2312" w:eastAsia="仿宋_GB2312" w:cs="仿宋_GB2312"/>
          <w:color w:val="auto"/>
          <w:sz w:val="32"/>
          <w:szCs w:val="32"/>
          <w:lang w:eastAsia="zh-CN"/>
        </w:rPr>
        <w:t>开展廉政提醒教育</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lang w:eastAsia="zh-CN"/>
        </w:rPr>
        <w:t>次，指导运用监督执纪“第一种形态”约谈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人次</w:t>
      </w:r>
      <w:r>
        <w:rPr>
          <w:rFonts w:hint="eastAsia" w:ascii="Times New Roman" w:hAnsi="Times New Roman" w:eastAsia="仿宋_GB2312" w:cs="Times New Roman"/>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right="0" w:rightChars="0" w:firstLine="640"/>
        <w:jc w:val="both"/>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五、2022年工作思路和主要安排</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（一）</w:t>
      </w:r>
      <w:r>
        <w:rPr>
          <w:rFonts w:hint="eastAsia" w:ascii="仿宋_GB2312" w:hAnsi="仿宋_GB2312" w:eastAsia="仿宋_GB2312" w:cs="仿宋_GB2312"/>
          <w:b/>
          <w:bCs/>
          <w:color w:val="000000"/>
          <w:kern w:val="0"/>
          <w:sz w:val="32"/>
          <w:szCs w:val="32"/>
        </w:rPr>
        <w:t>紧盯工作重点，提升履职成</w:t>
      </w:r>
      <w:r>
        <w:rPr>
          <w:rFonts w:hint="eastAsia" w:ascii="仿宋_GB2312" w:hAnsi="仿宋_GB2312" w:eastAsia="仿宋_GB2312" w:cs="仿宋_GB2312"/>
          <w:b/>
          <w:bCs/>
          <w:sz w:val="32"/>
          <w:szCs w:val="32"/>
        </w:rPr>
        <w:t>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color w:val="000000"/>
          <w:kern w:val="0"/>
          <w:sz w:val="32"/>
          <w:szCs w:val="32"/>
          <w:lang w:eastAsia="zh-CN"/>
        </w:rPr>
        <w:t>一是</w:t>
      </w:r>
      <w:r>
        <w:rPr>
          <w:rFonts w:hint="eastAsia" w:ascii="仿宋_GB2312" w:hAnsi="仿宋_GB2312" w:eastAsia="仿宋_GB2312" w:cs="仿宋_GB2312"/>
          <w:color w:val="000000"/>
          <w:kern w:val="0"/>
          <w:sz w:val="32"/>
          <w:szCs w:val="32"/>
        </w:rPr>
        <w:t>以重大活动服务保障为重点，全面提升执法服务和保障能力。围绕冬奥会</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auto"/>
          <w:sz w:val="32"/>
          <w:szCs w:val="32"/>
        </w:rPr>
        <w:t>党的二十大</w:t>
      </w:r>
      <w:r>
        <w:rPr>
          <w:rFonts w:hint="eastAsia" w:ascii="仿宋_GB2312" w:hAnsi="仿宋_GB2312" w:eastAsia="仿宋_GB2312" w:cs="仿宋_GB2312"/>
          <w:color w:val="auto"/>
          <w:sz w:val="32"/>
          <w:szCs w:val="32"/>
          <w:lang w:eastAsia="zh-CN"/>
        </w:rPr>
        <w:t>等重大活动</w:t>
      </w:r>
      <w:r>
        <w:rPr>
          <w:rFonts w:hint="eastAsia" w:ascii="仿宋_GB2312" w:hAnsi="仿宋_GB2312" w:eastAsia="仿宋_GB2312" w:cs="仿宋_GB2312"/>
          <w:color w:val="000000"/>
          <w:kern w:val="0"/>
          <w:sz w:val="32"/>
          <w:szCs w:val="32"/>
        </w:rPr>
        <w:t>，以活动保障区域为核心，辐射全区主要大街、旅游景点、特色商业街区等重点区域，全力以赴做好环境秩序服务保障工作,改善区域环境秩序品质。</w:t>
      </w:r>
      <w:r>
        <w:rPr>
          <w:rFonts w:hint="eastAsia" w:ascii="仿宋_GB2312" w:hAnsi="仿宋_GB2312" w:eastAsia="仿宋_GB2312" w:cs="仿宋_GB2312"/>
          <w:b w:val="0"/>
          <w:bCs w:val="0"/>
          <w:color w:val="000000"/>
          <w:kern w:val="0"/>
          <w:sz w:val="32"/>
          <w:szCs w:val="32"/>
        </w:rPr>
        <w:t>二是以</w:t>
      </w:r>
      <w:r>
        <w:rPr>
          <w:rFonts w:hint="eastAsia" w:ascii="仿宋_GB2312" w:hAnsi="仿宋_GB2312" w:eastAsia="仿宋_GB2312" w:cs="仿宋_GB2312"/>
          <w:color w:val="000000"/>
          <w:kern w:val="0"/>
          <w:sz w:val="32"/>
          <w:szCs w:val="32"/>
        </w:rPr>
        <w:t>突出问题和重点地区为突破口，深入推进环境秩序综合治理。</w:t>
      </w:r>
      <w:r>
        <w:rPr>
          <w:rFonts w:hint="eastAsia" w:ascii="仿宋_GB2312" w:hAnsi="仿宋_GB2312" w:eastAsia="仿宋_GB2312" w:cs="仿宋_GB2312"/>
          <w:sz w:val="32"/>
          <w:szCs w:val="32"/>
        </w:rPr>
        <w:t>完善常态化疫情防控机制，科学、动态调整防控策略，精准、高效做好</w:t>
      </w:r>
      <w:r>
        <w:rPr>
          <w:rFonts w:hint="eastAsia" w:ascii="仿宋_GB2312" w:hAnsi="仿宋_GB2312" w:eastAsia="仿宋_GB2312" w:cs="仿宋_GB2312"/>
          <w:sz w:val="32"/>
          <w:szCs w:val="32"/>
          <w:lang w:eastAsia="zh-CN"/>
        </w:rPr>
        <w:t>“三类场所”“七小场所”</w:t>
      </w:r>
      <w:r>
        <w:rPr>
          <w:rFonts w:hint="eastAsia" w:ascii="仿宋_GB2312" w:hAnsi="仿宋_GB2312" w:eastAsia="仿宋_GB2312" w:cs="仿宋_GB2312"/>
          <w:sz w:val="32"/>
          <w:szCs w:val="32"/>
        </w:rPr>
        <w:t>疫情防控工作；</w:t>
      </w:r>
      <w:r>
        <w:rPr>
          <w:rFonts w:hint="eastAsia" w:ascii="仿宋_GB2312" w:hAnsi="仿宋_GB2312" w:eastAsia="仿宋_GB2312" w:cs="仿宋_GB2312"/>
          <w:color w:val="000000"/>
          <w:kern w:val="0"/>
          <w:sz w:val="32"/>
          <w:szCs w:val="32"/>
          <w:lang w:eastAsia="zh-CN"/>
        </w:rPr>
        <w:t>坚定不移地推进占道经营整治行动，完善长效化治理机制，巩固整治成果；</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rPr>
        <w:t>垃圾分类执法工作，</w:t>
      </w:r>
      <w:r>
        <w:rPr>
          <w:rFonts w:hint="eastAsia" w:ascii="仿宋_GB2312" w:hAnsi="仿宋_GB2312" w:eastAsia="仿宋_GB2312" w:cs="仿宋_GB2312"/>
          <w:sz w:val="32"/>
          <w:szCs w:val="32"/>
          <w:lang w:eastAsia="zh-CN"/>
        </w:rPr>
        <w:t>持续开展“城管执法进社区”执法检查，</w:t>
      </w:r>
      <w:r>
        <w:rPr>
          <w:rFonts w:hint="eastAsia" w:ascii="仿宋_GB2312" w:hAnsi="仿宋_GB2312" w:eastAsia="仿宋_GB2312" w:cs="仿宋_GB2312"/>
          <w:sz w:val="32"/>
          <w:szCs w:val="32"/>
        </w:rPr>
        <w:t>督促企业、单位、居民履行垃圾分类法定义务，</w:t>
      </w:r>
      <w:r>
        <w:rPr>
          <w:rFonts w:hint="eastAsia" w:ascii="仿宋_GB2312" w:hAnsi="仿宋_GB2312" w:eastAsia="仿宋_GB2312" w:cs="仿宋_GB2312"/>
          <w:sz w:val="32"/>
          <w:szCs w:val="32"/>
          <w:lang w:val="en-US" w:eastAsia="zh-CN"/>
        </w:rPr>
        <w:t>助推垃圾分类水平再提升</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eastAsia="zh-CN"/>
        </w:rPr>
        <w:t>持续推进</w:t>
      </w:r>
      <w:r>
        <w:rPr>
          <w:rFonts w:hint="eastAsia" w:ascii="仿宋_GB2312" w:hAnsi="仿宋_GB2312" w:eastAsia="仿宋_GB2312" w:cs="仿宋_GB2312"/>
          <w:bCs/>
          <w:sz w:val="32"/>
          <w:szCs w:val="32"/>
        </w:rPr>
        <w:t>大气污染防治</w:t>
      </w:r>
      <w:r>
        <w:rPr>
          <w:rFonts w:hint="eastAsia" w:ascii="仿宋_GB2312" w:hAnsi="仿宋_GB2312" w:eastAsia="仿宋_GB2312" w:cs="仿宋_GB2312"/>
          <w:bCs/>
          <w:sz w:val="32"/>
          <w:szCs w:val="32"/>
          <w:lang w:eastAsia="zh-CN"/>
        </w:rPr>
        <w:t>工作</w:t>
      </w:r>
      <w:r>
        <w:rPr>
          <w:rFonts w:hint="eastAsia" w:ascii="仿宋_GB2312" w:hAnsi="仿宋_GB2312" w:eastAsia="仿宋_GB2312" w:cs="仿宋_GB2312"/>
          <w:bCs/>
          <w:sz w:val="32"/>
          <w:szCs w:val="32"/>
        </w:rPr>
        <w:t>，突出抓好施工扬尘、道路扬尘、露天烧烤、露天焚烧整治行动</w:t>
      </w:r>
      <w:r>
        <w:rPr>
          <w:rFonts w:hint="eastAsia" w:ascii="仿宋_GB2312" w:hAnsi="仿宋_GB2312" w:eastAsia="仿宋_GB2312" w:cs="仿宋_GB2312"/>
          <w:bCs/>
          <w:sz w:val="32"/>
          <w:szCs w:val="32"/>
          <w:lang w:eastAsia="zh-CN"/>
        </w:rPr>
        <w:t>，全力打好蓝天保卫战</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以消除安全隐患为重点，深入开展燃气安全专项执法行动，</w:t>
      </w:r>
      <w:r>
        <w:rPr>
          <w:rFonts w:hint="eastAsia" w:ascii="仿宋_GB2312" w:hAnsi="仿宋_GB2312" w:eastAsia="仿宋_GB2312" w:cs="仿宋_GB2312"/>
          <w:sz w:val="32"/>
          <w:szCs w:val="32"/>
          <w:lang w:val="en-US" w:eastAsia="zh-CN"/>
        </w:rPr>
        <w:t>保障城市安全运行</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eastAsia="zh"/>
        </w:rPr>
        <w:t>文明行为</w:t>
      </w:r>
      <w:r>
        <w:rPr>
          <w:rFonts w:hint="eastAsia" w:ascii="仿宋_GB2312" w:hAnsi="仿宋_GB2312" w:eastAsia="仿宋_GB2312" w:cs="仿宋_GB2312"/>
          <w:color w:val="auto"/>
          <w:sz w:val="32"/>
          <w:szCs w:val="32"/>
          <w:lang w:eastAsia="zh"/>
        </w:rPr>
        <w:t>促进条例</w:t>
      </w:r>
      <w:r>
        <w:rPr>
          <w:rFonts w:hint="eastAsia" w:ascii="仿宋_GB2312" w:hAnsi="仿宋_GB2312" w:eastAsia="仿宋_GB2312" w:cs="仿宋_GB2312"/>
          <w:color w:val="auto"/>
          <w:sz w:val="32"/>
          <w:szCs w:val="32"/>
          <w:lang w:eastAsia="zh-CN"/>
        </w:rPr>
        <w:t>为抓手，深入推进非法小广告、非法运营、停车管理、无障碍环境建设、文明游园等专项执法行动，压实执法责任，提升城市品质。</w:t>
      </w:r>
      <w:r>
        <w:rPr>
          <w:rFonts w:hint="eastAsia" w:ascii="仿宋_GB2312" w:hAnsi="仿宋_GB2312" w:eastAsia="仿宋_GB2312" w:cs="仿宋_GB2312"/>
          <w:b w:val="0"/>
          <w:bCs w:val="0"/>
          <w:color w:val="000000"/>
          <w:kern w:val="0"/>
          <w:sz w:val="32"/>
          <w:szCs w:val="32"/>
        </w:rPr>
        <w:t>三是以提</w:t>
      </w:r>
      <w:r>
        <w:rPr>
          <w:rFonts w:hint="eastAsia" w:ascii="仿宋_GB2312" w:hAnsi="仿宋_GB2312" w:eastAsia="仿宋_GB2312" w:cs="仿宋_GB2312"/>
          <w:color w:val="000000"/>
          <w:kern w:val="0"/>
          <w:sz w:val="32"/>
          <w:szCs w:val="32"/>
        </w:rPr>
        <w:t>升接诉即办工作效能为抓手，进一步提高群众获得感、安全感和幸福感。</w:t>
      </w:r>
      <w:r>
        <w:rPr>
          <w:rFonts w:hint="eastAsia" w:ascii="仿宋_GB2312" w:hAnsi="仿宋_GB2312" w:eastAsia="仿宋_GB2312" w:cs="仿宋_GB2312"/>
          <w:color w:val="000000"/>
          <w:kern w:val="0"/>
          <w:sz w:val="32"/>
          <w:szCs w:val="32"/>
          <w:lang w:eastAsia="zh-CN"/>
        </w:rPr>
        <w:t>贯彻落实《北京市接诉即办工作条例》，</w:t>
      </w:r>
      <w:r>
        <w:rPr>
          <w:rFonts w:hint="eastAsia" w:ascii="仿宋_GB2312" w:hAnsi="仿宋_GB2312" w:eastAsia="仿宋_GB2312" w:cs="仿宋_GB2312"/>
          <w:color w:val="000000"/>
          <w:kern w:val="0"/>
          <w:sz w:val="32"/>
          <w:szCs w:val="32"/>
        </w:rPr>
        <w:t>完善城市管理综合执法队伍接诉即办工作机制，加强对接诉即办工作分析研判、综合指导和督促检查，提升群众诉求办理水平。强化对群众身边环境秩序问题的主动治理，推动</w:t>
      </w:r>
      <w:r>
        <w:rPr>
          <w:rFonts w:hint="eastAsia" w:ascii="仿宋_GB2312" w:hAnsi="仿宋_GB2312" w:eastAsia="仿宋_GB2312" w:cs="仿宋_GB2312"/>
          <w:color w:val="000000"/>
          <w:kern w:val="0"/>
          <w:sz w:val="32"/>
          <w:szCs w:val="32"/>
          <w:lang w:eastAsia="zh-CN"/>
        </w:rPr>
        <w:t>“接诉即办”</w:t>
      </w:r>
      <w:r>
        <w:rPr>
          <w:rFonts w:hint="eastAsia" w:ascii="仿宋_GB2312" w:hAnsi="仿宋_GB2312" w:eastAsia="仿宋_GB2312" w:cs="仿宋_GB2312"/>
          <w:color w:val="000000"/>
          <w:kern w:val="0"/>
          <w:sz w:val="32"/>
          <w:szCs w:val="32"/>
        </w:rPr>
        <w:t xml:space="preserve">向“未诉先办”深化。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lang w:eastAsia="zh-CN"/>
        </w:rPr>
        <w:t>（二）健全工作机制，提升执法效能。</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kern w:val="0"/>
          <w:sz w:val="32"/>
          <w:szCs w:val="32"/>
          <w:lang w:val="zh-CN"/>
        </w:rPr>
        <w:t>进一步理顺区级城管执法机构职责体系与运转机制，确保职责边界清晰、执法力量到位、机制保障完善、执法效率提升；二是</w:t>
      </w:r>
      <w:r>
        <w:rPr>
          <w:rFonts w:hint="eastAsia" w:ascii="仿宋_GB2312" w:hAnsi="仿宋_GB2312" w:eastAsia="仿宋_GB2312" w:cs="仿宋_GB2312"/>
          <w:color w:val="000000"/>
          <w:sz w:val="32"/>
          <w:szCs w:val="32"/>
        </w:rPr>
        <w:t>落实统筹指导</w:t>
      </w:r>
      <w:r>
        <w:rPr>
          <w:rFonts w:hint="eastAsia" w:ascii="仿宋_GB2312" w:hAnsi="仿宋_GB2312" w:eastAsia="仿宋_GB2312" w:cs="仿宋_GB2312"/>
          <w:color w:val="000000"/>
          <w:sz w:val="32"/>
          <w:szCs w:val="32"/>
          <w:lang w:eastAsia="zh-CN"/>
        </w:rPr>
        <w:t>和综合协调等</w:t>
      </w:r>
      <w:r>
        <w:rPr>
          <w:rFonts w:hint="eastAsia" w:ascii="仿宋_GB2312" w:hAnsi="仿宋_GB2312" w:eastAsia="仿宋_GB2312" w:cs="仿宋_GB2312"/>
          <w:color w:val="000000"/>
          <w:sz w:val="32"/>
          <w:szCs w:val="32"/>
        </w:rPr>
        <w:t>职能职责，完善城市管理综合执法指挥调度机制，</w:t>
      </w:r>
      <w:r>
        <w:rPr>
          <w:rFonts w:hint="eastAsia" w:ascii="仿宋_GB2312" w:hAnsi="仿宋_GB2312" w:eastAsia="仿宋_GB2312" w:cs="仿宋_GB2312"/>
          <w:sz w:val="32"/>
          <w:szCs w:val="32"/>
        </w:rPr>
        <w:t>优化城市管理综合执法工作的流程和模式，</w:t>
      </w:r>
      <w:r>
        <w:rPr>
          <w:rFonts w:hint="eastAsia" w:ascii="仿宋_GB2312" w:hAnsi="仿宋_GB2312" w:eastAsia="仿宋_GB2312" w:cs="仿宋_GB2312"/>
          <w:color w:val="000000"/>
          <w:kern w:val="0"/>
          <w:sz w:val="32"/>
          <w:szCs w:val="32"/>
          <w:lang w:eastAsia="zh-CN"/>
        </w:rPr>
        <w:t>强化区级</w:t>
      </w:r>
      <w:r>
        <w:rPr>
          <w:rFonts w:hint="eastAsia" w:ascii="仿宋_GB2312" w:hAnsi="仿宋_GB2312" w:eastAsia="仿宋_GB2312" w:cs="仿宋_GB2312"/>
          <w:color w:val="000000"/>
          <w:kern w:val="0"/>
          <w:sz w:val="32"/>
          <w:szCs w:val="32"/>
        </w:rPr>
        <w:t>协调联动机制，构建综合执法上下贯通、横向协同的工作运行体系</w:t>
      </w:r>
      <w:r>
        <w:rPr>
          <w:rFonts w:hint="eastAsia" w:ascii="仿宋_GB2312" w:hAnsi="仿宋_GB2312" w:eastAsia="仿宋_GB2312" w:cs="仿宋_GB2312"/>
          <w:color w:val="000000"/>
          <w:kern w:val="0"/>
          <w:sz w:val="32"/>
          <w:szCs w:val="32"/>
          <w:lang w:eastAsia="zh-CN"/>
        </w:rPr>
        <w:t>；三是探索落实分类分级执法机制，进一步优化检查方式，转变执法导向，将更多执法资源配置到重点执法事项和执法对象身上，持续提升城管执法的精细化、智慧化、规范化水平。</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eastAsia="zh-CN"/>
        </w:rPr>
        <w:t>（三）狠抓队伍建设，提升规范化水平。</w:t>
      </w:r>
      <w:r>
        <w:rPr>
          <w:rFonts w:hint="eastAsia" w:ascii="仿宋_GB2312" w:hAnsi="仿宋_GB2312" w:eastAsia="仿宋_GB2312" w:cs="仿宋_GB2312"/>
          <w:sz w:val="32"/>
          <w:szCs w:val="32"/>
        </w:rPr>
        <w:t>坚持</w:t>
      </w:r>
      <w:r>
        <w:rPr>
          <w:rFonts w:hint="eastAsia" w:ascii="仿宋_GB2312" w:hAnsi="仿宋_GB2312" w:eastAsia="仿宋_GB2312" w:cs="仿宋_GB2312"/>
          <w:color w:val="000000"/>
          <w:sz w:val="32"/>
          <w:szCs w:val="32"/>
        </w:rPr>
        <w:t>以党建带队建、以队建促业务，</w:t>
      </w:r>
      <w:r>
        <w:rPr>
          <w:rFonts w:hint="eastAsia" w:ascii="仿宋_GB2312" w:hAnsi="仿宋_GB2312" w:eastAsia="仿宋_GB2312" w:cs="仿宋_GB2312"/>
          <w:sz w:val="32"/>
          <w:szCs w:val="32"/>
          <w:lang w:eastAsia="zh-CN"/>
        </w:rPr>
        <w:t>持续强化</w:t>
      </w:r>
      <w:r>
        <w:rPr>
          <w:rFonts w:hint="eastAsia" w:ascii="仿宋_GB2312" w:hAnsi="仿宋_GB2312" w:eastAsia="仿宋_GB2312" w:cs="仿宋_GB2312"/>
          <w:sz w:val="32"/>
          <w:szCs w:val="32"/>
        </w:rPr>
        <w:t>队伍规范化管理、执法规范化建设，</w:t>
      </w:r>
      <w:r>
        <w:rPr>
          <w:rFonts w:hint="eastAsia" w:ascii="仿宋_GB2312" w:hAnsi="仿宋_GB2312" w:eastAsia="仿宋_GB2312" w:cs="仿宋_GB2312"/>
          <w:color w:val="000000"/>
          <w:sz w:val="32"/>
          <w:szCs w:val="32"/>
        </w:rPr>
        <w:t>以规范执法流程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规范执法文书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规范形象标识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规范执法行为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规范台账管理等“五个规范”为重点，开展基层规范化建设创建活动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查找短板不足、抓好整改落实、形成常态长效，</w:t>
      </w:r>
      <w:r>
        <w:rPr>
          <w:rFonts w:hint="eastAsia" w:ascii="仿宋_GB2312" w:hAnsi="仿宋_GB2312" w:eastAsia="仿宋_GB2312" w:cs="仿宋_GB2312"/>
          <w:color w:val="000000"/>
          <w:sz w:val="32"/>
          <w:szCs w:val="32"/>
        </w:rPr>
        <w:t>全面提升队伍规范化专业化正规化水平。</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2</w:t>
      </w:r>
      <w:bookmarkStart w:id="0" w:name="_GoBack"/>
      <w:bookmarkEnd w:id="0"/>
      <w:r>
        <w:rPr>
          <w:rFonts w:hint="eastAsia" w:ascii="仿宋_GB2312" w:hAnsi="仿宋_GB2312" w:eastAsia="仿宋_GB2312" w:cs="仿宋_GB2312"/>
          <w:color w:val="000000"/>
          <w:sz w:val="32"/>
          <w:szCs w:val="32"/>
          <w:lang w:eastAsia="zh-CN"/>
        </w:rPr>
        <w:t>月7日</w:t>
      </w:r>
    </w:p>
    <w:p>
      <w:pPr>
        <w:widowControl/>
        <w:shd w:val="clear" w:color="auto" w:fill="FFFFFF"/>
        <w:spacing w:line="480" w:lineRule="atLeast"/>
        <w:jc w:val="both"/>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40001" w:csb1="00000000"/>
  </w:font>
  <w:font w:name="楷体">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Verdana">
    <w:panose1 w:val="020B0604030504040204"/>
    <w:charset w:val="00"/>
    <w:family w:val="roman"/>
    <w:pitch w:val="default"/>
    <w:sig w:usb0="A10006FF" w:usb1="4000205B" w:usb2="00000010" w:usb3="00000000" w:csb0="2000019F" w:csb1="00000000"/>
  </w:font>
  <w:font w:name="Verdana">
    <w:panose1 w:val="020B0604030504040204"/>
    <w:charset w:val="00"/>
    <w:family w:val="modern"/>
    <w:pitch w:val="default"/>
    <w:sig w:usb0="A10006FF" w:usb1="4000205B" w:usb2="00000010" w:usb3="00000000" w:csb0="2000019F" w:csb1="00000000"/>
  </w:font>
  <w:font w:name="Verdana">
    <w:panose1 w:val="020B0604030504040204"/>
    <w:charset w:val="00"/>
    <w:family w:val="swiss"/>
    <w:pitch w:val="default"/>
    <w:sig w:usb0="A10006FF" w:usb1="4000205B" w:usb2="00000010" w:usb3="00000000" w:csb0="2000019F" w:csb1="00000000"/>
  </w:font>
  <w:font w:name="MT Extra">
    <w:panose1 w:val="05050102010205020202"/>
    <w:charset w:val="02"/>
    <w:family w:val="decorative"/>
    <w:pitch w:val="default"/>
    <w:sig w:usb0="8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MT Extra">
    <w:panose1 w:val="05050102010205020202"/>
    <w:charset w:val="02"/>
    <w:family w:val="modern"/>
    <w:pitch w:val="default"/>
    <w:sig w:usb0="80000000" w:usb1="00000000" w:usb2="00000000" w:usb3="00000000" w:csb0="00000000" w:csb1="00000000"/>
  </w:font>
  <w:font w:name="MT Extra">
    <w:panose1 w:val="05050102010205020202"/>
    <w:charset w:val="02"/>
    <w:family w:val="swiss"/>
    <w:pitch w:val="default"/>
    <w:sig w:usb0="8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icrosoft YaHei UI">
    <w:altName w:val="微软雅黑"/>
    <w:panose1 w:val="00000000000000000000"/>
    <w:charset w:val="86"/>
    <w:family w:val="auto"/>
    <w:pitch w:val="default"/>
    <w:sig w:usb0="00000000" w:usb1="00000000" w:usb2="00000016" w:usb3="00000000" w:csb0="0004001F" w:csb1="00000000"/>
  </w:font>
  <w:font w:name="Helvetica">
    <w:altName w:val="Arial"/>
    <w:panose1 w:val="020B0604020202020204"/>
    <w:charset w:val="00"/>
    <w:family w:val="decorative"/>
    <w:pitch w:val="default"/>
    <w:sig w:usb0="00000000" w:usb1="00000000" w:usb2="00000000" w:usb3="00000000" w:csb0="00000001" w:csb1="00000000"/>
  </w:font>
  <w:font w:name="Calibri Light">
    <w:panose1 w:val="020F0302020204030204"/>
    <w:charset w:val="00"/>
    <w:family w:val="decorative"/>
    <w:pitch w:val="default"/>
    <w:sig w:usb0="A00002EF" w:usb1="4000207B" w:usb2="00000000" w:usb3="00000000" w:csb0="2000019F" w:csb1="00000000"/>
  </w:font>
  <w:font w:name="Helvetica">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Helvetica">
    <w:altName w:val="Arial"/>
    <w:panose1 w:val="020B0604020202020204"/>
    <w:charset w:val="00"/>
    <w:family w:val="modern"/>
    <w:pitch w:val="default"/>
    <w:sig w:usb0="00000000" w:usb1="00000000" w:usb2="00000000" w:usb3="00000000" w:csb0="00000001" w:csb1="00000000"/>
  </w:font>
  <w:font w:name="Calibri Light">
    <w:panose1 w:val="020F0302020204030204"/>
    <w:charset w:val="00"/>
    <w:family w:val="modern"/>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8238018">
    <w:nsid w:val="61A58742"/>
    <w:multiLevelType w:val="singleLevel"/>
    <w:tmpl w:val="61A58742"/>
    <w:lvl w:ilvl="0" w:tentative="1">
      <w:start w:val="1"/>
      <w:numFmt w:val="chineseCounting"/>
      <w:suff w:val="nothing"/>
      <w:lvlText w:val="（%1）"/>
      <w:lvlJc w:val="left"/>
    </w:lvl>
  </w:abstractNum>
  <w:abstractNum w:abstractNumId="1638169678">
    <w:nsid w:val="61A47C4E"/>
    <w:multiLevelType w:val="singleLevel"/>
    <w:tmpl w:val="61A47C4E"/>
    <w:lvl w:ilvl="0" w:tentative="1">
      <w:start w:val="2"/>
      <w:numFmt w:val="chineseCounting"/>
      <w:suff w:val="nothing"/>
      <w:lvlText w:val="%1、"/>
      <w:lvlJc w:val="left"/>
    </w:lvl>
  </w:abstractNum>
  <w:num w:numId="1">
    <w:abstractNumId w:val="1638238018"/>
  </w:num>
  <w:num w:numId="2">
    <w:abstractNumId w:val="16381696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054C0"/>
    <w:rsid w:val="024C0613"/>
    <w:rsid w:val="0932035E"/>
    <w:rsid w:val="0A7E1E10"/>
    <w:rsid w:val="0BEB4C0A"/>
    <w:rsid w:val="0D283C1F"/>
    <w:rsid w:val="0D3D03FB"/>
    <w:rsid w:val="0E6A5F32"/>
    <w:rsid w:val="0FC054C0"/>
    <w:rsid w:val="10482FED"/>
    <w:rsid w:val="10DE0B53"/>
    <w:rsid w:val="12736F08"/>
    <w:rsid w:val="15731D68"/>
    <w:rsid w:val="17233CB6"/>
    <w:rsid w:val="17F70FF9"/>
    <w:rsid w:val="19C44E4F"/>
    <w:rsid w:val="19EE1F1A"/>
    <w:rsid w:val="1CE63489"/>
    <w:rsid w:val="1EF928DF"/>
    <w:rsid w:val="217D280C"/>
    <w:rsid w:val="2A0F0895"/>
    <w:rsid w:val="2AE1193F"/>
    <w:rsid w:val="2B5A26EB"/>
    <w:rsid w:val="2D396D45"/>
    <w:rsid w:val="2DD76FF0"/>
    <w:rsid w:val="323E1669"/>
    <w:rsid w:val="330F34E6"/>
    <w:rsid w:val="340C6572"/>
    <w:rsid w:val="349003E6"/>
    <w:rsid w:val="34DE71BA"/>
    <w:rsid w:val="36FF75D0"/>
    <w:rsid w:val="39260EAC"/>
    <w:rsid w:val="3BDD74B3"/>
    <w:rsid w:val="3BEB7CED"/>
    <w:rsid w:val="3BEF7372"/>
    <w:rsid w:val="3D7B090E"/>
    <w:rsid w:val="423F538C"/>
    <w:rsid w:val="428D7490"/>
    <w:rsid w:val="433545E5"/>
    <w:rsid w:val="47883291"/>
    <w:rsid w:val="48080179"/>
    <w:rsid w:val="48F91EB3"/>
    <w:rsid w:val="493E1BE4"/>
    <w:rsid w:val="49F905DA"/>
    <w:rsid w:val="4C8F71CA"/>
    <w:rsid w:val="4D445C34"/>
    <w:rsid w:val="4EA139C5"/>
    <w:rsid w:val="4FE243B6"/>
    <w:rsid w:val="4FFB170F"/>
    <w:rsid w:val="52841565"/>
    <w:rsid w:val="53584DB9"/>
    <w:rsid w:val="57457080"/>
    <w:rsid w:val="59D47BE3"/>
    <w:rsid w:val="5AAE36CD"/>
    <w:rsid w:val="5B201E49"/>
    <w:rsid w:val="5B512631"/>
    <w:rsid w:val="5BA919CA"/>
    <w:rsid w:val="5C9D6C70"/>
    <w:rsid w:val="60C573BF"/>
    <w:rsid w:val="63465388"/>
    <w:rsid w:val="63E16A11"/>
    <w:rsid w:val="654B44FF"/>
    <w:rsid w:val="669032DF"/>
    <w:rsid w:val="67A2160F"/>
    <w:rsid w:val="67FD2E68"/>
    <w:rsid w:val="68051BBC"/>
    <w:rsid w:val="68853F15"/>
    <w:rsid w:val="69441BE9"/>
    <w:rsid w:val="6A0E13A8"/>
    <w:rsid w:val="6EFC5BFC"/>
    <w:rsid w:val="75EA54D3"/>
    <w:rsid w:val="7A7D27C0"/>
    <w:rsid w:val="7C175B14"/>
    <w:rsid w:val="7F283A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hAnsi="Tahom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link w:val="9"/>
    <w:qFormat/>
    <w:uiPriority w:val="0"/>
    <w:pPr>
      <w:spacing w:before="240" w:after="60" w:line="312" w:lineRule="auto"/>
      <w:jc w:val="center"/>
      <w:outlineLvl w:val="1"/>
    </w:pPr>
    <w:rPr>
      <w:rFonts w:ascii="Cambria" w:hAnsi="Cambria"/>
      <w:b/>
      <w:bCs/>
      <w:kern w:val="28"/>
      <w:sz w:val="32"/>
      <w:szCs w:val="32"/>
    </w:rPr>
  </w:style>
  <w:style w:type="character" w:customStyle="1" w:styleId="9">
    <w:name w:val="副标题 Char"/>
    <w:basedOn w:val="7"/>
    <w:link w:val="6"/>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2021-11-29T06:37:00Z</dcterms:created>
  <dc:creator>王莉</dc:creator>
  <cp:lastModifiedBy>王莉</cp:lastModifiedBy>
  <cp:lastPrinted>2021-12-09T03:03:00Z</cp:lastPrinted>
  <dcterms:modified xsi:type="dcterms:W3CDTF">2022-02-07T03:19:08Z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