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E74C8">
      <w:pPr>
        <w:jc w:val="distribute"/>
        <w:outlineLvl w:val="0"/>
        <w:rPr>
          <w:rFonts w:ascii="方正小标宋简体" w:hAnsi="宋体" w:eastAsia="方正小标宋简体" w:cs="宋体"/>
          <w:snapToGrid w:val="0"/>
          <w:color w:val="FF0000"/>
          <w:spacing w:val="-80"/>
          <w:w w:val="55"/>
          <w:kern w:val="0"/>
          <w:sz w:val="108"/>
          <w:szCs w:val="108"/>
          <w:shd w:val="clear" w:color="auto" w:fill="FFFFFF"/>
        </w:rPr>
      </w:pPr>
      <w:bookmarkStart w:id="0" w:name="_GoBack"/>
      <w:bookmarkEnd w:id="0"/>
      <w:r>
        <w:rPr>
          <w:rFonts w:hint="eastAsia" w:ascii="方正小标宋简体" w:hAnsi="宋体" w:eastAsia="方正小标宋简体" w:cs="宋体"/>
          <w:snapToGrid w:val="0"/>
          <w:color w:val="FF0000"/>
          <w:spacing w:val="-80"/>
          <w:w w:val="55"/>
          <w:kern w:val="0"/>
          <w:sz w:val="108"/>
          <w:szCs w:val="108"/>
          <w:shd w:val="clear" w:color="auto" w:fill="FFFFFF"/>
        </w:rPr>
        <w:t>北京市城市管理综合行政执法局文件</w:t>
      </w:r>
    </w:p>
    <w:p w14:paraId="1890F406">
      <w:pPr>
        <w:shd w:val="clear" w:color="auto" w:fill="FFFFFF"/>
        <w:jc w:val="center"/>
        <w:rPr>
          <w:rFonts w:ascii="宋体" w:hAnsi="Courier New" w:cs="Courier New"/>
          <w:sz w:val="32"/>
          <w:szCs w:val="32"/>
          <w:shd w:val="pct10" w:color="auto" w:fill="FFFFFF"/>
        </w:rPr>
      </w:pPr>
    </w:p>
    <w:p w14:paraId="5E978474">
      <w:pPr>
        <w:shd w:val="clear" w:color="auto" w:fill="FFFFFF"/>
        <w:jc w:val="center"/>
        <w:rPr>
          <w:rFonts w:ascii="宋体" w:hAnsi="Courier New" w:cs="Courier New"/>
          <w:sz w:val="32"/>
          <w:szCs w:val="32"/>
          <w:shd w:val="pct10" w:color="auto" w:fill="FFFFFF"/>
        </w:rPr>
      </w:pPr>
    </w:p>
    <w:p w14:paraId="2BBB34B5">
      <w:pPr>
        <w:shd w:val="clear" w:color="auto" w:fill="FFFFFF"/>
        <w:spacing w:line="360" w:lineRule="auto"/>
        <w:jc w:val="center"/>
        <w:rPr>
          <w:rFonts w:ascii="仿宋_GB2312" w:hAnsi="Courier New" w:eastAsia="仿宋_GB2312" w:cs="Courier New"/>
          <w:sz w:val="32"/>
          <w:szCs w:val="21"/>
          <w:shd w:val="clear" w:color="auto" w:fill="FFFFFF"/>
        </w:rPr>
      </w:pPr>
      <w:r>
        <w:rPr>
          <w:rFonts w:hint="eastAsia" w:ascii="仿宋_GB2312" w:hAnsi="Courier New" w:eastAsia="仿宋_GB2312" w:cs="Courier New"/>
          <w:sz w:val="32"/>
          <w:szCs w:val="21"/>
          <w:shd w:val="clear" w:color="auto" w:fill="FFFFFF"/>
        </w:rPr>
        <w:t>京城管发〔20</w:t>
      </w:r>
      <w:r>
        <w:rPr>
          <w:rFonts w:hint="eastAsia" w:ascii="仿宋_GB2312" w:hAnsi="Courier New" w:eastAsia="仿宋_GB2312" w:cs="Courier New"/>
          <w:sz w:val="32"/>
          <w:szCs w:val="21"/>
          <w:shd w:val="clear" w:color="auto" w:fill="FFFFFF"/>
          <w:lang w:val="en-US" w:eastAsia="zh-CN"/>
        </w:rPr>
        <w:t>25</w:t>
      </w:r>
      <w:r>
        <w:rPr>
          <w:rFonts w:hint="eastAsia" w:ascii="仿宋_GB2312" w:hAnsi="Courier New" w:eastAsia="仿宋_GB2312" w:cs="Courier New"/>
          <w:sz w:val="32"/>
          <w:szCs w:val="21"/>
          <w:shd w:val="clear" w:color="auto" w:fill="FFFFFF"/>
        </w:rPr>
        <w:t>〕</w:t>
      </w:r>
      <w:r>
        <w:rPr>
          <w:rFonts w:hint="default" w:ascii="仿宋_GB2312" w:hAnsi="Courier New" w:eastAsia="仿宋_GB2312" w:cs="Courier New"/>
          <w:sz w:val="32"/>
          <w:szCs w:val="21"/>
          <w:shd w:val="clear" w:color="auto" w:fill="FFFFFF"/>
          <w:lang w:val="en-US" w:eastAsia="zh-CN"/>
        </w:rPr>
        <w:t>42</w:t>
      </w:r>
      <w:r>
        <w:rPr>
          <w:rFonts w:hint="eastAsia" w:ascii="仿宋_GB2312" w:hAnsi="Courier New" w:eastAsia="仿宋_GB2312" w:cs="Courier New"/>
          <w:sz w:val="32"/>
          <w:szCs w:val="21"/>
          <w:shd w:val="clear" w:color="auto" w:fill="FFFFFF"/>
        </w:rPr>
        <w:t>号</w:t>
      </w:r>
    </w:p>
    <w:p w14:paraId="3F4BCC1A">
      <w:pPr>
        <w:spacing w:line="0" w:lineRule="atLeast"/>
        <w:jc w:val="center"/>
        <w:rPr>
          <w:rFonts w:ascii="方正小标宋简体" w:eastAsia="方正小标宋简体"/>
          <w:sz w:val="44"/>
          <w:szCs w:val="44"/>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-6985</wp:posOffset>
                </wp:positionV>
                <wp:extent cx="5622925" cy="0"/>
                <wp:effectExtent l="0" t="0" r="34925"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22925" cy="0"/>
                        </a:xfrm>
                        <a:prstGeom prst="line">
                          <a:avLst/>
                        </a:prstGeom>
                        <a:noFill/>
                        <a:ln w="19050">
                          <a:solidFill>
                            <a:srgbClr val="FF0000"/>
                          </a:solidFill>
                          <a:round/>
                        </a:ln>
                      </wps:spPr>
                      <wps:bodyPr/>
                    </wps:wsp>
                  </a:graphicData>
                </a:graphic>
              </wp:anchor>
            </w:drawing>
          </mc:Choice>
          <mc:Fallback>
            <w:pict>
              <v:line id="_x0000_s1026" o:spid="_x0000_s1026" o:spt="20" style="position:absolute;left:0pt;margin-left:0pt;margin-top:-0.55pt;height:0pt;width:442.75pt;z-index:251659264;mso-width-relative:page;mso-height-relative:page;" filled="f" stroked="t" coordsize="21600,21600" o:gfxdata="UEsDBAoAAAAAAIdO4kAAAAAAAAAAAAAAAAAEAAAAZHJzL1BLAwQUAAAACACHTuJALY8ob9YAAAAG&#10;AQAADwAAAGRycy9kb3ducmV2LnhtbE2PwWrDMBBE74X8g9hAb4msQlzjWs7BUNJDIcTtob0p1sY2&#10;kVbGUmL376PQQ3vcmWHmbbGdrWFXHH3vSIJYJ8CQGqd7aiV8fryuMmA+KNLKOEIJP+hhWy4eCpVr&#10;N9EBr3VoWSwhnysJXQhDzrlvOrTKr92AFL2TG60K8Rxbrkc1xXJr+FOSpNyqnuJCpwasOmzO9cVK&#10;+Nrv9sN7VaXu7Xs3zW0q6sOzkfJxKZIXYAHn8BeGO35EhzIyHd2FtGdGQnwkSFgJASy6WbbZADv+&#10;Crws+H/88gZQSwMEFAAAAAgAh07iQFAgsC/lAQAAqwMAAA4AAABkcnMvZTJvRG9jLnhtbK1TS44T&#10;MRDdI3EHy3vSnUgZMa10ZpEobAaINMMBHLc7bWG7LJeTTi7BBZDYwYole27DzDEoOx/ms5kFvbBc&#10;v+d6r6onVztr2FYF1OBqPhyUnCknodFuXfNPt4s3bznDKFwjDDhV871CfjV9/WrS+0qNoAPTqMAI&#10;xGHV+5p3MfqqKFB2ygocgFeOgi0EKyKZYV00QfSEbk0xKsuLoofQ+ABSIZJ3fgjyI2J4CSC0rZZq&#10;DnJjlYsH1KCMiEQJO+2RT3O3batk/Ni2qCIzNSemMZ/0CN1X6SymE1Gtg/CdlscWxEtaeMLJCu3o&#10;0TPUXETBNkE/g7JaBkBo40CCLQ5EsiLEYlg+0eamE15lLiQ1+rPo+P9g5YftMjDd0CZw5oSlgd99&#10;/fXny/f739/ovPv5gw2TSL3HinJnbhkSTblzN/4a5GdkDmadcGuVm73de0LIFcWjkmSgp6dW/Xto&#10;KEdsImTFdm2wCZK0YLs8mP15MGoXmSTn+GI0uhyNOZOnWCGqU6EPGN8psCxdam60S5qJSmyvMVLr&#10;lHpKSW4HC21MnrtxrKduL8txmSsQjG5SNOVhWK9mJrCtoNVZLEr6khCE9igtwMY1B79xFD4RPUi2&#10;gma/DCmc/DTDDHDct7QkD+2c9e8fm/4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Y8ob9YAAAAG&#10;AQAADwAAAAAAAAABACAAAAAiAAAAZHJzL2Rvd25yZXYueG1sUEsBAhQAFAAAAAgAh07iQFAgsC/l&#10;AQAAqwMAAA4AAAAAAAAAAQAgAAAAJQEAAGRycy9lMm9Eb2MueG1sUEsFBgAAAAAGAAYAWQEAAHwF&#10;AAAAAA==&#10;">
                <v:fill on="f" focussize="0,0"/>
                <v:stroke weight="1.5pt" color="#FF0000" joinstyle="round"/>
                <v:imagedata o:title=""/>
                <o:lock v:ext="edit" aspectratio="f"/>
              </v:line>
            </w:pict>
          </mc:Fallback>
        </mc:AlternateContent>
      </w:r>
    </w:p>
    <w:p w14:paraId="668ABE8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方正小标宋简体" w:hAnsi="Times New Roman" w:eastAsia="方正小标宋简体"/>
          <w:sz w:val="44"/>
          <w:szCs w:val="44"/>
        </w:rPr>
      </w:pPr>
      <w:r>
        <w:rPr>
          <w:rFonts w:hint="eastAsia" w:ascii="方正小标宋简体" w:hAnsi="Times New Roman" w:eastAsia="方正小标宋简体"/>
          <w:sz w:val="44"/>
          <w:szCs w:val="44"/>
        </w:rPr>
        <w:t>北京市城市管理综合行政执法局</w:t>
      </w:r>
    </w:p>
    <w:p w14:paraId="7C9EAD4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方正小标宋简体" w:hAnsi="Times New Roman" w:eastAsia="方正小标宋简体"/>
          <w:sz w:val="44"/>
          <w:szCs w:val="44"/>
        </w:rPr>
      </w:pPr>
      <w:r>
        <w:rPr>
          <w:rFonts w:hint="eastAsia" w:ascii="方正小标宋简体" w:hAnsi="Times New Roman" w:eastAsia="方正小标宋简体"/>
          <w:sz w:val="44"/>
          <w:szCs w:val="24"/>
        </w:rPr>
        <w:t>关于印</w:t>
      </w:r>
      <w:r>
        <w:rPr>
          <w:rFonts w:ascii="方正小标宋简体" w:hAnsi="Times New Roman" w:eastAsia="方正小标宋简体"/>
          <w:sz w:val="44"/>
          <w:szCs w:val="44"/>
        </w:rPr>
        <w:t>发</w:t>
      </w:r>
      <w:r>
        <w:rPr>
          <w:rFonts w:hint="eastAsia" w:ascii="方正小标宋简体" w:hAnsi="Times New Roman" w:eastAsia="方正小标宋简体"/>
          <w:sz w:val="44"/>
          <w:szCs w:val="44"/>
        </w:rPr>
        <w:t>《</w:t>
      </w:r>
      <w:r>
        <w:rPr>
          <w:rFonts w:hint="eastAsia" w:ascii="方正小标宋简体" w:hAnsi="黑体" w:eastAsia="方正小标宋简体"/>
          <w:sz w:val="44"/>
          <w:szCs w:val="44"/>
        </w:rPr>
        <w:t>北京市城管执法部门轻微违法行为不予行政处罚</w:t>
      </w:r>
      <w:r>
        <w:rPr>
          <w:rFonts w:hint="eastAsia" w:ascii="方正小标宋简体" w:hAnsi="黑体" w:eastAsia="方正小标宋简体"/>
          <w:sz w:val="44"/>
          <w:szCs w:val="44"/>
          <w:lang w:eastAsia="zh-CN"/>
        </w:rPr>
        <w:t>事项清单</w:t>
      </w:r>
      <w:r>
        <w:rPr>
          <w:rFonts w:hint="eastAsia" w:ascii="方正小标宋简体" w:hAnsi="Times New Roman" w:eastAsia="方正小标宋简体"/>
          <w:sz w:val="44"/>
          <w:szCs w:val="44"/>
        </w:rPr>
        <w:t>》的</w:t>
      </w:r>
      <w:r>
        <w:rPr>
          <w:rFonts w:hint="eastAsia" w:ascii="方正小标宋简体" w:hAnsi="Times New Roman" w:eastAsia="方正小标宋简体"/>
          <w:sz w:val="44"/>
          <w:szCs w:val="24"/>
        </w:rPr>
        <w:t>通</w:t>
      </w:r>
      <w:r>
        <w:rPr>
          <w:rFonts w:hint="eastAsia" w:ascii="方正小标宋简体" w:hAnsi="Times New Roman" w:eastAsia="方正小标宋简体"/>
          <w:sz w:val="44"/>
          <w:szCs w:val="44"/>
        </w:rPr>
        <w:t>知</w:t>
      </w:r>
    </w:p>
    <w:p w14:paraId="554D67EF">
      <w:pPr>
        <w:spacing w:line="560" w:lineRule="exact"/>
        <w:rPr>
          <w:rFonts w:ascii="仿宋_GB2312" w:hAnsi="仿宋_GB2312" w:eastAsia="仿宋_GB2312"/>
          <w:sz w:val="32"/>
          <w:szCs w:val="32"/>
        </w:rPr>
      </w:pPr>
    </w:p>
    <w:p w14:paraId="30ECFBFF">
      <w:pPr>
        <w:widowControl/>
        <w:shd w:val="clear" w:color="auto" w:fill="FFFFFF"/>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各区城管执法局，</w:t>
      </w:r>
      <w:r>
        <w:rPr>
          <w:rFonts w:hint="eastAsia" w:ascii="仿宋_GB2312" w:hAnsi="仿宋_GB2312" w:eastAsia="仿宋_GB2312" w:cs="仿宋_GB2312"/>
          <w:sz w:val="32"/>
          <w:szCs w:val="32"/>
          <w:highlight w:val="none"/>
          <w:lang w:eastAsia="zh-CN"/>
        </w:rPr>
        <w:t>北京经济技术</w:t>
      </w:r>
      <w:r>
        <w:rPr>
          <w:rFonts w:hint="eastAsia" w:ascii="仿宋_GB2312" w:hAnsi="仿宋_GB2312" w:eastAsia="仿宋_GB2312" w:cs="仿宋_GB2312"/>
          <w:sz w:val="32"/>
          <w:szCs w:val="32"/>
          <w:highlight w:val="none"/>
        </w:rPr>
        <w:t>开发区综合执法局，天安门地区、重点站区分局，房山燕山</w:t>
      </w:r>
      <w:r>
        <w:rPr>
          <w:rFonts w:hint="eastAsia" w:ascii="仿宋_GB2312" w:hAnsi="仿宋_GB2312" w:eastAsia="仿宋_GB2312" w:cs="仿宋_GB2312"/>
          <w:sz w:val="32"/>
          <w:szCs w:val="32"/>
          <w:highlight w:val="none"/>
          <w:lang w:eastAsia="zh-CN"/>
        </w:rPr>
        <w:t>分队</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市局</w:t>
      </w:r>
      <w:r>
        <w:rPr>
          <w:rFonts w:hint="eastAsia" w:ascii="仿宋_GB2312" w:hAnsi="仿宋_GB2312" w:eastAsia="仿宋_GB2312" w:cs="仿宋_GB2312"/>
          <w:sz w:val="32"/>
          <w:szCs w:val="32"/>
          <w:highlight w:val="none"/>
        </w:rPr>
        <w:t>机关各处室、直属单位：</w:t>
      </w:r>
    </w:p>
    <w:p w14:paraId="5154F9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lang w:eastAsia="zh-CN"/>
        </w:rPr>
        <w:sectPr>
          <w:headerReference r:id="rId3" w:type="default"/>
          <w:footerReference r:id="rId5" w:type="default"/>
          <w:headerReference r:id="rId4" w:type="even"/>
          <w:footerReference r:id="rId6" w:type="even"/>
          <w:pgSz w:w="11907" w:h="16839"/>
          <w:pgMar w:top="4082" w:right="1474" w:bottom="1985" w:left="1587" w:header="0" w:footer="1134" w:gutter="0"/>
          <w:pgNumType w:fmt="decimal"/>
          <w:cols w:space="0" w:num="1"/>
          <w:rtlGutter w:val="0"/>
          <w:docGrid w:linePitch="312" w:charSpace="0"/>
        </w:sectPr>
      </w:pPr>
      <w:r>
        <w:rPr>
          <w:rFonts w:hint="eastAsia" w:ascii="仿宋_GB2312" w:hAnsi="仿宋_GB2312" w:eastAsia="仿宋_GB2312" w:cs="仿宋_GB2312"/>
          <w:sz w:val="32"/>
          <w:szCs w:val="32"/>
          <w:highlight w:val="none"/>
          <w:lang w:eastAsia="zh-CN"/>
        </w:rPr>
        <w:t>根据国家和本市的最新规定，</w:t>
      </w:r>
      <w:r>
        <w:rPr>
          <w:rFonts w:hint="eastAsia" w:ascii="仿宋_GB2312" w:hAnsi="Times New Roman" w:eastAsia="仿宋_GB2312"/>
          <w:sz w:val="32"/>
          <w:szCs w:val="32"/>
          <w:highlight w:val="none"/>
          <w:lang w:eastAsia="zh-CN"/>
        </w:rPr>
        <w:t>市城管执法局重新</w:t>
      </w:r>
      <w:r>
        <w:rPr>
          <w:rFonts w:hint="eastAsia" w:ascii="仿宋_GB2312" w:hAnsi="Times New Roman" w:eastAsia="仿宋_GB2312"/>
          <w:sz w:val="32"/>
          <w:szCs w:val="32"/>
          <w:lang w:eastAsia="zh-CN"/>
        </w:rPr>
        <w:t>制定</w:t>
      </w:r>
      <w:r>
        <w:rPr>
          <w:rFonts w:hint="eastAsia" w:ascii="仿宋_GB2312" w:hAnsi="Times New Roman" w:eastAsia="仿宋_GB2312"/>
          <w:sz w:val="32"/>
          <w:szCs w:val="32"/>
        </w:rPr>
        <w:t>《北京市城管执法部门轻微违法行为不予行政处罚事项清单》</w:t>
      </w:r>
      <w:r>
        <w:rPr>
          <w:rFonts w:hint="eastAsia" w:ascii="仿宋_GB2312" w:hAnsi="仿宋" w:eastAsia="仿宋_GB2312"/>
          <w:sz w:val="32"/>
          <w:szCs w:val="32"/>
          <w:lang w:eastAsia="zh-CN"/>
        </w:rPr>
        <w:t>，</w:t>
      </w:r>
      <w:r>
        <w:rPr>
          <w:rFonts w:hint="eastAsia" w:ascii="仿宋_GB2312" w:hAnsi="Times New Roman" w:eastAsia="仿宋_GB2312"/>
          <w:sz w:val="32"/>
          <w:szCs w:val="32"/>
        </w:rPr>
        <w:t>经20</w:t>
      </w:r>
      <w:r>
        <w:rPr>
          <w:rFonts w:hint="eastAsia" w:ascii="仿宋_GB2312" w:hAnsi="Times New Roman" w:eastAsia="仿宋_GB2312"/>
          <w:sz w:val="32"/>
          <w:szCs w:val="32"/>
          <w:lang w:val="en-US" w:eastAsia="zh-CN"/>
        </w:rPr>
        <w:t>25</w:t>
      </w:r>
      <w:r>
        <w:rPr>
          <w:rFonts w:hint="eastAsia" w:ascii="仿宋_GB2312" w:hAnsi="Times New Roman" w:eastAsia="仿宋_GB2312"/>
          <w:sz w:val="32"/>
          <w:szCs w:val="32"/>
        </w:rPr>
        <w:t>年</w:t>
      </w:r>
      <w:r>
        <w:rPr>
          <w:rFonts w:hint="default" w:ascii="仿宋_GB2312" w:hAnsi="Times New Roman" w:eastAsia="仿宋_GB2312"/>
          <w:sz w:val="32"/>
          <w:szCs w:val="32"/>
          <w:lang w:val="en-US" w:eastAsia="zh-CN"/>
        </w:rPr>
        <w:t>12</w:t>
      </w:r>
      <w:r>
        <w:rPr>
          <w:rFonts w:hint="eastAsia" w:ascii="仿宋_GB2312" w:hAnsi="Times New Roman" w:eastAsia="仿宋_GB2312"/>
          <w:sz w:val="32"/>
          <w:szCs w:val="32"/>
        </w:rPr>
        <w:t>月</w:t>
      </w:r>
      <w:r>
        <w:rPr>
          <w:rFonts w:hint="eastAsia" w:ascii="仿宋_GB2312" w:hAnsi="Times New Roman" w:eastAsia="仿宋_GB2312"/>
          <w:sz w:val="32"/>
          <w:szCs w:val="32"/>
          <w:lang w:val="en-US" w:eastAsia="zh-CN"/>
        </w:rPr>
        <w:t>29</w:t>
      </w:r>
      <w:r>
        <w:rPr>
          <w:rFonts w:hint="eastAsia" w:ascii="仿宋_GB2312" w:hAnsi="Times New Roman" w:eastAsia="仿宋_GB2312"/>
          <w:sz w:val="32"/>
          <w:szCs w:val="32"/>
        </w:rPr>
        <w:t>日第</w:t>
      </w:r>
      <w:r>
        <w:rPr>
          <w:rFonts w:hint="default" w:ascii="仿宋_GB2312" w:hAnsi="Times New Roman" w:eastAsia="仿宋_GB2312"/>
          <w:sz w:val="32"/>
          <w:szCs w:val="32"/>
          <w:lang w:val="en-US"/>
        </w:rPr>
        <w:t>11</w:t>
      </w:r>
      <w:r>
        <w:rPr>
          <w:rFonts w:hint="eastAsia" w:ascii="仿宋_GB2312" w:hAnsi="Times New Roman" w:eastAsia="仿宋_GB2312"/>
          <w:sz w:val="32"/>
          <w:szCs w:val="32"/>
        </w:rPr>
        <w:t>次局长办公会审议通过，</w:t>
      </w:r>
      <w:r>
        <w:rPr>
          <w:rFonts w:hint="eastAsia" w:ascii="仿宋_GB2312" w:hAnsi="仿宋" w:eastAsia="仿宋_GB2312"/>
          <w:sz w:val="32"/>
          <w:szCs w:val="32"/>
        </w:rPr>
        <w:t>现予以印发，自20</w:t>
      </w:r>
      <w:r>
        <w:rPr>
          <w:rFonts w:hint="default" w:ascii="仿宋_GB2312" w:hAnsi="仿宋" w:eastAsia="仿宋_GB2312"/>
          <w:sz w:val="32"/>
          <w:szCs w:val="32"/>
          <w:lang w:val="en-US" w:eastAsia="zh-CN"/>
        </w:rPr>
        <w:t>26</w:t>
      </w:r>
      <w:r>
        <w:rPr>
          <w:rFonts w:hint="eastAsia" w:ascii="仿宋_GB2312" w:hAnsi="仿宋" w:eastAsia="仿宋_GB2312"/>
          <w:sz w:val="32"/>
          <w:szCs w:val="32"/>
        </w:rPr>
        <w:t>年</w:t>
      </w:r>
      <w:r>
        <w:rPr>
          <w:rFonts w:hint="default" w:ascii="仿宋_GB2312" w:hAnsi="仿宋" w:eastAsia="仿宋_GB2312"/>
          <w:sz w:val="32"/>
          <w:szCs w:val="32"/>
          <w:lang w:val="en-US"/>
        </w:rPr>
        <w:t>3</w:t>
      </w:r>
      <w:r>
        <w:rPr>
          <w:rFonts w:hint="eastAsia" w:ascii="仿宋_GB2312" w:hAnsi="仿宋" w:eastAsia="仿宋_GB2312"/>
          <w:sz w:val="32"/>
          <w:szCs w:val="32"/>
        </w:rPr>
        <w:t>月</w:t>
      </w:r>
      <w:r>
        <w:rPr>
          <w:rFonts w:hint="default" w:ascii="仿宋_GB2312" w:hAnsi="仿宋" w:eastAsia="仿宋_GB2312"/>
          <w:sz w:val="32"/>
          <w:szCs w:val="32"/>
          <w:lang w:val="en-US" w:eastAsia="zh-CN"/>
        </w:rPr>
        <w:t>1</w:t>
      </w:r>
      <w:r>
        <w:rPr>
          <w:rFonts w:hint="eastAsia" w:ascii="仿宋_GB2312" w:hAnsi="仿宋" w:eastAsia="仿宋_GB2312"/>
          <w:sz w:val="32"/>
          <w:szCs w:val="32"/>
        </w:rPr>
        <w:t>日起施行。</w:t>
      </w:r>
      <w:r>
        <w:rPr>
          <w:rFonts w:hint="eastAsia" w:ascii="仿宋_GB2312" w:hAnsi="仿宋" w:eastAsia="仿宋_GB2312"/>
          <w:sz w:val="32"/>
          <w:szCs w:val="32"/>
          <w:lang w:eastAsia="zh-CN"/>
        </w:rPr>
        <w:t>原《北京市城市管理综合行政执法局关于印发</w:t>
      </w:r>
      <w:r>
        <w:rPr>
          <w:rFonts w:hint="eastAsia" w:ascii="仿宋" w:hAnsi="仿宋" w:eastAsia="仿宋" w:cs="仿宋"/>
          <w:sz w:val="32"/>
          <w:szCs w:val="32"/>
          <w:lang w:eastAsia="zh-CN"/>
        </w:rPr>
        <w:t>&lt;</w:t>
      </w:r>
      <w:r>
        <w:rPr>
          <w:rFonts w:hint="eastAsia" w:ascii="仿宋_GB2312" w:hAnsi="仿宋" w:eastAsia="仿宋_GB2312"/>
          <w:sz w:val="32"/>
          <w:szCs w:val="32"/>
          <w:lang w:eastAsia="zh-CN"/>
        </w:rPr>
        <w:t>北京市城管执法部门轻微违法行为不予行政处罚规定（试</w:t>
      </w:r>
    </w:p>
    <w:p w14:paraId="62DD765A">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lang w:eastAsia="zh-CN"/>
        </w:rPr>
        <w:t>行）</w:t>
      </w:r>
      <w:r>
        <w:rPr>
          <w:rFonts w:hint="eastAsia" w:ascii="仿宋" w:hAnsi="仿宋" w:eastAsia="仿宋" w:cs="仿宋"/>
          <w:sz w:val="32"/>
          <w:szCs w:val="32"/>
          <w:lang w:eastAsia="zh-CN"/>
        </w:rPr>
        <w:t>&gt;的通知</w:t>
      </w:r>
      <w:r>
        <w:rPr>
          <w:rFonts w:hint="eastAsia" w:ascii="仿宋_GB2312" w:hAnsi="仿宋" w:eastAsia="仿宋_GB2312"/>
          <w:sz w:val="32"/>
          <w:szCs w:val="32"/>
          <w:lang w:eastAsia="zh-CN"/>
        </w:rPr>
        <w:t>》（京城管发〔20</w:t>
      </w:r>
      <w:r>
        <w:rPr>
          <w:rFonts w:hint="eastAsia" w:ascii="仿宋_GB2312" w:hAnsi="仿宋" w:eastAsia="仿宋_GB2312"/>
          <w:sz w:val="32"/>
          <w:szCs w:val="32"/>
          <w:lang w:val="en-US" w:eastAsia="zh-CN"/>
        </w:rPr>
        <w:t>22</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76</w:t>
      </w:r>
      <w:r>
        <w:rPr>
          <w:rFonts w:hint="eastAsia" w:ascii="仿宋_GB2312" w:hAnsi="仿宋" w:eastAsia="仿宋_GB2312"/>
          <w:sz w:val="32"/>
          <w:szCs w:val="32"/>
          <w:lang w:eastAsia="zh-CN"/>
        </w:rPr>
        <w:t>号）中的《轻微违法行为不予行政处罚清单》停止适用</w:t>
      </w:r>
      <w:r>
        <w:rPr>
          <w:rFonts w:hint="eastAsia" w:ascii="仿宋_GB2312" w:hAnsi="仿宋" w:eastAsia="仿宋_GB2312"/>
          <w:sz w:val="32"/>
          <w:szCs w:val="32"/>
        </w:rPr>
        <w:t>。</w:t>
      </w:r>
    </w:p>
    <w:p w14:paraId="7D1079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hAnsi="仿宋" w:eastAsia="仿宋_GB2312"/>
          <w:sz w:val="32"/>
          <w:szCs w:val="32"/>
        </w:rPr>
        <w:t>特</w:t>
      </w:r>
      <w:r>
        <w:rPr>
          <w:rFonts w:ascii="仿宋_GB2312" w:hAnsi="仿宋" w:eastAsia="仿宋_GB2312"/>
          <w:sz w:val="32"/>
          <w:szCs w:val="32"/>
        </w:rPr>
        <w:t>此通知。</w:t>
      </w:r>
    </w:p>
    <w:p w14:paraId="6151BAB8">
      <w:pPr>
        <w:pStyle w:val="11"/>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14:paraId="0C1F7C4A">
      <w:pPr>
        <w:pStyle w:val="11"/>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14:paraId="4FD47B2D">
      <w:pPr>
        <w:pStyle w:val="11"/>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14:paraId="0B895B90">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ascii="仿宋_GB2312" w:eastAsia="仿宋_GB2312"/>
          <w:sz w:val="32"/>
          <w:szCs w:val="32"/>
        </w:rPr>
      </w:pPr>
      <w:r>
        <w:rPr>
          <w:rFonts w:hint="eastAsia" w:ascii="仿宋_GB2312" w:eastAsia="仿宋_GB2312"/>
          <w:sz w:val="32"/>
          <w:szCs w:val="32"/>
          <w:lang w:eastAsia="zh-CN"/>
        </w:rPr>
        <w:t>北京</w:t>
      </w:r>
      <w:r>
        <w:rPr>
          <w:rFonts w:hint="eastAsia" w:ascii="仿宋_GB2312" w:eastAsia="仿宋_GB2312"/>
          <w:sz w:val="32"/>
          <w:szCs w:val="32"/>
        </w:rPr>
        <w:t>市</w:t>
      </w:r>
      <w:r>
        <w:rPr>
          <w:rFonts w:hint="eastAsia" w:ascii="仿宋_GB2312" w:eastAsia="仿宋_GB2312"/>
          <w:sz w:val="32"/>
          <w:szCs w:val="32"/>
          <w:lang w:eastAsia="zh-CN"/>
        </w:rPr>
        <w:t>城市管理综合行政</w:t>
      </w:r>
      <w:r>
        <w:rPr>
          <w:rFonts w:hint="eastAsia" w:ascii="仿宋_GB2312" w:eastAsia="仿宋_GB2312"/>
          <w:sz w:val="32"/>
          <w:szCs w:val="32"/>
        </w:rPr>
        <w:t>执法局</w:t>
      </w:r>
    </w:p>
    <w:p w14:paraId="08EF4D74">
      <w:pPr>
        <w:keepNext w:val="0"/>
        <w:keepLines w:val="0"/>
        <w:pageBreakBefore w:val="0"/>
        <w:widowControl w:val="0"/>
        <w:tabs>
          <w:tab w:val="left" w:pos="7584"/>
          <w:tab w:val="left" w:pos="7742"/>
        </w:tabs>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eastAsia="仿宋_GB2312"/>
          <w:sz w:val="32"/>
          <w:szCs w:val="32"/>
        </w:rPr>
        <w:t xml:space="preserve">　　　　　　　　　　           </w:t>
      </w:r>
      <w:r>
        <w:rPr>
          <w:rFonts w:eastAsia="仿宋_GB2312"/>
          <w:sz w:val="32"/>
          <w:szCs w:val="32"/>
        </w:rPr>
        <w:t xml:space="preserve"> </w:t>
      </w:r>
      <w:r>
        <w:rPr>
          <w:rFonts w:hint="eastAsia" w:ascii="仿宋_GB2312" w:eastAsia="仿宋_GB2312"/>
          <w:sz w:val="32"/>
          <w:szCs w:val="32"/>
        </w:rPr>
        <w:t>20</w:t>
      </w:r>
      <w:r>
        <w:rPr>
          <w:rFonts w:ascii="仿宋_GB2312" w:eastAsia="仿宋_GB2312"/>
          <w:sz w:val="32"/>
          <w:szCs w:val="32"/>
        </w:rPr>
        <w:t>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hint="default" w:ascii="仿宋_GB2312" w:eastAsia="仿宋_GB2312"/>
          <w:sz w:val="32"/>
          <w:szCs w:val="32"/>
          <w:lang w:val="en-US" w:eastAsia="zh-CN"/>
        </w:rPr>
        <w:t>30</w:t>
      </w:r>
      <w:r>
        <w:rPr>
          <w:rFonts w:hint="eastAsia" w:ascii="仿宋_GB2312" w:eastAsia="仿宋_GB2312"/>
          <w:sz w:val="32"/>
          <w:szCs w:val="32"/>
        </w:rPr>
        <w:t>日</w:t>
      </w:r>
    </w:p>
    <w:p w14:paraId="23100B8D">
      <w:pPr>
        <w:keepNext w:val="0"/>
        <w:keepLines w:val="0"/>
        <w:widowControl/>
        <w:suppressLineNumbers w:val="0"/>
        <w:ind w:firstLine="640" w:firstLineChars="200"/>
        <w:jc w:val="left"/>
        <w:rPr>
          <w:rFonts w:hint="eastAsia" w:ascii="仿宋_GB2312" w:hAnsi="宋体" w:eastAsia="仿宋_GB2312" w:cs="宋体"/>
          <w:kern w:val="0"/>
          <w:sz w:val="32"/>
          <w:lang w:val="en-US" w:eastAsia="zh-CN"/>
        </w:rPr>
      </w:pPr>
      <w:r>
        <w:rPr>
          <w:rFonts w:hint="eastAsia" w:ascii="仿宋_GB2312" w:hAnsi="宋体" w:eastAsia="仿宋_GB2312" w:cs="宋体"/>
          <w:kern w:val="0"/>
          <w:sz w:val="32"/>
          <w:lang w:eastAsia="zh-CN"/>
        </w:rPr>
        <w:t>（联系人：吕志云；联系电话</w:t>
      </w:r>
      <w:r>
        <w:rPr>
          <w:rFonts w:hint="eastAsia" w:ascii="仿宋_GB2312" w:eastAsia="仿宋_GB2312"/>
          <w:sz w:val="32"/>
          <w:szCs w:val="32"/>
          <w:lang w:eastAsia="zh-CN"/>
        </w:rPr>
        <w:t>：</w:t>
      </w:r>
      <w:r>
        <w:rPr>
          <w:rFonts w:hint="default" w:ascii="仿宋_GB2312" w:eastAsia="仿宋_GB2312"/>
          <w:sz w:val="32"/>
          <w:szCs w:val="32"/>
          <w:lang w:val="en-US" w:eastAsia="zh-CN"/>
        </w:rPr>
        <w:t>55578144</w:t>
      </w:r>
      <w:r>
        <w:rPr>
          <w:rFonts w:hint="eastAsia" w:ascii="仿宋_GB2312" w:eastAsia="仿宋_GB2312"/>
          <w:sz w:val="32"/>
          <w:szCs w:val="32"/>
          <w:lang w:eastAsia="zh-CN"/>
        </w:rPr>
        <w:t>）</w:t>
      </w:r>
    </w:p>
    <w:p w14:paraId="72D1E8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pPr>
      <w:r>
        <w:rPr>
          <w:rFonts w:hint="eastAsia" w:ascii="仿宋_GB2312" w:hAnsi="宋体" w:eastAsia="仿宋_GB2312" w:cs="宋体"/>
          <w:kern w:val="0"/>
          <w:sz w:val="32"/>
          <w:lang w:val="en-US" w:eastAsia="zh-CN"/>
        </w:rPr>
        <w:t>（此件公开发布）</w:t>
      </w:r>
    </w:p>
    <w:p w14:paraId="3A9983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pPr>
    </w:p>
    <w:p w14:paraId="586531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pPr>
    </w:p>
    <w:p w14:paraId="78A331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pPr>
    </w:p>
    <w:p w14:paraId="72BBF1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pPr>
    </w:p>
    <w:p w14:paraId="1148A4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pPr>
    </w:p>
    <w:p w14:paraId="5BFC0C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pPr>
    </w:p>
    <w:p w14:paraId="2BDB02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pPr>
    </w:p>
    <w:p w14:paraId="302B47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pPr>
    </w:p>
    <w:p w14:paraId="47F1C3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pPr>
    </w:p>
    <w:p w14:paraId="3E13AF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sectPr>
          <w:pgSz w:w="11907" w:h="16839"/>
          <w:pgMar w:top="2098" w:right="1474" w:bottom="1984" w:left="1587" w:header="0" w:footer="1134" w:gutter="0"/>
          <w:pgNumType w:fmt="decimal"/>
          <w:cols w:space="0" w:num="1"/>
          <w:rtlGutter w:val="0"/>
          <w:docGrid w:linePitch="312" w:charSpace="0"/>
        </w:sectPr>
      </w:pPr>
    </w:p>
    <w:p w14:paraId="7564A696">
      <w:pPr>
        <w:spacing w:line="600" w:lineRule="exact"/>
        <w:rPr>
          <w:rFonts w:ascii="方正小标宋简体" w:hAnsi="黑体" w:eastAsia="方正小标宋简体"/>
          <w:sz w:val="32"/>
          <w:szCs w:val="32"/>
        </w:rPr>
      </w:pPr>
    </w:p>
    <w:tbl>
      <w:tblPr>
        <w:tblStyle w:val="12"/>
        <w:tblW w:w="142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5"/>
        <w:gridCol w:w="1109"/>
        <w:gridCol w:w="1614"/>
        <w:gridCol w:w="2450"/>
        <w:gridCol w:w="6576"/>
        <w:gridCol w:w="1125"/>
        <w:gridCol w:w="747"/>
      </w:tblGrid>
      <w:tr w14:paraId="167D8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4226" w:type="dxa"/>
            <w:gridSpan w:val="7"/>
            <w:tcBorders>
              <w:top w:val="nil"/>
              <w:left w:val="single" w:color="000000" w:sz="4" w:space="0"/>
              <w:bottom w:val="nil"/>
              <w:right w:val="nil"/>
            </w:tcBorders>
            <w:shd w:val="clear" w:color="auto" w:fill="auto"/>
            <w:noWrap/>
            <w:vAlign w:val="center"/>
          </w:tcPr>
          <w:p w14:paraId="6166ADDC">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0"/>
                <w:szCs w:val="20"/>
                <w:u w:val="none"/>
              </w:rPr>
            </w:pPr>
            <w:r>
              <w:rPr>
                <w:rFonts w:hint="eastAsia" w:ascii="方正小标宋简体" w:hAnsi="黑体" w:eastAsia="方正小标宋简体"/>
                <w:sz w:val="40"/>
                <w:szCs w:val="40"/>
              </w:rPr>
              <w:t>北京市城管执法部门轻微违法行为不予行政处罚</w:t>
            </w:r>
            <w:r>
              <w:rPr>
                <w:rFonts w:hint="eastAsia" w:ascii="方正小标宋简体" w:hAnsi="黑体" w:eastAsia="方正小标宋简体"/>
                <w:sz w:val="40"/>
                <w:szCs w:val="40"/>
                <w:lang w:eastAsia="zh-CN"/>
              </w:rPr>
              <w:t>事项清单</w:t>
            </w:r>
          </w:p>
        </w:tc>
      </w:tr>
      <w:tr w14:paraId="15278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F01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9A2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裁量基准/处罚职权编码</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ADC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违法</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013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适用条件</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6F4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处罚依据</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C70C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管理措施</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79B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行使层级</w:t>
            </w:r>
          </w:p>
        </w:tc>
      </w:tr>
      <w:tr w14:paraId="57DF7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96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A6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C8C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未按要求履行维护市容环境卫生责任</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A2E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24F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第二十一条第一款，本市实行市容环境卫生责任制度。单位和个人应当做好市容环境卫生责任区内的市容环境卫生工作。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第二十三条第一款第（一）项  、第（二）项、第（三）项  城镇地区内市容环境卫生责任区的责任标准是：（一）保持市容整洁，无乱设摊、乱搭建、乱张贴、乱涂写、乱刻画、乱吊挂、乱堆放等行为；（二）保持环境卫生整洁，无暴露垃圾、粪便、污水，无污迹，无渣土，按照规定扫雪铲冰；（三）保持环境卫生设施的整洁、完好。《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第二十三条第二款 农村地区市容环境卫生责任区的责任标准由市城市管理部门会同市农业农村等有关部门制定。及《关于印发北京市农村地区环境卫生责任区责任标准（试行）的通知》（京政管发〔2008〕49号）（根据具体情形，引用到相关条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第二十四条第二款，市容环境卫生责任人应当按照规定的要求履行维护市容环境卫生责任。违反规定的，责令改正，并处200元以上1000元以下罚款。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A2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BD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D400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AA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AF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D5B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擅自在临街的建筑物上设置装饰物品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9BD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3AD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第二十六条第一款第（三）项 建筑物、构筑物的容貌应当符合以下规定：（三）不得擅自在临街的建筑物上插挂彩旗、加装灯饰以及其他装饰物。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9C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DC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17C6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15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44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57A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建筑物顶部、外走廊等未保持整洁或堆物堆料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D15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583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08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AE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986B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49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CC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3CF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规定区域内建筑物顶部、阳台外和窗外设置不符合容貌景观标准的设施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174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53A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F4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CF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BB2F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FF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FE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44E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规定区域内建筑物顶部、阳台外和窗外吊挂、晾晒、摆放物品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379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18A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A2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FD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8E34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D2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1D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C8C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规定区域内建筑物平台、阳台内堆放物品超出护栏高度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5ED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9B3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5F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0C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0B8F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03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DE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296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擅自摆摊设点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4CA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1D8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第三十五条第一款，任何单位和个人不得擅自占用城市道路、人行过街桥、人行地下过街通道及其他公共场所堆物堆料、摆摊设点，影响市容环境卫生。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F5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28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44D5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D0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5D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7DA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乱堆物料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06B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FB7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第三十五条第三款 临街的商业、饮食业等行业的经营者不得超出门、窗进行店外经营。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8B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BF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D278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DE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EC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DA0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店外经营</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E58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659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第三十五条第三款 临街的商业、饮食业等行业的经营者不得超出门、窗进行店外经营。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79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D3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BD75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49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13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35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在城市道路及其他公共场所晾晒衣物、吊挂物品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A5D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A29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第三十六条第一款  禁止在城市道路及其他公共场所的护栏、电线杆、树木、绿篱等处晾晒衣物或者吊挂物品。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第三十六条第二款  违反前款规定的，责令改正，并可处二十元以上五十元以下罚款。公路范围内违法行为的行政处罚由交通行政管理部门依法负责实施。</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DB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DC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4095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30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0A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F4C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未按规定设置牌匾标识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9D6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8BD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第三十九第一款 机关、团体、部队、院校、企事业单位和其他组织及个体工商户的名称、字号、标志等牌匾标识，应当按照本市牌匾标识设置规范规定的位置、体量、数量等要求进行设置，与周围景观相协调。违反规定的，由城市管理综合执法部门责令限期改正，逾期不改正的，予以强制拆除，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2A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6A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29BF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51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E2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EFD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EB7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011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第三十九第二款 牌匾标识的设置应当牢固安全、整洁美观，照明和显亮设施功能完好，不断亮、不残损。牌匾标识画面污损、字体残缺、灯光显示不完整等影响市容的，应当及时维修或者更换。违反规定的，责令停止使用，限期修复，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44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93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31BB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B1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5C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830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未按规划要求设置夜景照明设施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6A6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774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第四十三条第一款 本市夜景照明规划区域内的建筑物、构筑物、道路、广场、绿地等，应当按照规划要求建设夜景照明设施；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B1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D9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90DD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A4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9D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789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未经审核实施夜景照明方案</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3BE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35C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第四十三条第二款 夜景照明建设方案，应当按照规定经区城市管理部门审核同意后，方可实施。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E4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26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BCAB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5B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B1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471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未按照许可要求设置夜景照明设施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CC2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411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9B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A4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BD89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DF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5C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E0E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404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DA8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第四十四条第二款 夜景照明和路灯照明设施损坏、断亮的，应当及时维修或者更换。夜景照明和路灯照明的设置单位或者管理单位应当按照规定开闭夜景照明和路灯照明设施。违反规定的，责令限期改正；逾期不改正的，可处500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10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C5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5B0F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67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83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CA9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未按规定开闭照明设施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82E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C25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第四十四条第二款  夜景照明和路灯照明设施损坏、断亮的，应当及时维修或者更换。夜景照明和路灯照明的设置单位或者管理单位应当按照规定开闭夜景照明和路灯照明设施。违反规定的，责令限期改正；逾期不改正的，可处五百元以上一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DD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CB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341C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08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CD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D51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占用公共场所从事车辆清洗、维修业务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916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04D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第五十条第一款，不得占用道路、绿地等公共场所从事车辆清洗、维修等业务。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第五十条第三款 违反第一款、第二款规定的，责令改正，并处五十元以上三百元以下罚款；情节严重的，处三百元以上三千元以下罚款。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3B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CE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0B48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80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27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5AC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车辆作业场所环境脏乱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55A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F22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第五十条第二款，进行车辆清洗、维修的，应当保持场所整洁，采取措施防止污水流溢、废弃物向外散落。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第五十条第三款 违反第一款、第二款规定的，责令改正，并处五十元以上三百元以下罚款；情节严重的，处三百元以上三千元以下罚款。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7A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50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AB63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05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1D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D7F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废品收购场所环境脏乱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747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2E9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收购废旧物品的经营者应当保持收购场所整洁，不得乱堆乱放、焚烧废旧物品。废旧物品存储场所的经营者应当对收购废旧物品采取围挡、遮盖等措施，不得污染周围环境。违反规定的，责令限期改正，并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ED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CC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72E8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3B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82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97A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废品储存场所未采取遮挡措施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882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7CA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收购废旧物品的经营者应当保持收购场所整洁，不得乱堆乱放、焚烧废旧物品。废旧物品存储场所的经营者应当对收购废旧物品采取围挡、遮盖等措施，不得污染周围环境。违反规定的，责令限期改正，并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15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6E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279E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AC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D5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21C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随地吐痰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A4D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9D5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第五十二条第一款第（一）项  在公共场所禁止下列影响市容环境卫生的行为：(一)随地吐痰、便溺；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违反前款规定的，责令改正，并可处五十元罚款；情节严重的，处二百元罚款。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4C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56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7501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A1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88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275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随地丢弃废弃物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015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60E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第五十二条第一款第（二）项  在公共场所禁止下列影响市容环境卫生的行为：（二）乱丢瓜果皮核、烟头、纸屑、口香糖、塑料袋、包装物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责令改正，并可处50元罚款；情节严重的，处200元罚款。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87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87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3BCB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B2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B8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DFE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乱倒污水（垃圾）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A1E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E31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第五十二条第一款第（三）项  在公共场所禁止下列影响市容环境卫生的行为：（三）乱倒污水、垃圾，焚烧树叶、垃圾；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责令改正，并可处50元罚款；情节严重的，处200元罚款。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6E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C1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B05E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77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41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61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在城镇地区饲养家禽家畜</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7B2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BE6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第五十三条第一款　禁止在城镇地区饲养鸡、鸭、鹅、兔、羊、猪等家禽家畜；因教学、科研以及其他特殊需要饲养的，按照有关规定执行。违反规定的，责令限期改正，并可按照每只(头)处二十元以上五十元以下罚款。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2B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01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2585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2F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5E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C4647800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B6E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主动向消费者提供一次性用品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A07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6D6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第二十六条第二款  餐饮经营者、餐饮配送服务提供者和旅馆经营单位不得主动向消费者提供一次性筷子、叉子、勺子、洗漱用品等，并应当设置醒目提示标识。一次性用品的详细目录，由市城市管理部门会同市市场监督管理、文化和旅游、商务等部门制定，并向社会公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第六十六条第二款  　违反本条例第二十六条第二款规定，餐饮经营者、餐饮配送服务提供者或者旅馆经营单位主动向消费者提供一次性用品的，由城市管理综合执法部门责令立即改正，处五千元以上一万元以下罚款；再次违反规定的，处一万元以上五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98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86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1099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AB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7A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6C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未将生活垃圾分别投入相应标识的收集容器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194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8C2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第三十四条第一款第（一）项    产生生活垃圾的单位和个人是生活垃圾分类投放的责任主体，应当按照下列规定分类投放生活垃圾：（一）按照厨余垃圾、可回收物、有害垃圾、其他垃圾的分类，分别投入相应标识的收集容器；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第六十八条第一款   单位违反本条例第三十四条第一款规定，由城市管理综合执法部门责令立即改正，情节严重的，处五万元以上五十万元以下罚款。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CE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0D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B0D2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DB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91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C55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体积较大的废弃物品未单独堆放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ECE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B52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第三十四条第一款第（二）项  产生生活垃圾的单位和个人是生活垃圾分类投放的责任主体，应当按照下列规定分类投放生活垃圾：（二）废旧家具家电等体积较大的废弃物品，单独堆放在生活垃圾分类管理责任人指定的地点；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第六十八条第一款 单位违反本条例第三十四条第一款规定，由城市管理综合执法部门责令立即改正，情节严重的，处五万元以上五十万元以下罚款。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7C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D5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33CD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3A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DD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449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农村村民产生的灰土未按规定投放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A4D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2D8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第三十四条第一款第（三）项  产生生活垃圾的单位和个人是生活垃圾分类投放的责任主体，应当按照下列规定分类投放生活垃圾：（三）农村村民日常生活中产生的灰土单独投放在相应的容器或者生活垃圾分类管理责任人指定的地点；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77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C0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5E85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BE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14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9CA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居民装饰装修房屋过程中产生的建筑垃圾未按指定的时间、地点和要求单独堆放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10C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DD2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第三十四条第二款   居民装饰装修房屋过程中产生的建筑垃圾，按照生活垃圾分类管理责任人指定的时间、地点和要求单独堆放。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5D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7B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8451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EE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3F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378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未建立生活垃圾分类日常管理制度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985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719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第三十六条第一款第（一）项 生活垃圾分类管理责任人应当遵守下列规定：(一)建立生活垃圾分类日常管理制度；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B6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A6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3B61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21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84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52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未开展宣传或未指定专人负责指导、监督垃圾分类工作</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FBC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7DE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第三十六条第一款第（二）项：生活垃圾分类管理责任人应当遵守下列规定：(二)在责任范围内开展生活垃圾分类知识宣传，指定专人负责指导、监督单位和个人进行生活垃圾分类；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E3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57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536E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B6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E4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E5B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未按规定设置生活垃圾分类收集容器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372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827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第三十六条第一款第（三）项 生活垃圾分类管理责任人应当遵守下列规定：(三)根据生活垃圾产生量和分类方法，按照相关规定设置生活垃圾分类收集容器，并保持生活垃圾分类收集容器完好和整洁美观，出现破旧、污损或者数量不足的，及时维修、更换、清洗或者补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00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21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1643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E2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0F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BA1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未按规定管护生活垃圾分类收集容器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02E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16E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第三十六条第一款第（三）项 生活垃圾分类管理责任人应当遵守下列规定：(三)根据生活垃圾产生量和分类方法，按照相关规定设置生活垃圾分类收集容器，并保持生活垃圾分类收集容器完好和整洁美观，出现破旧、污损或者数量不足的，及时维修、更换、清洗或者补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0C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2A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BA9F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B2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D5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A91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未明确生活垃圾投放的时间、地点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1A1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D5E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第三十六条第一款第（四）项：生活垃圾分类管理责任人应当遵守下列规定：(四)明确不同种类生活垃圾的投放时间、地点，分类收集、贮存生活垃圾；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86D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57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404F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A2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44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A58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分类管理责任人未分类收集、贮存生活垃圾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220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11A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第三十六条第一款第（四）项：生活垃圾分类管理责任人应当遵守下列规定：(四)明确不同种类生活垃圾的投放时间、地点，分类收集、贮存生活垃圾；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D3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3E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9C18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DD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53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D53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未及时制止翻捡、混合已分类生活垃圾的行为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F45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DC3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第三十六条第一款第（六）项 生活垃圾分类管理责任人应当遵守下列规定：(六)及时制止翻拣、混合已分类的生活垃圾的行为；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17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65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C46D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1B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93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9C7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分类管理责任人未办理生活垃圾排放登记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B02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8F7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第三十八条第一款　生活垃圾分类管理责任人应当按照规定，向所在地的街道办事处或者乡镇人民政府进行生活垃圾排放登记，并保存生活垃圾收集运输服务合同备查；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第七十条第一款 违反本条例第三十八条第一款规定，生活垃圾分类管理责任人办理生活垃圾排放登记或者登记信息虚假的，由城市管理综合执法部门责令立即改正，处一千元以上五千元以下罚款。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CD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DF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D822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51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91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4C4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分类管理责任人未建立生活垃圾管理台账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CA7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7C1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第三十八条第二款 　生活垃圾分类管理责任人应当建立生活垃圾管理台账，记录责任范围内实际产生的生活垃圾的种类、数量、运输者、去向等情况，并定期向所在地的街道办事处或者乡镇人民政府报告。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第七十条第二款  违反本条例第三十八条第二款规定，生活垃圾分类管理责任人未建立生活垃圾管理台账，或者不如实记录责任范围内生活垃圾排放情况的，由城市管理综合执法部门责令立即改正，处一千元以上一万元以下罚款。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72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17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2CA0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AB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09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5B4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未按要求传送生活垃圾处理设施相关检测指标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4F1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767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第五十二条第一款第（四）项　生活垃圾集中转运、处理设施的运行管理单位应当遵守下列规定：(四)按照要求建设在线监管系统，对生活垃圾处理设施相关指标进行检测，并将数据传送至生活垃圾管理信息系统；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72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01B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12F60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F4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23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1EC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未按要求公开设施污染控制监测指标和处理设施运行数据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101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D89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第五十二条第一款第（六）项　生活垃圾集中转运、处理设施的运行管理单位应当遵守下列规定：　(六)按照要求公开设施污染控制监测指标和处理设施运行数据；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5A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C2A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22AF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6C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53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F51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生活垃圾集中转运、处理设施的运行管理单位未按要求配套建设相应的参观、宣传设施或者未在规定的公众开放日接待社会公众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266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F3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第五十二条第一款第（七）项　生活垃圾集中转运、处理设施的运行管理单位应当遵守下列规定：　(七)配套建设相应的参观、宣传设施，在规定的公众开放日接待社会公众参观、访问；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46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81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B4A3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DD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6B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C2513000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79F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再生资源回收经营者未分类贮存物品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F68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FB5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  再生资源回收经营者应当到区城市管理部门备案，并遵守下列规定：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(一)在服务范围内，公布回收价格及服务电话；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(二)根据可回收物目录，扩大收集渠道，做到应收尽收；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(三)配备相应的贮存设施设备，不同种类的物品应当分类贮存；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(四)运输可回收物品，采取措施防止扬散、渗漏；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(五)消防、环境保护和市容环境卫生等法律、法规、规章的其他规定。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违反本条例第三十二条规定，再生资源回收经营者未分类贮存物品的，由区城市管理综合执法部门责令限期改正，处一千元以上五千元以下罚款；再次违反规定的，处五千元以上一万元以下罚款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D0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E5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DC24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69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C6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463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未按规定扫雪铲冰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A01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9E7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《北京市人民政府关于扫雪铲冰管理的规定》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第三条第一款  遇降雪天气，单位和个人应当承担责任地段的扫雪铲冰工作。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第三条第二款  居民居住地区，包括胡同、街巷、住宅小区等，由乡镇人民政府或者街道办事处组织居民做好扫雪铲冰工作。实行物业管理的，由物业管理单位负责。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《北京市人民政府关于扫雪铲冰管理的规定》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  未按照规定完成责任地段扫雪铲冰工作的，由城市管理综合执法部门责令改正，并处责任单位200元以上1000元以下罚款。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A0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98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31B5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55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C4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AE6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标语宣传品含有商业广告内容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725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7E1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第四条 标语宣传品不得有商业广告内容。禁止改变固定宣传设施的使用性质用于商业广告。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违反本规定第四条规定，标语宣传品含有商业广告内容或者改变固定宣传设施的使用性质用于商业广告的，由城市管理综合执法部门责令改正，处1000元以上1万元以下罚款。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32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35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E246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78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32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49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改变固定宣传设施的使用性质用于商业广告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F0E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86E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标语宣传品不得有商业广告内容。禁止改变固定宣传设施的使用性质用于商业广告。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违反本规定第四条规定，标语宣传品含有商业广告内容或者改变固定宣传设施的使用性质用于商业广告的，由城市管理综合执法部门责令改正，处1000元以上1万元以下罚款。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7A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DD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60B6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FE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91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649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未经批准设置标语宣传品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3A3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EB4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第九条 设置标语宣传品，应当取得市政管理行政部门的批准。但国家政治、外交活动和国家机关宣传贯彻法律、法规活动除外。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违反本规定第九条、第十四条规定，未经批准或者不按照批准的范围、地点、数量、规格、内容和期限设置标语宣传品的，由城市管理综合执法部门责令限期改正，并可处500元以上5000元以下罚款。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CE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A8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7030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E7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61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08E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未按批准要求设置标语宣传品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B87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FA6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审查准予设置标语宣传品的，被批准人应当按照批准的范围、地点、数量、规格、内容和期限设置。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违反本规定第九条、第十四条规定，未经批准或者不按照批准的范围、地点、数量、规格、内容和期限设置标语宣传品的，由城市管理综合执法部门责令限期改正，并可处500元以上5000元以下罚款。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95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19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B475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35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9D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A9E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未按规定管护宣传设施或者标语宣传品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A61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1FB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第十五条第一款 设置宣传设施的，应当保证设施的安全、牢固和正常使用；设置标语宣传品的，应当保持标语宣传品整洁美观、无破损、无残缺。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五条规定，宣传设施不安全、不牢固，标语宣传品破损、残缺、不整洁美观，设置期限届满或者节日、活动结束后不及时撤除的，由城市管理综合执法部门责令限期改正，可处100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8B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7D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DF90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DD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A2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A0F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未及时撤除标语宣传品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FC1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6E8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第十五条第二款 设置期限届满或者节日、活动结束后，应当及时撤除标语宣传品；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五条规定，宣传设施不安全、不牢固，标语宣传品破损、残缺、不整洁美观，设置期限届满或者节日、活动结束后不及时撤除的，由城市管理综合执法部门责令限期改正，可处100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CB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01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0E82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CE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21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AD5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违法设置固定式牌匾标识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AB7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6C6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设置固定式牌匾标识，应当符合固定式牌匾标识设置规范，与其载体风貌、周边景观相协调，并遵守下列规定：(一)不得影响交通安全设施、市政公共设施、交通管理设施、消防安全标志、无障碍设施的使用；(二)不得妨碍车辆等交通工具以及行人通行；(三)不得延伸扩展至道路上方或者跨越道路等影响道路交通安全；(四)不得超出建筑物顶部外轮廓线；(五)不得在违法建筑物、构筑物及设施，危险建筑物、构筑物及设施上设置；(六)不得妨碍他人生产生活；(七)不得破坏城市景观或者建筑物、构筑物外观；(八)不得损毁绿地或者影响植物生长；(九)不得影响牌匾标识设施载体安全；(十)法律、法规、规章对牌匾标识设置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多家单位共用同一场所的，牌匾标识载体所有人或者管理人应当根据固定式牌匾标识设置规范，明确牌匾标识设置要求，统筹管理固定式牌匾标识的设置，督促牌匾标识的所有人依法合规设置牌匾标识并做好日常维护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因搬迁、退租等原因不再需要牌匾标识的，固定式牌匾标识的所有人应当及时拆除原设置的牌匾标识；未及时拆除的，牌匾标识载体所有人或者管理人应当拆除，并做好场地的清洗、修复等工作。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第三十五条第二款　在建筑物、构筑物上设置大型固定式牌匾标识的，建筑物、构筑物的所有权人或者管理人应当事先委托房屋安全鉴定机构就牌匾标识对建筑物、构筑物安全的影响进行评估；经评估，不符合安全要求的，不得设置。（根据发生违法行为选择适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第四十九条第三款   违反本条例第三十条、第三十一条、第三十五条第二款规定，违法设置固定式牌匾标识的，按照《北京市市容环境卫生条例》的规定处理。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第三十九条第一款  机关、团体、部队、院校、企事业单位和其他组织及个体工商户的名称、字号、标志等牌匾标识，应当按照本市牌匾标识设置规范规定的位置、体量、数量等要求进行设置，与周围景观相协调。违反规定的，由城市管理综合执法部门责令限期改正，逾期不改正的，予以强制拆除，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DE5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3B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B593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AF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08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69D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电子显示装置不符合设置规范（或者运行时间要求）</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A42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7CC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  设置电子显示装置，应当符合设置规范，满足国家和本市网络安全管理要求，并遵守街区户外广告设施设置规划确定的运行时间要求。电子显示装置的设置规范由市城市管理部门组织制定。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  违双本条例第二十三条规定，电子显示装置不符合设置规范或者运行时间要求的，由街道办事处或者乡镇人民政府责今限期改正:逾期不改正的，处一千元以上一万元以下罚款。电子显示装置不符合网络安全管理要求的，由公安机关责令其关闭、限期改正，并依法予以查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82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5E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4EEB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37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EF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E5A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未经许可设置标语宣传品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2A4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A18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第三十六条第一款  在公共场所设置标语宣传品，应当经城市管理部门许可。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第五十四条第一款  违反本条例第三十六条第一款、第三十七条、第三十八条、第三十九条规定，未经许可设置标语宣传品或者设置标语宣传品不符合相关要求的，由街道办事处或者乡镇人民政府责令立即改正；造成恶劣影响或者拒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58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11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0706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6A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BD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BC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设置标语宣传品不符合相关要求</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0A7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35D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　下列地区除在国家重大活动期间由市人民政府决定设置外，禁止利用交通、照明、电力、通信、邮政、环境卫生等公共设施设置标语宣传品：(一)天安门广场地区；(二)中南海周边北起文津街府右街路口、南至府右街长安街路段的沿街地区，西起文津街府右街路口、东至文津街北长街的沿街地区，北起文津街北长街路口、南至南长街长安街路段的沿街地区；(三)城市副中心行政办公区；(四)长安街及其延长线东起国贸桥东端西至新兴桥西端、二环路、高速公路；(五)市人民政府确定的其他区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第三十八条　经许可在公共场所设置标语宣传品的，应当按照城市管理部门许可的范围、地点、形式、数量、规格和期限设置。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在公共场所设置标语宣传品，应当遵守下列规定：　(一)不得采用在建筑物、构筑物等处刻画、涂写、喷涂等影响城市容貌的方式；(二)不得影响道路交通安全；(三)不得影响设置载体安全；(四)不得妨碍他人生产生活；(五)法律、法规、规章对标语宣传品设置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第五十四条第一款  违反本条例第三十六条第一款、第三十七条、第三十八条、第三十九条规定，未经许可设置标语宣传品或者设置标语宣传品不符合相关要求的，由街道办事处或者乡镇人民政府责令立即改正；造成恶劣影响或者拒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45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92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696B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41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4A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C4610000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464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携犬人未清除户外犬粪便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546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EC4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《北京市养犬管理规定》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第十七条第（六）项：养犬人应当遵守下列规定：（六）携犬出户时，对犬在户外排泄的粪便，携犬人应当立即清除；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《北京市养犬管理规定》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第三十条：对违反本规定第十七条第六项，携犬人对犬在户外排泄粪便不立即清除，破坏市容环境卫生的，由城市管理综合执法组织责令改正，并可处50元罚款。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71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F6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15B0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9C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9E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EC7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在长城保护范围和建设控制地带内设置不符合要求的标志标牌</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D35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045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《北京市长城保护管理办法》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第十二条第二款  在长城保护范围和建设控制地带内设置的文物、导游等标志标牌，其色调、体量、造型等应当与长城风貌相协调。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《北京市长城保护管理办法》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第十七条　对违反本办法第十二条第二款规定，设置的文物、导游等标志标牌不符合要求的，由城市管理综合执法部门责令拆除或者更换，并可处200元以上1000元以下的罚款。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92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5F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8BF9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11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CF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68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任何单位或个人擅自设置、移动、拆除或者损毁、涂改、遮挡保护标志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65F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4CB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《北京历史文化名城保护条例》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任何单位和个人不得擅自设置、移动、拆除或者损毁、涂改、遮挡保护标志。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《北京历史文化名城保护条例》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第七十四条　违反本条例第五十二条第二款规定，擅自设置、移动、拆除或者损毁、涂改、遮挡保护标志的，由所在地的街道办事处或者乡镇人民政府责令限期改正；逾期不改正的，对单位处一万元以上五万元以下罚款，对个人处一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11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B7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EA6C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4B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55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2A1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行政许可有效期届满未清除架空线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FB5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15B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第九条第二款  申请延续设置架空线行政许可有效期的，应当在有效期届满30日前向市政市容行政管理部门提出。设置架空线的行政许可有效期届满的，应当清除架空线。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第十九条第二款  违反本规定第九条第二款，设置架空线的行政许可有效期届满清除架空线的，由城市管理综合行政执法机关责令限期改正，可以处300元以上3000元以下罚款。逾期不改正的，由区县市政市容行政管理部门组织清除。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19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F3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8909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66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92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50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未按要求在架空线的显著位置设置标识信息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1A0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86F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第十条第（一）项   架空线的所有权人和依照规定或者约定承担管理责任的单位(以下简称架空线管理人)应当履行以下维护管理义务：(一)在架空线的显著位置设置标识，标明架空线管理人名称和联系方式、类别、路由、行政许可有效期等基本信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CD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92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7057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3B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E1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AA2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发现架空线存在影响市容景观情况未立即处理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5A3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E53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 第（四）项 架空线的所有权人和依照规定或者约定承担管理责任的单位(以下简称架空线管理人)应当履行以下维护管理义务：(四)发现架空线有折断、垂落、松动、倒塌、倾斜等影响安全或者市容景观的情况，立即进行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F0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03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F4C0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8A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8F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A18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发现擅自搭挂的线缆，未按要求清除或者报告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342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A0D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第十条第（六）项 架空线的所有权人和依照规定或者约定承担管理责任的单位(以下简称架空线管理人)应当履行以下维护管理义务：(六)发现在其杆架上出现擅自搭挂的线缆，应当及时采取措施清除；不能清除的，应当向市政市容行政管理部门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28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C4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45F5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45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83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092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未及时清除废弃架空线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3EC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B78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第十条第（五）项  架空线的所有权人和依照规定或者约定承担管理责任的单位(以下简称架空线管理人)应当履行以下维护管理义务：(五)及时清除废弃架空线；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第二十条第二款  违反本规定第十条第(五)项的，由城市管理综合行政执法机关责令限期改正，可以处300元以上3000元以下罚款。逾期不改正的，由区县市政市容行政管理部门组织清除。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D2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FD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33A6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64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08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CFC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未按要求实施架空线埋设入地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BBC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50C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第十三条第二款  地下管道建设单位、道路建设单位、架空线管理人应当按照市政市容行政管理部门确定的任务，实施架空线埋设入地工作。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  违反本规定第十三条第二款，地下管道建设单位、道路建设单位、架空线管理人不按照市政市容行政管理部门依法确定的任务实施架空线埋设入地工作的，由城市管理综合行政执法机关责令限期改正，可以处3000元以上3万元以下罚款。架空线管理人逾期不改正的，由区县市政市容行政管理部门组织清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90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34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4C9F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9F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00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596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在城市景观照明中有过度照明等超能耗标准行为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B57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834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《城市照明管理规定》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第十九条第二款  任何单位不得在城市景观照明中有过度照明等超能耗标准的行为。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《城市照明管理规定》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违反本规定，在城市景观照明中有过度照明等超能耗标准行为的，由城市照明主管部门责令限期改正；逾期未改正的，处以1000元以上3万元以下的罚款。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4A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A1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w:t>
            </w:r>
          </w:p>
        </w:tc>
      </w:tr>
      <w:tr w14:paraId="55DF3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7F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93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39E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占用城市道路期满未及时清理现场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195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2FC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第三十一条第二款　经批准临时占用城市道路的，不得损坏城市道路；占用期满后，应当及时清理占用现场，恢复城市道路原状；损坏城市道路的，应当修复或者给予赔偿。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第四十二条第（三）项　违反本条例第二十七条规定，或者有下列行为之一的，由市政工程行政主管部门或者其他有关部门责令限期改正，可以处以2万元以下的罚款；造成损失的，应当依法承担赔偿责任：（三）占用城市道路期满或者挖掘城市道路后，不及时清理现场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D7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DD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D187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E8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68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FB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挖掘城市道路竣工未及时清理现场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AA9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1E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经批准挖掘城市道路的，应当在施工现场设置明显标志和安全防围设施；竣工后，应当及时清理现场，通知市政工程行政主管部门检查验收。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第四十二条第（三）项　违反本条例第二十七条规定，或者有下列行为之一的，由市政工程行政主管部门或者其他有关部门责令限期改正，可以处以2万元以下的罚款；造成损失的，应当依法承担赔偿责任：（三）占用城市道路期满或者挖掘城市道路后，不及时清理现场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70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99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1BBD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EC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45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091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紧急抢修埋设在城市道路下的管线，未按照规定补办批准手续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405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46D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　埋设在城市道路下的管线发生故障需要紧急抢修的，可以先行破路抢修，并同时通知市政工程行政主管部门和公安交通管理部门，在24小时内按照规定补办批准手续。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第四十二条第（五）项　违反本条例第二十七条规定，或者有下列行为之一的，由市政工程行政主管部门或者其他有关部门责令限期改正，可以处以2万元以下的罚款；造成损失的，应当依法承担赔偿责任：（五）紧急抢修埋设在城市道路下的管线，不按照规定补办批准手续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EE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C6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A6E4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C7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F8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34B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未按照批准的要求占用或者挖掘城市道路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92A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F11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　经批准占用或者挖掘城市道路的，应当按照批准的位置、面积、期限占用或者挖掘。需要移动位置、扩大面积、延长时间的，应当提前办理变更审批手续。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第四十二条第（六）项　违反本条例第二十七条规定，或者有下列行为之一的，由市政工程行政主管部门或者其他有关部门责令限期改正，可以处以2万元以下的罚款；造成损失的，应当依法承担赔偿责任：（六）未按照批准的位置、面积、期限占用或者挖掘城市道路，或者需要移动位置、扩大面积、延长时间，未提前办理变更审批手续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8E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7C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F792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DC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F0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8B1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供热单位未办理备案手续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0E6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225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第十条第一款  供热单位应当到市政管理行政部门备案，并提交以下材料：（一）单位基本情况；（二）供热区域及规模、用户类别及数量；（三）供热设施及其折旧管理基本情况；（四）运营管理制度及人员基本情况；（五）供热突发事件应急预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供热单位违反本办法第十条规定，未办理备案或者备案变更手续的，由城市管理综合行政执法机关责令限期改正，逾期未改正的，处3万元罚款；提交的备案材料失实的，由城市管理综合行政执法机关责令改正，情节严重的，可以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89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94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23B90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52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A7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C4623000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90B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供热单位未办理备案变更手续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6AC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964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第十条第二款 供热单位应当保证提交的备案材料真实准确，在备案内容发生改变时，应当及时办理变更手续。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供热单位违反本办法第十条规定，未办理备案或者备案变更手续的，由城市管理综合行政执法机关责令限期改正，逾期未改正的，处3万元罚款；提交的备案材料失实的，由城市管理综合行政执法机关责令改正，情节严重的，可以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1F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9B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45384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7A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69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C4623200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244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供热前未提前在供热范围内进行公告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256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8D5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第十三条第（二）项供热单位应当按照国家和本市的相关标准、规范，向用户提供安全、稳定、质量合格的供热服务，建立健全供热运营管理制度、服务规范和安全操作规程，遵守下列规定：（二） 供热前应当进行供热系统充水、试压、排气、试运行等工作，并提前在供热范围内进行公告。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第三十一条第二款 供热单位违反本办法第十三条第（二）项规定，未提前在供热范围内进行公告的，由城市管理综合行政执法机关责令改正，并处1000元罚款。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FD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E9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312BD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F7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23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E7B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供电、供气、供热单位未按照规定报送结算数据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7C6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96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《北京市建筑绿色发展条例》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第二十六条第三款  供电、供气、供热、供水等单位应当按照规定报送纳入能源资源消耗统计对象的民用建筑的用电、用气、用热、用水等结算数据。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《北京市建筑绿色发展条例》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第五十八条　违反本条例第二十六条第三款规定，供电、供气、供热、供水等单位未按照规定报送结算数据的，由城市管理综合行政执法和水务部门依照职责责令限期改正。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FF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76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69531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78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3D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C4653700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219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预付卡经营者未向消费者出具载明规定内容的凭据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2BC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6EC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第十三条第一款　经营者应当向消费者出具载明下列内容的凭据：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(一)双方名称或者姓名、联系方式等；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(二)经营者收款账户信息、预收金额、支付方式、履约保证措施；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(三)兑付商品或者服务项目的内容、地点、数量、质量及兑付计算种类、收费标准、扣费方式；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(四)履行期限，以及经营场所自有或者租赁、租期；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(五)风险提示；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(六)赠送权益的使用范围、条件及退款的处理方式；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(七)变更、中止、终止等情形预收款的处理方式；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(八)退款计算方法、渠道、手续费；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(九)挂失、补办、转让方式；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(十)消费记录、余额查询方式；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(十一)违约责任；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(十二)解决争议的方法。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第十三条第二款  经营者与消费者签订载明本条前款规定内容的书面合同的，视为已经出具凭据。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第二十九条第（一）项　经营者违反本条例规定，有下列情形之一，责令限期改正；逾期不改的，可以处二千元以上一万元以下罚款，并责令暂时停止发行预付卡：(一)违反第十三条第一款、第二款规定未向消费者出具载明规定内容的凭据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A9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6C2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7F476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F6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46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C4654300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E1A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预付卡经营者未按照规定提供查询或者未按照规定履行告知义务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5AD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544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经营者应当为消费者了解预付卡使用情况、消费记录、余额等信息提供查询。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经营者出现停业、注销等情形导致预付卡无法兑付或者经营场所变更的，应当及时通过电话、短信或者微信等方式告知消费者，并在经营场所、网页的显著位置发布公告。                                                                     《北京市单用途预付卡管理条例》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第二十九条第（二）项　经营者违反本条例规定，有下列情形之一，责令限期改正；逾期不改的，可以处二千元以上一万元以下罚款，并责令暂时停止发行预付卡：(二)违反第十八条规定未按照规定提供查询或者未按照规定履行告知义务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22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601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60D55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A7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7D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C4654000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AEF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预付卡经营者未按照规定保存交易记录</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5DF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1F1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　经营者应当自交易完成之日起保存交易记录至少三年。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第二十九条第（三）项　经营者违反本条例规定，有下列情形之一，责令限期改正；逾期不改的，可以处二千元以上一万元以下罚款，并责令暂时停止发行预付卡：(三)违反第十九条第一款规定未按照规定保存交易记录的。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BD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6C5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31761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65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C4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C4640800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06A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未按要求公示绿地平面图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647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F6D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　居住区、居住小区附属绿化工程竣工后，建设单位应当制作绿地平面图标牌，在居住区、居住小区的显著位置进行永久公示。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第六十三条　违反本条例第二十五条规定，建设单位未按照要求公示绿地平面图的，责令限期改正；逾期不改正的，处5000元罚款。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4E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2C7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AF50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1F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A0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C4643500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22F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在树木旁或者绿地内倾倒、排放污水、垃圾、渣土及其他废弃物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D40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937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第五十条第（一）项　禁止下列损害绿化的行为：(一)在树木旁或者绿地内倾倒、排放污水、垃圾、渣土及其他废弃物；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21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04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1616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8F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A4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C4631200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557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在树木或者绿化设施上悬挂广告牌或者其他物品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181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7EB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第五十条第（三）项　禁止下列损害绿化的行为：(三)在树木或者绿化设施上悬挂广告牌或者其他物品；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26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92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E419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B4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61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720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实施其他损害绿化成果及绿化设施的行为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1D3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001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第五十条第（七）项　禁止下列损害绿化的行为：(七)其他损害绿化成果及绿化设施的行为。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51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1C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3A91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73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69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3BB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公园内游人翻越围墙、栏杆、绿篱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950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B32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CC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D3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61299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B2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02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328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公园内游人在非游泳区游泳，在非滑冰区滑冰，在非钓鱼区钓鱼，在非体育运动场所踢球、滑旱冰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FC1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1FC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28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0E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5C96E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BF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D8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87F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公园内游人随地吐痰（乱丢果皮等废弃物）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715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775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CD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79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4EDC4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C8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C7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4D6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公园内游人捕捞、捕捉动物（采挖植物，恐吓、投打、伤害动物，在非投喂区投喂动物）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A46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64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第四十六条第（二）项:游人游览公园禁止下列行为：(二)营火、烧烤，捕捞、捕捉动物，采挖植物，恐吓、投打、伤害动物或者在非投喂区投喂动物。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第五十六条第一款第（二）项   违反本条例第四十六条规定，有下列行为的，按下列规定处罚：(二)营火、烧烤，捕捞、捕捉动物，采挖植物，恐吓、投打、伤害动物或者在非投喂区投喂动物的，责令改正，并可以处50元以上100元以下罚款；造成损失的，依法承担赔偿责任；构成犯罪的，依法追究刑事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E6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ED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7D958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11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37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C4641300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065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公园内游人攀折花木（损坏草坪、树木）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313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460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第四十六第（三）项 游人游览公园禁止下列行为：(三)在建筑物、构筑物、设施、树木上涂写、刻划，攀折花木，损坏草坪、树木。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第五十六条第一款第（三）项  违反本条例第四十六条规定，有下列行为的，按下列规定处罚：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(三)在建筑物、构筑物、设施、树木上涂写、刻划，攀折花木，损坏草坪、树木的，给予警告，并处5元以上50元以下罚款；造成损失的，依法承担赔偿责任。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CF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B4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628FE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73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05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C4626700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11F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施工单位未在施工现场出入口公示相关信息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FFE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73B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《北京市大气污染防治条例》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第八十一条第一款第（二）项  建设工程施工现场应当根据本市绿色施工的有关规定，采取下列措施：（二）施工单位应当在施工现场出入口公示施工现场负责人、环保监督员、扬尘污染控制措施、举报电话等信息；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《北京市大气污染防治条例》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第一百一十九条  违反本条例第八十一条第一款规定的，由城市管理综合执法部门责令限期改正，处一万元以上十万元以下罚款；拒不改正的，责令停工整治。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E6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10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D0FF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81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4B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909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无照经营</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897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68E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第二条  任何单位或者个人不得违反法律、法规、国务院决定的规定，从事无证无照经营。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  依照相关法律、行政法规的规定予以处罚。法律、行政法规对无照经营的处罚没有明确规定的，责令停止违法行为，没收违法所得，并处1万元以下的罚款。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4C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11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E2E3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44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AF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C4643800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977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为无照经营者提供场所或者条件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8FB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EBAC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明知属于无照经营而为经营者提供经营场所，或者提供运输、保管、仓储等条件的，由工商行政管理部门责令停止违法行为，没收违法所得，可以处5000元以下的罚款。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A5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8F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C764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73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1C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9A9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公共场所标识单独使用外语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B00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4ED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第十六条第一款   公共场所标识应当以规范汉字为基本服务用字，不得单独使用外语；使用汉字同时需要使用外语的，外语应当与规范汉字表达相同的含义。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第三十条  违反本条例第十六条第一款规定，公共场所标识单独使用外语的，由城市管理综合执法机构责令改正；拒不改正的，给予警告，并可处五千元以上一万元以下罚款。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7B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60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3B88E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51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F8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404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应当设置、使用公共场所外语标识而未设置、使用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BFE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DFD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第十七条第一款  下列公共场所使用规范汉字标示名称、场所导向、设施用途、警示警告、限令禁止、指示指令等信息的，经营管理者应当同时设置、使用外语标识：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(一)民用机场、火车站、城市公共交通站点；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(二)国际体育赛事、国际会议、国际展会等大型国际活动承办、接待场所；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(三)引进境外人才聚集的社区；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(四)应急避难场所；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(五)文化、旅游、体育等其他重要公共场所。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违反本条例第十七条第一款规定，应当设置、使用公共场所外语标识而未设置、使用的，由城市管理综合执法机构责令改正；拒不改正的，给予警告，并可处二千元以上五千元以下罚款。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77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507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56828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6"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4C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75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140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公共场所外语标识译写错误或者明显不当</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B5E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A1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　公共场所外语标识应当根据有关法律法规，参照国家和本市制定、发布的外语译写标准，以及通常的外语使用习惯、国际惯例，进行规范译写。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第三十三条　违反本条例第十九条第一款规定，公共场所外语标识译写错误或者明显不当的，由城市管理综合执法机构责令改正；拒不改正的，给予警告，并可处二千元以上五千元以下罚款。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56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847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449EF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AA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FD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C2310900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EB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排水单位（用水单位）或者个人不缴纳污水处理费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3A3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377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《城镇排水与污水处理条例》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第三十二条第一款 排水单位和个人应当按照国家有关规定缴纳污水处理费。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《北京市排水和再生水管理办法》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第二十三条第一款 用水单位和个人应当交纳污水处理费。污水处理费应当包括污水管网维护管理、污水处理、污泥处置等费用。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《城镇排水与污水处理条例》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 违反本条例规定，排水单位或者个人不缴纳污水处理费的，由城镇排水主管部门责令限期缴纳，逾期拒不缴纳的，处应缴纳污水处理费数额1倍以上3倍以下罚款。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81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007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03EE1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34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EC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C2336800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776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未按照《建筑业企业资质管理规定》要求提供建筑业企业信用档案信息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494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044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《建筑业企业资质管理规定》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资质许可机关应当建立、健全建筑业企业信用档案管理制度。建筑业企业信用档案应当包括企业基本情况、资质、业绩、工程质量和安全、合同履约、社会投诉和违法行为等情况。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企业的信用档案信息按照有关规定向社会公开。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取得建筑业企业资质的企业应当按照有关规定，向资质许可机关提供真实、准确、完整的企业信用档案信息。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《建筑业企业资质管理规定》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 企业未按照本规定要求提供企业信用档案信息的，由县级以上地方人民政府住房城乡建设主管部门或者其他有关部门给予警告，责令限期改正；逾期未改正的，可处以1000元以上1万元以下的罚款。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3E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25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9DAD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9"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84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CA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C2337400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80C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注册造价工程师未办理变更注册而继续执业并参与水利工程造价活动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D80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278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第十二条第一款 在注册有效期内，注册造价工程师变更执业单位的，应当与原聘用单位解除劳动合同，并按照本办法第八条规定的程序，到新聘用单位工商注册所在地的省、自治区、直辖市人民政府住房城乡建设主管部门或者国务院有关专业部门办理变更注册手续。变更注册后延续原注册有效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《注册造价工程师管理办法》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违反本办法规定，未办理变更注册而继续执业的，由县级以上人民政府住房城乡建设主管部门或者其他有关部门责令限期改正；逾期未改正，可处以5000元以下的罚款。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AA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EC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364A3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34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B0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7EA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建设单位未及时出具撤销保函申请书或者返还保证金</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AB9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3D5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第六十四条第三款  建设单位应当按照合同约定出具撤销保函申请书或者返还施工质量保证金。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第一百零一条 违反本条例第六十四条第三款规定，建设单位未及时出具撤销保函申请书或者返还保证金的，由住房城乡建设或者专业工程行政主管部门责令限期改正，逾期未改正的，处10万元以上50万元以下的罚款。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2E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9B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7727A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8D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21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F4A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相关单位未按规定签署工程质量终身责任承诺书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58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43D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第十六条第二款 建筑材料、建筑构配件和设备进场时，供应单位应当按照规定提供真实、有效的质量证明文件。结构性材料、重要功能性材料和设备进场检验合格后，供应单位应当按照规定报送供应单位名称、材料技术指标、采购单位和采购数量等信息。供应涉及建筑主体和承重结构材料的单位，其法定代表人还应当签署工程质量终身责任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第十八条第二款 项目负责人应当签署工程质量终身责任承诺书。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《北京市建设工程质量条例》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第七十八条 违反本条例第十六条第二款、第十八条第二款、第二十六条规定，建设、勘察、设计、施工、监理等单位的项目负责人，供应涉及建筑主体和承重结构材料的单位的法定代表人未签署工程质量终身责任承诺书，或者建设单位未提交工程质量终身责任承诺书的，由住房城乡建设、规划或者专业工程行政主管部门责令限期改正，逾期未改正的，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CC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84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6275C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43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89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108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建设单位未提交工程质量终身责任承诺书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4E1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6BB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 建设、勘察、设计、施工、监理等单位的项目负责人、供应涉及建筑主体和承重结构材料的单位的法定代表人，其签署的工程质量终身责任承诺书作为建设工程各阶段相关合同的附件，由建设单位在办理施工图设计文件审查、工程质量监督注册手续时向有关监督管理部门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工程质量终身责任承诺书应当存入建设工程档案，工程竣工验收合格后移交城市建设档案管理部门。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《北京市建设工程质量条例》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第七十八条 违反本条例第十六条第二款、第十八条第二款、第二十六条规定，建设、勘察、设计、施工、监理等单位的项目负责人，供应涉及建筑主体和承重结构材料的单位的法定代表人未签署工程质量终身责任承诺书，或者建设单位未提交工程质量终身责任承诺书的，由住房城乡建设、规划或者专业工程行政主管部门责令限期改正，逾期未改正的，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D3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1CD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r>
      <w:tr w14:paraId="44F32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CC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55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C2347600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4E7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建设单位未按照规定设置永久性标识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80B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715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第五十三条工程竣工验收前，建设单位应当设置永久性标识，载明工程名称和建设、勘察、设计、施工、监理等单位名称以及项目负责人姓名等内容。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第九十五条 违反本条例第五十三条规定，建设单位未按照规定设置永久性标识的，由住房城乡建设或者专业工程行政主管部门责令限期改正，逾期未改正的，处3万元的罚款。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F6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6B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6074B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22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CA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C2355500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59D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矿产资源开采、地下工程建设疏干排水应当定期报送疏干排水量和地下水水位状况而未报送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3B5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2BE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《地下水管理条例》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 矿产资源开采、地下工程建设疏干排水量达到规模的，应当依法申请取水许可，安装排水计量设施，定期向取水许可审批机关报送疏干排水量和地下水水位状况。疏干排水量规模由省、自治区、直辖市人民政府制定、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《地下水管理条例》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第五十七条第二款 地下工程建设应当于开工前将工程建设方案和防止对地下水产生不利影响的措施方案备案而未备案的，或者矿产资源开采、地下工程建设疏干排水应当定期报送疏干排水量和地下水水位状况而未报送的，由县级以上地方人民政府水行政主管部门责令限期补报；逾期不补报的，处2万元以上10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7B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A3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44A46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82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70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C2309400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F83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排水户名称、法定代表人等其他事项变更未按规定办理变更手续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FE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A1F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《城镇污水排入排水管网许可管理办法》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第十一条第二款  排水户名称、法定代表人等其他事项变更的，排水户应当在变更之日起30日内向城镇排水主管部门申请办理变更。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《城镇污水排入排水管网许可管理办法》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第二十九条 排水户名称、法定代表人等其他事项变更，未按本办法规定及时向城镇排水主管部门申请办理变更的，由城镇排水主管部门责令改正，可以处1万元以下罚款。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16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C9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60C11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49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47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C2309800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1B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向雨水收集口、雨水管道排放或者倾倒污水、污物和垃圾等废弃物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10C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905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第三十九条第二款 任何单位和个人不得向雨水收集口、雨水管道排放或者倾倒污水、污物和垃圾等废弃物。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第八十六条 违反本条例规定，向雨水收集口、雨水管道排放或者倾倒污水、污物和垃圾等废弃物的，由水务部门责令停止违法行为，对个人处一千元以上一万元以下的罚款；对单位处一万元以上十万元以下的罚款。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03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D0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街乡</w:t>
            </w:r>
          </w:p>
        </w:tc>
      </w:tr>
      <w:tr w14:paraId="15EA1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74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F4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C2329900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97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建设工程勘察、工程设计企业未按照规定提供信用档案信息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BB8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52B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《建设工程勘察设计资质管理规定》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第二十七条第一款 企业应当按照有关规定，向资质许可机关提供真实、准确、完整的企业信用档案信息。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第二十七条第二款 企业的信用档案应当包括企业基本情况、业绩、工程质量和安全、合同违约等情况。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《建设工程勘察设计资质管理规定》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企业未按照规定提供信用档案信息的，由县级以上地方人民政府住房城乡建设主管部门给予警告，责令限期改正；逾期未改正的，可处以1000元以上1万元以下的罚款。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D7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86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14499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C7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25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BF1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水土保持设施管护单位未保存水土保持设施清单和管护记录</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E58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7E8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第二十五条第三款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水土保持设施的管护单位应当建立健全日常管护制度，保障设施正常运行，并保存水土保持设施清单和管护记录。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第三十七条第二款 违反本条例第二十五条第三款规定，水土保持设施管护单位未保存水土保持设施清单和管护记录的，由水行政部门责令改正，可处五千元罚款。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75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DB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2061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8D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44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C2348800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EF1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未按时报送水土保持监测情况</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A7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8CB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 依法应当编制水土保持方案的生产建设项目，生产建设单位应当自行或者委托水土保持监测机构按照国家有关规定实施监测，并定期向水行政部门报送监测情况，同时报送土石方堆放、转运和综合利用等监测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违反本条例第二十八条规定，未按时报送监测情况的，由水行政部门责令限期改正，处五千元以上二万元以下罚款。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FB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E8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5E229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7B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67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388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未按更新改造计划更换淘汰便器水箱和配件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28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168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原有房屋安装使用淘汰便器水箱和配件的，房屋产权单位应当制定更新改造计划，分期分批进行改造。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第九条第一款第二项 违反本办法有下列行为之一的，由城市建设行政主管部门责令限期改正、按测算漏水量月累计征收３－５倍的加价水费，并可按每套便器水箱配件处以３０－１００元的罚款，最高不超过３００００元：（二）未按更新改造计划更换淘汰便器水箱和配件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98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39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D6BA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48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81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C2342100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3F4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在限定的期限内未更换淘汰便器水箱和配件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258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B17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　新建房屋建筑必须安装符合国家标准的便器水箱和配件。凡新建房屋继续安装经国家有关行政主管部门已通知淘汰的便器水箱和配件（以下简称淘汰便器水箱和配件）的，不得竣工验收交付使用，供水部门不予供水，由城市建设行政主管部门责令限期更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第九条第一款第三项 违反本办法有下列行为之一的，由城市建设行政主管部门责令限期改正、按测算漏水量月累计征收３－５倍的加价水费，并可按每套便器水箱配件处以３０－１００元的罚款，最高不超过３００００元：（三）在限定的期限内未更换淘汰便器水箱和配件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29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A3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434C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85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D2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C2302800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96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不按规定提供取水、退水计量资料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3ED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00E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第四十九条第一款第三项 取水单位或者个人违反本办法规定，有下列行为之一的，由取水审批机关责令其限期改正，并可处1000元以下罚款：（三）不按规定提供取水、退水计量资料的。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《取水许可管理办法》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第四十九条第一款第三项 取水单位或者个人违反本办法规定，有下列行为之一的，由取水审批机关责令其限期改正，并可处1000元以下罚款：（三）不按规定提供取水、退水计量资料的。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BB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11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0AA70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96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70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C2304100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7A5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取水单位或者个人不按照规定报送年度取水情况</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5DC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27F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《取水许可和水资源费征收管理条例》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 取水单位或者个人应当依照国家技术标准安装计量设施，保证计量设施正常运行，并按照规定填报取水统计报表。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《取水许可和水资源费征收管理条例》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第五十二条第一款第一项 有下列行为之一的，责令停止违法行为，限期改正，处5000元以上2万元以下罚款；情节严重的，吊销取水许可证：（一）不按照规定报送年度取水情况的；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BE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EA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4FDAD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auto" w:sz="4" w:space="0"/>
              <w:right w:val="single" w:color="000000" w:sz="4" w:space="0"/>
            </w:tcBorders>
            <w:shd w:val="clear" w:color="auto" w:fill="auto"/>
            <w:vAlign w:val="center"/>
          </w:tcPr>
          <w:p w14:paraId="2F8294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109" w:type="dxa"/>
            <w:tcBorders>
              <w:top w:val="single" w:color="000000" w:sz="4" w:space="0"/>
              <w:left w:val="single" w:color="000000" w:sz="4" w:space="0"/>
              <w:bottom w:val="single" w:color="auto" w:sz="4" w:space="0"/>
              <w:right w:val="single" w:color="000000" w:sz="4" w:space="0"/>
            </w:tcBorders>
            <w:shd w:val="clear" w:color="auto" w:fill="auto"/>
            <w:vAlign w:val="center"/>
          </w:tcPr>
          <w:p w14:paraId="318FD7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C23459000</w:t>
            </w:r>
          </w:p>
        </w:tc>
        <w:tc>
          <w:tcPr>
            <w:tcW w:w="1614" w:type="dxa"/>
            <w:tcBorders>
              <w:top w:val="single" w:color="000000" w:sz="4" w:space="0"/>
              <w:left w:val="single" w:color="000000" w:sz="4" w:space="0"/>
              <w:bottom w:val="single" w:color="auto" w:sz="4" w:space="0"/>
              <w:right w:val="single" w:color="000000" w:sz="4" w:space="0"/>
            </w:tcBorders>
            <w:shd w:val="clear" w:color="auto" w:fill="auto"/>
            <w:vAlign w:val="center"/>
          </w:tcPr>
          <w:p w14:paraId="55FCB92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Style w:val="25"/>
                <w:sz w:val="20"/>
                <w:szCs w:val="20"/>
                <w:lang w:val="en-US" w:eastAsia="zh-CN" w:bidi="ar"/>
              </w:rPr>
              <w:t>在堤防和护堤地，从事放牧、葬坟、晒粮、挖窖、存放物料等活动</w:t>
            </w:r>
          </w:p>
        </w:tc>
        <w:tc>
          <w:tcPr>
            <w:tcW w:w="2450" w:type="dxa"/>
            <w:tcBorders>
              <w:top w:val="single" w:color="000000" w:sz="4" w:space="0"/>
              <w:left w:val="single" w:color="000000" w:sz="4" w:space="0"/>
              <w:bottom w:val="single" w:color="auto" w:sz="4" w:space="0"/>
              <w:right w:val="single" w:color="000000" w:sz="4" w:space="0"/>
            </w:tcBorders>
            <w:shd w:val="clear" w:color="auto" w:fill="auto"/>
            <w:vAlign w:val="center"/>
          </w:tcPr>
          <w:p w14:paraId="3800D16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auto" w:sz="4" w:space="0"/>
              <w:right w:val="single" w:color="000000" w:sz="4" w:space="0"/>
            </w:tcBorders>
            <w:shd w:val="clear" w:color="auto" w:fill="auto"/>
            <w:vAlign w:val="center"/>
          </w:tcPr>
          <w:p w14:paraId="7A7D4D7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《中华人民共和国河道管理条例》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第二十四条第二款 在堤防和护堤地，禁止建房、放牧、开渠、打井、挖窖、葬坟、晒粮、存放物料、开采地下资源、进行考古发掘以及开展集市贸易活动。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《北京市河湖保护管理条例》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第十九条第一款第六项 在河湖管理范围内，禁止下列行为：(六)在堤防和护堤地，从事放牧、葬坟、晒粮、开渠、打井、挖窖、取土、存放物料、开办集市贸易、开采地下资源、进行考古发掘等活动；（七）在堤防上垦植；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《中华人民共和国河道管理条例》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第四十四条第一款第二项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二）在堤防、护堤地建房、放牧、开渠、打井、挖窖、葬坟、晒粮、存放物料、开采地下资源、进行考古发掘以及开展集市贸易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《北京市河湖保护管理条例》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 违反本条例第十九条规定，由水行政主管部门责令停止违法行为，排除阻碍或者采取其他补救措施，有第（一）项规定行为的，处一万元以上五万元以下罚款；有其他项规定行为的，可以处五万元以下罚款，有违法所得的，没收违法所得。</w:t>
            </w:r>
          </w:p>
        </w:tc>
        <w:tc>
          <w:tcPr>
            <w:tcW w:w="1125" w:type="dxa"/>
            <w:tcBorders>
              <w:top w:val="single" w:color="000000" w:sz="4" w:space="0"/>
              <w:left w:val="single" w:color="000000" w:sz="4" w:space="0"/>
              <w:bottom w:val="single" w:color="auto" w:sz="4" w:space="0"/>
              <w:right w:val="single" w:color="000000" w:sz="4" w:space="0"/>
            </w:tcBorders>
            <w:shd w:val="clear" w:color="auto" w:fill="auto"/>
            <w:vAlign w:val="center"/>
          </w:tcPr>
          <w:p w14:paraId="7308A3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auto" w:sz="4" w:space="0"/>
              <w:right w:val="single" w:color="000000" w:sz="4" w:space="0"/>
            </w:tcBorders>
            <w:shd w:val="clear" w:color="auto" w:fill="auto"/>
            <w:vAlign w:val="center"/>
          </w:tcPr>
          <w:p w14:paraId="2254F9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市级，区级，街乡</w:t>
            </w:r>
          </w:p>
        </w:tc>
      </w:tr>
      <w:tr w14:paraId="5F394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5" w:hRule="atLeast"/>
        </w:trPr>
        <w:tc>
          <w:tcPr>
            <w:tcW w:w="605" w:type="dxa"/>
            <w:tcBorders>
              <w:top w:val="single" w:color="auto" w:sz="4" w:space="0"/>
              <w:left w:val="single" w:color="auto" w:sz="4" w:space="0"/>
              <w:bottom w:val="single" w:color="auto" w:sz="4" w:space="0"/>
              <w:right w:val="single" w:color="auto" w:sz="4" w:space="0"/>
            </w:tcBorders>
            <w:shd w:val="clear" w:color="auto" w:fill="auto"/>
            <w:vAlign w:val="center"/>
          </w:tcPr>
          <w:p w14:paraId="5DD0CA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27470B0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14:paraId="0D67D5D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非机动车在步行绿道、滨水步道通行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（2026年5月1日起施行）</w:t>
            </w:r>
          </w:p>
        </w:tc>
        <w:tc>
          <w:tcPr>
            <w:tcW w:w="2450" w:type="dxa"/>
            <w:tcBorders>
              <w:top w:val="single" w:color="auto" w:sz="4" w:space="0"/>
              <w:left w:val="single" w:color="auto" w:sz="4" w:space="0"/>
              <w:bottom w:val="single" w:color="auto" w:sz="4" w:space="0"/>
              <w:right w:val="single" w:color="auto" w:sz="4" w:space="0"/>
            </w:tcBorders>
            <w:shd w:val="clear" w:color="auto" w:fill="auto"/>
            <w:vAlign w:val="center"/>
          </w:tcPr>
          <w:p w14:paraId="04B4617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auto" w:sz="4" w:space="0"/>
              <w:left w:val="single" w:color="auto" w:sz="4" w:space="0"/>
              <w:bottom w:val="single" w:color="auto" w:sz="4" w:space="0"/>
              <w:right w:val="single" w:color="auto" w:sz="4" w:space="0"/>
            </w:tcBorders>
            <w:shd w:val="clear" w:color="auto" w:fill="auto"/>
            <w:vAlign w:val="center"/>
          </w:tcPr>
          <w:p w14:paraId="3487246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《北京市非机动车管理条例》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第二十七条第一款   禁止车辆在步行绿道和滨水步道内通行。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《北京市非机动车管理条例》</w:t>
            </w:r>
          </w:p>
          <w:p w14:paraId="25D1E56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第四十七条  违反本条例第二十七条第一款有关步行绿道、滨水步道通行规定的，由园林绿化、城市管理综合行政执法部门或者街道办事处、乡镇人民政府按照职责分工责令改正，处警告或者五元以上五十元以下罚款。</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53097F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14:paraId="115418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市级，区级，街乡</w:t>
            </w:r>
          </w:p>
        </w:tc>
      </w:tr>
      <w:tr w14:paraId="6D59E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14226" w:type="dxa"/>
            <w:gridSpan w:val="7"/>
            <w:tcBorders>
              <w:top w:val="single" w:color="auto" w:sz="4" w:space="0"/>
              <w:left w:val="nil"/>
              <w:bottom w:val="nil"/>
              <w:right w:val="nil"/>
            </w:tcBorders>
            <w:shd w:val="clear" w:color="auto" w:fill="auto"/>
            <w:vAlign w:val="top"/>
          </w:tcPr>
          <w:p w14:paraId="4A1D7FF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进入清单的事项，实施轻微违法不予处罚时，需具备相关适用条件；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未进入清单的事项，如符合《行政处罚法》的要求，也可依法实施不予行政处罚。</w:t>
            </w:r>
          </w:p>
        </w:tc>
      </w:tr>
    </w:tbl>
    <w:p w14:paraId="1C2E7B4F"/>
    <w:p w14:paraId="6E595B10"/>
    <w:p w14:paraId="0BD4F882"/>
    <w:p w14:paraId="4A3D2054"/>
    <w:p w14:paraId="211BD378"/>
    <w:p w14:paraId="6DCB2872"/>
    <w:p w14:paraId="2A1277E2"/>
    <w:p w14:paraId="09FCC73C"/>
    <w:p w14:paraId="53723776"/>
    <w:p w14:paraId="74AEAFB3"/>
    <w:p w14:paraId="0E7DC12C"/>
    <w:p w14:paraId="2ADC5740">
      <w:pPr>
        <w:sectPr>
          <w:pgSz w:w="16839" w:h="11907" w:orient="landscape"/>
          <w:pgMar w:top="1587" w:right="2098" w:bottom="1474" w:left="1984" w:header="0" w:footer="1134" w:gutter="0"/>
          <w:pgNumType w:fmt="decimal"/>
          <w:cols w:space="0" w:num="1"/>
          <w:rtlGutter w:val="0"/>
          <w:docGrid w:linePitch="312" w:charSpace="0"/>
        </w:sectPr>
      </w:pPr>
    </w:p>
    <w:p w14:paraId="2CB56AAC"/>
    <w:p w14:paraId="070DDB30"/>
    <w:p w14:paraId="50B25ECE"/>
    <w:p w14:paraId="2068559B"/>
    <w:p w14:paraId="34CAB4FD"/>
    <w:p w14:paraId="7E58159E"/>
    <w:p w14:paraId="15206A27"/>
    <w:p w14:paraId="68EADB75"/>
    <w:p w14:paraId="48206023"/>
    <w:p w14:paraId="7048D617"/>
    <w:p w14:paraId="50E90FB9"/>
    <w:p w14:paraId="085FAD9A"/>
    <w:p w14:paraId="13A06E25"/>
    <w:p w14:paraId="7400B053"/>
    <w:p w14:paraId="43EE4297"/>
    <w:p w14:paraId="5BD9A4D9"/>
    <w:p w14:paraId="18379215"/>
    <w:p w14:paraId="57813424"/>
    <w:p w14:paraId="761B0406"/>
    <w:p w14:paraId="4D84BE75"/>
    <w:p w14:paraId="0E00BE7D"/>
    <w:p w14:paraId="039E3F74"/>
    <w:p w14:paraId="1A9294AB"/>
    <w:p w14:paraId="61C15C85"/>
    <w:p w14:paraId="6ADED829"/>
    <w:p w14:paraId="22386BB6"/>
    <w:p w14:paraId="17FEDC33"/>
    <w:p w14:paraId="30E411B0"/>
    <w:p w14:paraId="4A8CCAD5"/>
    <w:p w14:paraId="6A04A64F"/>
    <w:p w14:paraId="27F1E731"/>
    <w:p w14:paraId="175BF80F">
      <w:pPr>
        <w:widowControl/>
        <w:shd w:val="clear" w:color="auto" w:fill="FFFFFF"/>
        <w:spacing w:line="560" w:lineRule="exact"/>
        <w:ind w:left="0" w:leftChars="0" w:firstLine="158" w:firstLineChars="61"/>
        <w:rPr>
          <w:rFonts w:hint="eastAsia" w:ascii="仿宋_GB2312" w:hAnsi="宋体" w:eastAsia="仿宋_GB2312"/>
          <w:spacing w:val="-10"/>
          <w:sz w:val="28"/>
          <w:szCs w:val="28"/>
        </w:rPr>
      </w:pPr>
      <w:r>
        <w:rPr>
          <w:rFonts w:hint="eastAsia" w:ascii="仿宋_GB2312" w:hAnsi="宋体" w:eastAsia="仿宋_GB2312"/>
          <w:spacing w:val="-10"/>
          <w:sz w:val="28"/>
          <w:szCs w:val="28"/>
        </w:rPr>
        <mc:AlternateContent>
          <mc:Choice Requires="wps">
            <w:drawing>
              <wp:anchor distT="0" distB="0" distL="114300" distR="114300" simplePos="0" relativeHeight="251662336" behindDoc="0" locked="0" layoutInCell="1" allowOverlap="1">
                <wp:simplePos x="0" y="0"/>
                <wp:positionH relativeFrom="column">
                  <wp:posOffset>-57785</wp:posOffset>
                </wp:positionH>
                <wp:positionV relativeFrom="paragraph">
                  <wp:posOffset>36195</wp:posOffset>
                </wp:positionV>
                <wp:extent cx="5637530" cy="0"/>
                <wp:effectExtent l="0" t="6350" r="0" b="6350"/>
                <wp:wrapNone/>
                <wp:docPr id="2" name="直接连接符 2"/>
                <wp:cNvGraphicFramePr/>
                <a:graphic xmlns:a="http://schemas.openxmlformats.org/drawingml/2006/main">
                  <a:graphicData uri="http://schemas.microsoft.com/office/word/2010/wordprocessingShape">
                    <wps:wsp>
                      <wps:cNvCnPr/>
                      <wps:spPr>
                        <a:xfrm>
                          <a:off x="0" y="0"/>
                          <a:ext cx="563753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4.55pt;margin-top:2.85pt;height:0pt;width:443.9pt;z-index:251662336;mso-width-relative:page;mso-height-relative:page;" filled="f" stroked="t" coordsize="21600,21600" o:gfxdata="UEsDBAoAAAAAAIdO4kAAAAAAAAAAAAAAAAAEAAAAZHJzL1BLAwQUAAAACACHTuJANH4lF9UAAAAG&#10;AQAADwAAAGRycy9kb3ducmV2LnhtbE2OzU7DMBCE70i8g7VI3FonlSAmxOkBVFWgXtoicd3GJg7E&#10;6zR2f3j7LlzgNqMZzXzV/Ox7cbRj7AJpyKcZCEtNMB21Gt62i4kCEROSwT6Q1fBtI8zr66sKSxNO&#10;tLbHTWoFj1AsUYNLaSiljI2zHuM0DJY4+wijx8R2bKUZ8cTjvpezLLuXHjviB4eDfXK2+docvAZ8&#10;Xq7Tu5q9Ft2LW31uF/ulU3utb2/y7BFEsuf0V4YffEaHmpl24UAmil7D5CHnpoa7AgTHqlAsdr9e&#10;1pX8j19fAFBLAwQUAAAACACHTuJAfchmcPIBAADnAwAADgAAAGRycy9lMm9Eb2MueG1srVPNbhMx&#10;EL4j8Q6W72TTVG3RKpseGsoFQSTgASa2N2vJf/K42eQleAEkbnDiyJ23oX0Mxt5tKO0lh+7BO2PP&#10;fDPf5/H8cmcN26qI2ruGn0ymnCknvNRu0/DPn65fveYMEzgJxjvV8L1Cfrl4+WLeh1rNfOeNVJER&#10;iMO6Dw3vUgp1VaHolAWc+KAcHbY+Wkjkxk0lI/SEbk01m07Pq95HGaIXCpF2l8MhHxHjMYC+bbVQ&#10;Sy9urHJpQI3KQCJK2OmAfFG6bVsl0oe2RZWYaTgxTWWlImSv81ot5lBvIoROi7EFOKaFR5wsaEdF&#10;D1BLSMBuon4CZbWIHn2bJsLbaiBSFCEWJ9NH2nzsIKjChaTGcBAdnw9WvN+uItOy4TPOHFi68Nuv&#10;v/58+X73+xuttz9/sFkWqQ9YU+yVW8XRw7CKmfGujTb/iQvbFWH3B2HVLjFBm2fnpxdnp6S5uD+r&#10;/iWGiOmt8pZlo+FGu8wZati+w0TFKPQ+JG8bx3qa29nFNOMBTWBLN0+mDcQC3aYkozdaXmtjcgrG&#10;zfrKRLaFPAXly5wI+L+wXGUJ2A1x5WiYj06BfOMkS/tA+jh6Fjz3YJXkzCh6RdkiQKgTaHNMJJU2&#10;LieoMqMj0SzyIGu21l7ui9pV9uj+S8fjrOYBe+iT/fB9Lv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H4lF9UAAAAGAQAADwAAAAAAAAABACAAAAAiAAAAZHJzL2Rvd25yZXYueG1sUEsBAhQAFAAA&#10;AAgAh07iQH3IZnDyAQAA5wMAAA4AAAAAAAAAAQAgAAAAJAEAAGRycy9lMm9Eb2MueG1sUEsFBgAA&#10;AAAGAAYAWQEAAIgFAAAAAA==&#10;">
                <v:fill on="f" focussize="0,0"/>
                <v:stroke weight="1pt" color="#000000" joinstyle="round"/>
                <v:imagedata o:title=""/>
                <o:lock v:ext="edit" aspectratio="f"/>
              </v:line>
            </w:pict>
          </mc:Fallback>
        </mc:AlternateContent>
      </w:r>
      <w:r>
        <w:rPr>
          <w:rFonts w:hint="eastAsia" w:ascii="仿宋_GB2312" w:hAnsi="宋体" w:eastAsia="仿宋_GB2312"/>
          <w:spacing w:val="-10"/>
          <w:sz w:val="28"/>
          <w:szCs w:val="28"/>
        </w:rPr>
        <w:t>抄送：</w:t>
      </w:r>
      <w:r>
        <w:rPr>
          <w:rFonts w:hint="eastAsia" w:ascii="仿宋_GB2312" w:hAnsi="宋体" w:eastAsia="仿宋_GB2312"/>
          <w:color w:val="auto"/>
          <w:spacing w:val="-10"/>
          <w:sz w:val="28"/>
          <w:szCs w:val="28"/>
          <w:lang w:eastAsia="zh-CN"/>
        </w:rPr>
        <w:t>市发展改革委</w:t>
      </w:r>
    </w:p>
    <w:p w14:paraId="0F5846E5">
      <w:pPr>
        <w:widowControl/>
        <w:shd w:val="clear" w:color="auto" w:fill="FFFFFF"/>
        <w:spacing w:line="560" w:lineRule="exact"/>
        <w:ind w:left="0" w:leftChars="0" w:firstLine="159" w:firstLineChars="57"/>
        <w:rPr>
          <w:rFonts w:ascii="仿宋_GB2312" w:hAnsi="Times New Roman" w:eastAsia="仿宋_GB2312"/>
          <w:snapToGrid w:val="0"/>
          <w:kern w:val="0"/>
          <w:sz w:val="32"/>
          <w:szCs w:val="32"/>
        </w:rPr>
      </w:pPr>
      <w:r>
        <w:rPr>
          <w:rFonts w:hint="eastAsia" w:ascii="黑体" w:hAnsi="黑体" w:eastAsia="黑体"/>
          <w:sz w:val="28"/>
          <w:szCs w:val="28"/>
        </w:rPr>
        <mc:AlternateContent>
          <mc:Choice Requires="wps">
            <w:drawing>
              <wp:anchor distT="0" distB="0" distL="114300" distR="114300" simplePos="0" relativeHeight="251661312" behindDoc="0" locked="0" layoutInCell="1" allowOverlap="1">
                <wp:simplePos x="0" y="0"/>
                <wp:positionH relativeFrom="column">
                  <wp:posOffset>-46355</wp:posOffset>
                </wp:positionH>
                <wp:positionV relativeFrom="paragraph">
                  <wp:posOffset>49530</wp:posOffset>
                </wp:positionV>
                <wp:extent cx="563753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6375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65pt;margin-top:3.9pt;height:0pt;width:443.9pt;z-index:251661312;mso-width-relative:page;mso-height-relative:page;" filled="f" stroked="t" coordsize="21600,21600" o:gfxdata="UEsDBAoAAAAAAIdO4kAAAAAAAAAAAAAAAAAEAAAAZHJzL1BLAwQUAAAACACHTuJASLtwbtQAAAAG&#10;AQAADwAAAGRycy9kb3ducmV2LnhtbE2PzU7DMBCE70i8g7VIXKrWbitoFOL0AOTGhRbEdRsvSUS8&#10;TmP3B56ehQscRzOa+aZYn32vjjTGLrCF+cyAIq6D67ix8LKtphmomJAd9oHJwidFWJeXFwXmLpz4&#10;mY6b1Cgp4ZijhTalIdc61i15jLMwEIv3HkaPSeTYaDfiScp9rxfG3GqPHctCiwPdt1R/bA7eQqxe&#10;aV99TeqJeVs2gRb7h6dHtPb6am7uQCU6p78w/OALOpTCtAsHdlH1FqarpSQtrOSA2FlmbkDtfrUu&#10;C/0fv/wGUEsDBBQAAAAIAIdO4kAbehCI8gEAAOYDAAAOAAAAZHJzL2Uyb0RvYy54bWytU81uEzEQ&#10;viPxDpbvZNO0KWWVTQ8N5YIgEvAAE9ubteQ/edxs8hK8ABI3OHHk3rehPEbH3jSUcsmBPXhn7Jlv&#10;5vs8nl1urWEbFVF71/CT0Zgz5YSX2q0b/unj9YsLzjCBk2C8Uw3fKeSX8+fPZn2o1cR33kgVGYE4&#10;rPvQ8C6lUFcVik5ZwJEPytFh66OFRG5cVzJCT+jWVJPx+LzqfZQheqEQaXcxHPI9YjwG0LetFmrh&#10;xY1VLg2oURlIRAk7HZDPS7dtq0R637aoEjMNJ6aprFSE7FVeq/kM6nWE0GmxbwGOaeEJJwvaUdED&#10;1AISsJuo/4GyWkSPvk0j4W01ECmKEIuT8RNtPnQQVOFCUmM4iI7/D1a82ywj07LhZ5w5sHThd19+&#10;/vr87fftV1rvfnxnZ1mkPmBNsVduGfcehmXMjLdttPlPXNi2CLs7CKu2iQnanJ6fvpyekubi4az6&#10;kxgipjfKW5aNhhvtMmeoYfMWExWj0IeQvG0c6xv+ajqZEhzQALZ08WTaQCTQrUsueqPltTYmZ2Bc&#10;r65MZBvIQ1C+TIlw/wrLRRaA3RBXjobx6BTI106ytAskj6NXwXMLVknOjKJHlC0ChDqBNsdEUmnj&#10;coIqI7rnmTUeVM3WystdEbvKHl1/6Xg/qnm+HvtkP36e83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Iu3Bu1AAAAAYBAAAPAAAAAAAAAAEAIAAAACIAAABkcnMvZG93bnJldi54bWxQSwECFAAUAAAA&#10;CACHTuJAG3oQiPIBAADmAwAADgAAAAAAAAABACAAAAAjAQAAZHJzL2Uyb0RvYy54bWxQSwUGAAAA&#10;AAYABgBZAQAAhwUAAAAA&#10;">
                <v:fill on="f" focussize="0,0"/>
                <v:stroke color="#000000" joinstyle="round"/>
                <v:imagedata o:title=""/>
                <o:lock v:ext="edit" aspectratio="f"/>
              </v:line>
            </w:pict>
          </mc:Fallback>
        </mc:AlternateContent>
      </w:r>
      <w:r>
        <w:rPr>
          <w:rFonts w:hint="eastAsia" w:ascii="仿宋_GB2312" w:hAnsi="宋体"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-46355</wp:posOffset>
                </wp:positionH>
                <wp:positionV relativeFrom="paragraph">
                  <wp:posOffset>399415</wp:posOffset>
                </wp:positionV>
                <wp:extent cx="5637530" cy="0"/>
                <wp:effectExtent l="0" t="6350" r="0" b="6350"/>
                <wp:wrapNone/>
                <wp:docPr id="3" name="直接连接符 3"/>
                <wp:cNvGraphicFramePr/>
                <a:graphic xmlns:a="http://schemas.openxmlformats.org/drawingml/2006/main">
                  <a:graphicData uri="http://schemas.microsoft.com/office/word/2010/wordprocessingShape">
                    <wps:wsp>
                      <wps:cNvCnPr/>
                      <wps:spPr>
                        <a:xfrm>
                          <a:off x="0" y="0"/>
                          <a:ext cx="563753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65pt;margin-top:31.45pt;height:0pt;width:443.9pt;z-index:251660288;mso-width-relative:page;mso-height-relative:page;" filled="f" stroked="t" coordsize="21600,21600" o:gfxdata="UEsDBAoAAAAAAIdO4kAAAAAAAAAAAAAAAAAEAAAAZHJzL1BLAwQUAAAACACHTuJAZIXfhtcAAAAI&#10;AQAADwAAAGRycy9kb3ducmV2LnhtbE2PzU7DMBCE70i8g7VI3Fq7QbRpiNMDqKpAXNoi9bqNlzgQ&#10;r9PY/eHtMeIAx9kZzXxbLi6uEycaQutZw2SsQBDX3rTcaHjbLkc5iBCRDXaeScMXBVhU11clFsaf&#10;eU2nTWxEKuFQoAYbY19IGWpLDsPY98TJe/eDw5jk0Egz4DmVu05mSk2lw5bTgsWeHi3Vn5uj04BP&#10;q3Xc5dnLrH22rx/b5WFl84PWtzcT9QAi0iX+heEHP6FDlZj2/sgmiE7DaHaXkhqm2RxE8vNc3YPY&#10;/x5kVcr/D1TfUEsDBBQAAAAIAIdO4kB6FlSh8QEAAOcDAAAOAAAAZHJzL2Uyb0RvYy54bWytU81u&#10;EzEQviPxDpbvZNNEbdEqmx4aygVBJOABJrY3a8l/8rjZ5CV4ASRucOLInbehfQzG3m0o5ZIDe/DO&#10;2DPfzPd5vLjaW8N2KqL2ruFnkylnygkvtds2/OOHmxcvOcMEToLxTjX8oJBfLZ8/W/ShVjPfeSNV&#10;ZATisO5Dw7uUQl1VKDplASc+KEeHrY8WErlxW8kIPaFbU82m04uq91GG6IVCpN3VcMhHxHgKoG9b&#10;LdTKi1urXBpQozKQiBJ2OiBflm7bVon0rm1RJWYaTkxTWakI2Zu8VssF1NsIodNibAFOaeEJJwva&#10;UdEj1AoSsNuo/4GyWkSPvk0T4W01ECmKEIuz6RNt3ncQVOFCUmM4io7/D1a83a0j07Lhc84cWLrw&#10;u88/fn36ev/zC61337+xeRapD1hT7LVbx9HDsI6Z8b6NNv+JC9sXYQ9HYdU+MUGb5xfzy/M5aS4e&#10;zqo/iSFieq28ZdlouNEuc4Yadm8wUTEKfQjJ28axnuZ2djnNeEAT2NLNk2kDsUC3LcnojZY32pic&#10;gnG7uTaR7SBPQfkyJwL+KyxXWQF2Q1w5GuajUyBfOcnSIZA+jp4Fzz1YJTkzil5RtggQ6gTanBJJ&#10;pY3LCarM6Eg0izzImq2Nl4eidpU9uv/S8TirecAe+2Q/fp/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SF34bXAAAACAEAAA8AAAAAAAAAAQAgAAAAIgAAAGRycy9kb3ducmV2LnhtbFBLAQIUABQA&#10;AAAIAIdO4kB6FlSh8QEAAOcDAAAOAAAAAAAAAAEAIAAAACYBAABkcnMvZTJvRG9jLnhtbFBLBQYA&#10;AAAABgAGAFkBAACJBQAAAAA=&#10;">
                <v:fill on="f" focussize="0,0"/>
                <v:stroke weight="1pt" color="#000000" joinstyle="round"/>
                <v:imagedata o:title=""/>
                <o:lock v:ext="edit" aspectratio="f"/>
              </v:line>
            </w:pict>
          </mc:Fallback>
        </mc:AlternateContent>
      </w:r>
      <w:r>
        <w:rPr>
          <w:rFonts w:hint="eastAsia" w:ascii="仿宋_GB2312" w:hAnsi="宋体" w:eastAsia="仿宋_GB2312"/>
          <w:spacing w:val="-10"/>
          <w:sz w:val="28"/>
          <w:szCs w:val="28"/>
        </w:rPr>
        <w:t xml:space="preserve">北京市城市管理综合行政执法局办公室      </w:t>
      </w:r>
      <w:r>
        <w:rPr>
          <w:rFonts w:ascii="仿宋_GB2312" w:hAnsi="宋体" w:eastAsia="仿宋_GB2312"/>
          <w:spacing w:val="-10"/>
          <w:sz w:val="28"/>
          <w:szCs w:val="28"/>
        </w:rPr>
        <w:t xml:space="preserve"> </w:t>
      </w:r>
      <w:r>
        <w:rPr>
          <w:rFonts w:hint="eastAsia" w:ascii="仿宋_GB2312" w:hAnsi="宋体" w:eastAsia="仿宋_GB2312"/>
          <w:spacing w:val="-10"/>
          <w:sz w:val="28"/>
          <w:szCs w:val="28"/>
        </w:rPr>
        <w:t xml:space="preserve">    </w:t>
      </w:r>
      <w:r>
        <w:rPr>
          <w:rFonts w:ascii="仿宋_GB2312" w:hAnsi="宋体" w:eastAsia="仿宋_GB2312"/>
          <w:spacing w:val="-10"/>
          <w:sz w:val="28"/>
          <w:szCs w:val="28"/>
        </w:rPr>
        <w:t xml:space="preserve"> </w:t>
      </w:r>
      <w:r>
        <w:rPr>
          <w:rFonts w:hint="eastAsia" w:ascii="仿宋_GB2312" w:hAnsi="宋体" w:eastAsia="仿宋_GB2312"/>
          <w:spacing w:val="-10"/>
          <w:sz w:val="28"/>
          <w:szCs w:val="28"/>
        </w:rPr>
        <w:t>2</w:t>
      </w:r>
      <w:r>
        <w:rPr>
          <w:rFonts w:hint="eastAsia" w:ascii="仿宋_GB2312" w:hAnsi="宋体" w:eastAsia="仿宋_GB2312"/>
          <w:spacing w:val="-10"/>
          <w:sz w:val="28"/>
          <w:szCs w:val="28"/>
          <w:lang w:val="en-US" w:eastAsia="zh-CN"/>
        </w:rPr>
        <w:t>025</w:t>
      </w:r>
      <w:r>
        <w:rPr>
          <w:rFonts w:hint="eastAsia" w:ascii="仿宋_GB2312" w:hAnsi="宋体" w:eastAsia="仿宋_GB2312"/>
          <w:spacing w:val="-10"/>
          <w:sz w:val="28"/>
          <w:szCs w:val="28"/>
        </w:rPr>
        <w:t>年</w:t>
      </w:r>
      <w:r>
        <w:rPr>
          <w:rFonts w:hint="default" w:ascii="仿宋_GB2312" w:hAnsi="宋体" w:eastAsia="仿宋_GB2312"/>
          <w:spacing w:val="-10"/>
          <w:sz w:val="28"/>
          <w:szCs w:val="28"/>
          <w:lang w:val="en-US" w:eastAsia="zh-CN"/>
        </w:rPr>
        <w:t>12</w:t>
      </w:r>
      <w:r>
        <w:rPr>
          <w:rFonts w:hint="eastAsia" w:ascii="仿宋_GB2312" w:hAnsi="宋体" w:eastAsia="仿宋_GB2312"/>
          <w:spacing w:val="-10"/>
          <w:sz w:val="28"/>
          <w:szCs w:val="28"/>
        </w:rPr>
        <w:t>月</w:t>
      </w:r>
      <w:r>
        <w:rPr>
          <w:rFonts w:hint="default" w:ascii="仿宋_GB2312" w:hAnsi="宋体" w:eastAsia="仿宋_GB2312"/>
          <w:spacing w:val="-10"/>
          <w:sz w:val="28"/>
          <w:szCs w:val="28"/>
          <w:lang w:val="en-US" w:eastAsia="zh-CN"/>
        </w:rPr>
        <w:t>30</w:t>
      </w:r>
      <w:r>
        <w:rPr>
          <w:rFonts w:hint="eastAsia" w:ascii="仿宋_GB2312" w:hAnsi="宋体" w:eastAsia="仿宋_GB2312"/>
          <w:spacing w:val="-10"/>
          <w:sz w:val="28"/>
          <w:szCs w:val="28"/>
        </w:rPr>
        <w:t>日</w:t>
      </w:r>
      <w:r>
        <w:rPr>
          <w:rFonts w:hint="eastAsia" w:ascii="仿宋_GB2312" w:hAnsi="宋体" w:eastAsia="仿宋_GB2312"/>
          <w:sz w:val="28"/>
          <w:szCs w:val="28"/>
        </w:rPr>
        <w:t>印发</w:t>
      </w:r>
    </w:p>
    <w:sectPr>
      <w:pgSz w:w="11907" w:h="16839"/>
      <w:pgMar w:top="2098" w:right="1474" w:bottom="1984" w:left="1587" w:header="0" w:footer="1134"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113C3">
    <w:pPr>
      <w:pStyle w:val="8"/>
      <w:ind w:right="280"/>
      <w:jc w:val="right"/>
      <w:rPr>
        <w:rFonts w:ascii="Times New Roman" w:hAnsi="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5B326">
                          <w:pPr>
                            <w:pStyle w:val="8"/>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E5B326">
                    <w:pPr>
                      <w:pStyle w:val="8"/>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C301D">
    <w:pPr>
      <w:pStyle w:val="8"/>
      <w:ind w:firstLine="280" w:firstLineChars="100"/>
      <w:rPr>
        <w:rFonts w:ascii="Times New Roman" w:hAnsi="Times New Roman"/>
        <w:sz w:val="28"/>
        <w:szCs w:val="28"/>
      </w:rPr>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14</w:t>
    </w:r>
    <w:r>
      <w:rPr>
        <w:rFonts w:ascii="宋体" w:hAnsi="宋体"/>
        <w:sz w:val="28"/>
        <w:szCs w:val="28"/>
      </w:rPr>
      <w:fldChar w:fldCharType="end"/>
    </w:r>
    <w:r>
      <w:rPr>
        <w:rFonts w:ascii="Times New Roman" w:hAnsi="Times New Roman"/>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18B56">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7058A">
    <w:pPr>
      <w:pStyle w:val="9"/>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5B1"/>
    <w:rsid w:val="00004A61"/>
    <w:rsid w:val="00006145"/>
    <w:rsid w:val="00010CF1"/>
    <w:rsid w:val="00012FD9"/>
    <w:rsid w:val="00013195"/>
    <w:rsid w:val="0001379F"/>
    <w:rsid w:val="000174ED"/>
    <w:rsid w:val="0002063A"/>
    <w:rsid w:val="00035E8A"/>
    <w:rsid w:val="000362E7"/>
    <w:rsid w:val="0003646C"/>
    <w:rsid w:val="000364A2"/>
    <w:rsid w:val="00036E2C"/>
    <w:rsid w:val="00036F5B"/>
    <w:rsid w:val="0004414D"/>
    <w:rsid w:val="00044FC8"/>
    <w:rsid w:val="000463A3"/>
    <w:rsid w:val="0004726A"/>
    <w:rsid w:val="000517A9"/>
    <w:rsid w:val="00051D6D"/>
    <w:rsid w:val="00054B4C"/>
    <w:rsid w:val="00055F69"/>
    <w:rsid w:val="000567D9"/>
    <w:rsid w:val="0006258F"/>
    <w:rsid w:val="0006269C"/>
    <w:rsid w:val="0007080B"/>
    <w:rsid w:val="00071357"/>
    <w:rsid w:val="0007330F"/>
    <w:rsid w:val="000738A7"/>
    <w:rsid w:val="00074A11"/>
    <w:rsid w:val="00075190"/>
    <w:rsid w:val="000751B9"/>
    <w:rsid w:val="00075F88"/>
    <w:rsid w:val="00077103"/>
    <w:rsid w:val="0007729C"/>
    <w:rsid w:val="0008648C"/>
    <w:rsid w:val="00091049"/>
    <w:rsid w:val="000927FE"/>
    <w:rsid w:val="000A64BB"/>
    <w:rsid w:val="000B56E4"/>
    <w:rsid w:val="000B755A"/>
    <w:rsid w:val="000C1499"/>
    <w:rsid w:val="000C2C9C"/>
    <w:rsid w:val="000C4060"/>
    <w:rsid w:val="000C55AF"/>
    <w:rsid w:val="000C620F"/>
    <w:rsid w:val="000C6229"/>
    <w:rsid w:val="000D0EFD"/>
    <w:rsid w:val="000D2E78"/>
    <w:rsid w:val="000D586E"/>
    <w:rsid w:val="000E320B"/>
    <w:rsid w:val="000E46A2"/>
    <w:rsid w:val="000E7A29"/>
    <w:rsid w:val="000F05A7"/>
    <w:rsid w:val="000F1A14"/>
    <w:rsid w:val="000F2D02"/>
    <w:rsid w:val="000F4DA6"/>
    <w:rsid w:val="000F593D"/>
    <w:rsid w:val="00100E7D"/>
    <w:rsid w:val="001015BA"/>
    <w:rsid w:val="0010242F"/>
    <w:rsid w:val="00102435"/>
    <w:rsid w:val="001027CC"/>
    <w:rsid w:val="00103EA7"/>
    <w:rsid w:val="00112AC4"/>
    <w:rsid w:val="00114880"/>
    <w:rsid w:val="00120FCD"/>
    <w:rsid w:val="00122FB6"/>
    <w:rsid w:val="0012480C"/>
    <w:rsid w:val="00124B13"/>
    <w:rsid w:val="00124B41"/>
    <w:rsid w:val="00125437"/>
    <w:rsid w:val="00126567"/>
    <w:rsid w:val="00131D8B"/>
    <w:rsid w:val="00132BE3"/>
    <w:rsid w:val="0013662E"/>
    <w:rsid w:val="00150028"/>
    <w:rsid w:val="001528E4"/>
    <w:rsid w:val="00157E96"/>
    <w:rsid w:val="00160B68"/>
    <w:rsid w:val="001626EC"/>
    <w:rsid w:val="0016387A"/>
    <w:rsid w:val="001705BB"/>
    <w:rsid w:val="001717B9"/>
    <w:rsid w:val="001750FE"/>
    <w:rsid w:val="00182A51"/>
    <w:rsid w:val="00186F77"/>
    <w:rsid w:val="001908D3"/>
    <w:rsid w:val="0019431B"/>
    <w:rsid w:val="00194347"/>
    <w:rsid w:val="00195A0D"/>
    <w:rsid w:val="00197118"/>
    <w:rsid w:val="001A0312"/>
    <w:rsid w:val="001B338B"/>
    <w:rsid w:val="001B3820"/>
    <w:rsid w:val="001C16EE"/>
    <w:rsid w:val="001C4B9B"/>
    <w:rsid w:val="001C6C94"/>
    <w:rsid w:val="001D24FB"/>
    <w:rsid w:val="001D37EF"/>
    <w:rsid w:val="001D58AE"/>
    <w:rsid w:val="001D5E78"/>
    <w:rsid w:val="001D6CB2"/>
    <w:rsid w:val="001E02C3"/>
    <w:rsid w:val="001E199C"/>
    <w:rsid w:val="001E426C"/>
    <w:rsid w:val="001F0558"/>
    <w:rsid w:val="001F2DE9"/>
    <w:rsid w:val="00202F1F"/>
    <w:rsid w:val="002066BC"/>
    <w:rsid w:val="00210AED"/>
    <w:rsid w:val="002118C2"/>
    <w:rsid w:val="0021196E"/>
    <w:rsid w:val="00217E46"/>
    <w:rsid w:val="002229FD"/>
    <w:rsid w:val="002239C8"/>
    <w:rsid w:val="00225949"/>
    <w:rsid w:val="00234928"/>
    <w:rsid w:val="0023502B"/>
    <w:rsid w:val="00240592"/>
    <w:rsid w:val="00242E45"/>
    <w:rsid w:val="0024392A"/>
    <w:rsid w:val="00245F4A"/>
    <w:rsid w:val="002472AF"/>
    <w:rsid w:val="00247CAA"/>
    <w:rsid w:val="002509C8"/>
    <w:rsid w:val="00250C2D"/>
    <w:rsid w:val="00253313"/>
    <w:rsid w:val="002556C5"/>
    <w:rsid w:val="0026216C"/>
    <w:rsid w:val="0026456F"/>
    <w:rsid w:val="00265BE9"/>
    <w:rsid w:val="0026698C"/>
    <w:rsid w:val="002715D8"/>
    <w:rsid w:val="00272401"/>
    <w:rsid w:val="00275705"/>
    <w:rsid w:val="002854C8"/>
    <w:rsid w:val="00286ACF"/>
    <w:rsid w:val="002A116A"/>
    <w:rsid w:val="002A2186"/>
    <w:rsid w:val="002A34F2"/>
    <w:rsid w:val="002A6533"/>
    <w:rsid w:val="002B2150"/>
    <w:rsid w:val="002B25F1"/>
    <w:rsid w:val="002B4BB4"/>
    <w:rsid w:val="002B6794"/>
    <w:rsid w:val="002C0B24"/>
    <w:rsid w:val="002C0C1F"/>
    <w:rsid w:val="002C4CDA"/>
    <w:rsid w:val="002C5D07"/>
    <w:rsid w:val="002D38B7"/>
    <w:rsid w:val="002D78CE"/>
    <w:rsid w:val="002E0BE7"/>
    <w:rsid w:val="002E14BE"/>
    <w:rsid w:val="002E5BDA"/>
    <w:rsid w:val="002E651B"/>
    <w:rsid w:val="002F1D5E"/>
    <w:rsid w:val="002F2A10"/>
    <w:rsid w:val="002F308B"/>
    <w:rsid w:val="003017AC"/>
    <w:rsid w:val="003033FA"/>
    <w:rsid w:val="00306928"/>
    <w:rsid w:val="0031053E"/>
    <w:rsid w:val="0031307C"/>
    <w:rsid w:val="00315C33"/>
    <w:rsid w:val="003161E2"/>
    <w:rsid w:val="003217A6"/>
    <w:rsid w:val="00324B01"/>
    <w:rsid w:val="0032588B"/>
    <w:rsid w:val="0033716C"/>
    <w:rsid w:val="00337A8D"/>
    <w:rsid w:val="0034436D"/>
    <w:rsid w:val="003455C2"/>
    <w:rsid w:val="00345E55"/>
    <w:rsid w:val="003461C9"/>
    <w:rsid w:val="00351CCE"/>
    <w:rsid w:val="0035322F"/>
    <w:rsid w:val="0035509F"/>
    <w:rsid w:val="0035752C"/>
    <w:rsid w:val="00372CBF"/>
    <w:rsid w:val="00374541"/>
    <w:rsid w:val="00377DD4"/>
    <w:rsid w:val="00383B5E"/>
    <w:rsid w:val="00385387"/>
    <w:rsid w:val="003903FE"/>
    <w:rsid w:val="003A21A9"/>
    <w:rsid w:val="003A2FF5"/>
    <w:rsid w:val="003A390C"/>
    <w:rsid w:val="003A56DA"/>
    <w:rsid w:val="003A5F90"/>
    <w:rsid w:val="003A6AB0"/>
    <w:rsid w:val="003B1046"/>
    <w:rsid w:val="003B192C"/>
    <w:rsid w:val="003B72A6"/>
    <w:rsid w:val="003C165B"/>
    <w:rsid w:val="003C18CB"/>
    <w:rsid w:val="003C2F16"/>
    <w:rsid w:val="003C3C04"/>
    <w:rsid w:val="003C4783"/>
    <w:rsid w:val="003C5C8B"/>
    <w:rsid w:val="003C710D"/>
    <w:rsid w:val="003D0129"/>
    <w:rsid w:val="003E0527"/>
    <w:rsid w:val="003E33AF"/>
    <w:rsid w:val="003E41F0"/>
    <w:rsid w:val="003E516A"/>
    <w:rsid w:val="003E7068"/>
    <w:rsid w:val="003F56CA"/>
    <w:rsid w:val="003F631D"/>
    <w:rsid w:val="004008AC"/>
    <w:rsid w:val="004029FC"/>
    <w:rsid w:val="004036F7"/>
    <w:rsid w:val="0040371C"/>
    <w:rsid w:val="004041A1"/>
    <w:rsid w:val="004130A3"/>
    <w:rsid w:val="00413B9E"/>
    <w:rsid w:val="004140CE"/>
    <w:rsid w:val="004170F6"/>
    <w:rsid w:val="00421D21"/>
    <w:rsid w:val="0042313B"/>
    <w:rsid w:val="004241D4"/>
    <w:rsid w:val="004260CE"/>
    <w:rsid w:val="00430382"/>
    <w:rsid w:val="00433D83"/>
    <w:rsid w:val="00433F2F"/>
    <w:rsid w:val="0043505E"/>
    <w:rsid w:val="00435082"/>
    <w:rsid w:val="004457A3"/>
    <w:rsid w:val="004462B7"/>
    <w:rsid w:val="00453318"/>
    <w:rsid w:val="0045446A"/>
    <w:rsid w:val="00461C7B"/>
    <w:rsid w:val="004625C6"/>
    <w:rsid w:val="00463E18"/>
    <w:rsid w:val="004642FF"/>
    <w:rsid w:val="00465D12"/>
    <w:rsid w:val="0046778D"/>
    <w:rsid w:val="00471282"/>
    <w:rsid w:val="00476C22"/>
    <w:rsid w:val="004876DE"/>
    <w:rsid w:val="00490D71"/>
    <w:rsid w:val="0049129B"/>
    <w:rsid w:val="004927E0"/>
    <w:rsid w:val="004960F9"/>
    <w:rsid w:val="004968F7"/>
    <w:rsid w:val="004A2314"/>
    <w:rsid w:val="004A2CB6"/>
    <w:rsid w:val="004A2CBD"/>
    <w:rsid w:val="004A49EA"/>
    <w:rsid w:val="004A5D4A"/>
    <w:rsid w:val="004A7650"/>
    <w:rsid w:val="004B066A"/>
    <w:rsid w:val="004B12AD"/>
    <w:rsid w:val="004B79E2"/>
    <w:rsid w:val="004C1D57"/>
    <w:rsid w:val="004C3D5B"/>
    <w:rsid w:val="004C47B2"/>
    <w:rsid w:val="004C5ADC"/>
    <w:rsid w:val="004C64AE"/>
    <w:rsid w:val="004C6514"/>
    <w:rsid w:val="004C6A16"/>
    <w:rsid w:val="004D061A"/>
    <w:rsid w:val="004D0EA1"/>
    <w:rsid w:val="004D5B14"/>
    <w:rsid w:val="004E2804"/>
    <w:rsid w:val="004E424F"/>
    <w:rsid w:val="004E5226"/>
    <w:rsid w:val="004E7BA7"/>
    <w:rsid w:val="004F0252"/>
    <w:rsid w:val="004F441B"/>
    <w:rsid w:val="004F7CA5"/>
    <w:rsid w:val="00502146"/>
    <w:rsid w:val="005044F8"/>
    <w:rsid w:val="00504AE8"/>
    <w:rsid w:val="00505CC9"/>
    <w:rsid w:val="005111AC"/>
    <w:rsid w:val="005127B7"/>
    <w:rsid w:val="00515E5F"/>
    <w:rsid w:val="00517519"/>
    <w:rsid w:val="005229EA"/>
    <w:rsid w:val="0052428A"/>
    <w:rsid w:val="00524F5C"/>
    <w:rsid w:val="00526095"/>
    <w:rsid w:val="00533C71"/>
    <w:rsid w:val="00534E6F"/>
    <w:rsid w:val="00534E7A"/>
    <w:rsid w:val="0053512B"/>
    <w:rsid w:val="00536AD9"/>
    <w:rsid w:val="00537DA8"/>
    <w:rsid w:val="00541056"/>
    <w:rsid w:val="005436C9"/>
    <w:rsid w:val="00546D1F"/>
    <w:rsid w:val="005470D4"/>
    <w:rsid w:val="005519A2"/>
    <w:rsid w:val="00553E67"/>
    <w:rsid w:val="00554648"/>
    <w:rsid w:val="00560BC8"/>
    <w:rsid w:val="00560DB1"/>
    <w:rsid w:val="00566069"/>
    <w:rsid w:val="00567781"/>
    <w:rsid w:val="00573267"/>
    <w:rsid w:val="00573BF6"/>
    <w:rsid w:val="00574170"/>
    <w:rsid w:val="00583F87"/>
    <w:rsid w:val="00587077"/>
    <w:rsid w:val="00593B5B"/>
    <w:rsid w:val="00595FE7"/>
    <w:rsid w:val="005A1BE4"/>
    <w:rsid w:val="005A216B"/>
    <w:rsid w:val="005A31DE"/>
    <w:rsid w:val="005A3BAE"/>
    <w:rsid w:val="005A4454"/>
    <w:rsid w:val="005A5481"/>
    <w:rsid w:val="005A738A"/>
    <w:rsid w:val="005B20A6"/>
    <w:rsid w:val="005B400C"/>
    <w:rsid w:val="005B659F"/>
    <w:rsid w:val="005C17A4"/>
    <w:rsid w:val="005C3320"/>
    <w:rsid w:val="005C3436"/>
    <w:rsid w:val="005D261D"/>
    <w:rsid w:val="005D3F01"/>
    <w:rsid w:val="005D78F4"/>
    <w:rsid w:val="005E1438"/>
    <w:rsid w:val="005F1B89"/>
    <w:rsid w:val="005F2BDF"/>
    <w:rsid w:val="00600428"/>
    <w:rsid w:val="00600CEE"/>
    <w:rsid w:val="006024FF"/>
    <w:rsid w:val="0060293A"/>
    <w:rsid w:val="00602F84"/>
    <w:rsid w:val="00604884"/>
    <w:rsid w:val="00615C5F"/>
    <w:rsid w:val="006175C5"/>
    <w:rsid w:val="006178C3"/>
    <w:rsid w:val="00622A1F"/>
    <w:rsid w:val="00624194"/>
    <w:rsid w:val="00630D54"/>
    <w:rsid w:val="006378D5"/>
    <w:rsid w:val="00642EBB"/>
    <w:rsid w:val="00643177"/>
    <w:rsid w:val="006446F3"/>
    <w:rsid w:val="00646512"/>
    <w:rsid w:val="0065149C"/>
    <w:rsid w:val="00651A1C"/>
    <w:rsid w:val="00652E68"/>
    <w:rsid w:val="006535ED"/>
    <w:rsid w:val="00653EB7"/>
    <w:rsid w:val="006552D9"/>
    <w:rsid w:val="00660231"/>
    <w:rsid w:val="006672B5"/>
    <w:rsid w:val="00667E1F"/>
    <w:rsid w:val="00670363"/>
    <w:rsid w:val="00674030"/>
    <w:rsid w:val="00674526"/>
    <w:rsid w:val="00677F69"/>
    <w:rsid w:val="006837F4"/>
    <w:rsid w:val="0068422C"/>
    <w:rsid w:val="006850EC"/>
    <w:rsid w:val="0068561F"/>
    <w:rsid w:val="00696964"/>
    <w:rsid w:val="0069748D"/>
    <w:rsid w:val="006A08D1"/>
    <w:rsid w:val="006A1013"/>
    <w:rsid w:val="006A2C7E"/>
    <w:rsid w:val="006A63AD"/>
    <w:rsid w:val="006A63E8"/>
    <w:rsid w:val="006B1351"/>
    <w:rsid w:val="006B4934"/>
    <w:rsid w:val="006B6FA9"/>
    <w:rsid w:val="006C2961"/>
    <w:rsid w:val="006C70D8"/>
    <w:rsid w:val="006D1D4F"/>
    <w:rsid w:val="006D6C08"/>
    <w:rsid w:val="006E25B3"/>
    <w:rsid w:val="006E74A3"/>
    <w:rsid w:val="006F0DAF"/>
    <w:rsid w:val="006F1B25"/>
    <w:rsid w:val="006F32CA"/>
    <w:rsid w:val="006F5AFD"/>
    <w:rsid w:val="006F7932"/>
    <w:rsid w:val="0070034C"/>
    <w:rsid w:val="0070224F"/>
    <w:rsid w:val="00710CFF"/>
    <w:rsid w:val="00711D39"/>
    <w:rsid w:val="007129E9"/>
    <w:rsid w:val="00712F95"/>
    <w:rsid w:val="00713E32"/>
    <w:rsid w:val="00715FD6"/>
    <w:rsid w:val="007248A0"/>
    <w:rsid w:val="0073638C"/>
    <w:rsid w:val="00737F40"/>
    <w:rsid w:val="00747002"/>
    <w:rsid w:val="007521D2"/>
    <w:rsid w:val="007549DE"/>
    <w:rsid w:val="00754AE4"/>
    <w:rsid w:val="00756347"/>
    <w:rsid w:val="0076038E"/>
    <w:rsid w:val="007603FC"/>
    <w:rsid w:val="00760833"/>
    <w:rsid w:val="00762838"/>
    <w:rsid w:val="00762C7F"/>
    <w:rsid w:val="00763C73"/>
    <w:rsid w:val="00764B96"/>
    <w:rsid w:val="00766463"/>
    <w:rsid w:val="0076737D"/>
    <w:rsid w:val="007678AC"/>
    <w:rsid w:val="00770739"/>
    <w:rsid w:val="00772D43"/>
    <w:rsid w:val="00774054"/>
    <w:rsid w:val="00774C25"/>
    <w:rsid w:val="0077537D"/>
    <w:rsid w:val="00775CF4"/>
    <w:rsid w:val="00782E4A"/>
    <w:rsid w:val="00783818"/>
    <w:rsid w:val="007840EC"/>
    <w:rsid w:val="00784F2D"/>
    <w:rsid w:val="007853DC"/>
    <w:rsid w:val="00786920"/>
    <w:rsid w:val="007902EC"/>
    <w:rsid w:val="00792F12"/>
    <w:rsid w:val="007A1F34"/>
    <w:rsid w:val="007A20D0"/>
    <w:rsid w:val="007A29DC"/>
    <w:rsid w:val="007A2D0B"/>
    <w:rsid w:val="007A30CB"/>
    <w:rsid w:val="007A3B93"/>
    <w:rsid w:val="007A5F04"/>
    <w:rsid w:val="007B0CC5"/>
    <w:rsid w:val="007B4C97"/>
    <w:rsid w:val="007C36D9"/>
    <w:rsid w:val="007C3A24"/>
    <w:rsid w:val="007C6C4C"/>
    <w:rsid w:val="007D08EA"/>
    <w:rsid w:val="007D3E6A"/>
    <w:rsid w:val="007D7CA0"/>
    <w:rsid w:val="007E07B5"/>
    <w:rsid w:val="007F06E7"/>
    <w:rsid w:val="007F71EB"/>
    <w:rsid w:val="008017F5"/>
    <w:rsid w:val="00802EB8"/>
    <w:rsid w:val="00805C5B"/>
    <w:rsid w:val="0081058D"/>
    <w:rsid w:val="008164CA"/>
    <w:rsid w:val="008165F4"/>
    <w:rsid w:val="008215F6"/>
    <w:rsid w:val="00832CDC"/>
    <w:rsid w:val="00832FB2"/>
    <w:rsid w:val="0083386A"/>
    <w:rsid w:val="00834887"/>
    <w:rsid w:val="00836749"/>
    <w:rsid w:val="00840363"/>
    <w:rsid w:val="008462A6"/>
    <w:rsid w:val="00846A90"/>
    <w:rsid w:val="00852A4B"/>
    <w:rsid w:val="00855497"/>
    <w:rsid w:val="0085611A"/>
    <w:rsid w:val="0085783E"/>
    <w:rsid w:val="00861CD1"/>
    <w:rsid w:val="0086487D"/>
    <w:rsid w:val="008761BC"/>
    <w:rsid w:val="00876625"/>
    <w:rsid w:val="008811EF"/>
    <w:rsid w:val="00881695"/>
    <w:rsid w:val="008870D6"/>
    <w:rsid w:val="008872FE"/>
    <w:rsid w:val="0089163A"/>
    <w:rsid w:val="00894A88"/>
    <w:rsid w:val="008956A5"/>
    <w:rsid w:val="008A3256"/>
    <w:rsid w:val="008A3D40"/>
    <w:rsid w:val="008A626A"/>
    <w:rsid w:val="008A78CB"/>
    <w:rsid w:val="008B13C9"/>
    <w:rsid w:val="008D178E"/>
    <w:rsid w:val="008D45D5"/>
    <w:rsid w:val="008D66A8"/>
    <w:rsid w:val="008E0141"/>
    <w:rsid w:val="008E0BA0"/>
    <w:rsid w:val="008F47D0"/>
    <w:rsid w:val="008F6E03"/>
    <w:rsid w:val="00905584"/>
    <w:rsid w:val="00905D1A"/>
    <w:rsid w:val="00906BBB"/>
    <w:rsid w:val="009079A9"/>
    <w:rsid w:val="00921183"/>
    <w:rsid w:val="009220F1"/>
    <w:rsid w:val="00926D9D"/>
    <w:rsid w:val="009277D5"/>
    <w:rsid w:val="00930BA7"/>
    <w:rsid w:val="0093131C"/>
    <w:rsid w:val="0093295F"/>
    <w:rsid w:val="009330E1"/>
    <w:rsid w:val="009338FA"/>
    <w:rsid w:val="00937C6E"/>
    <w:rsid w:val="00937DCD"/>
    <w:rsid w:val="00946E25"/>
    <w:rsid w:val="00947033"/>
    <w:rsid w:val="00947EF5"/>
    <w:rsid w:val="00953CCA"/>
    <w:rsid w:val="00955F58"/>
    <w:rsid w:val="00957F88"/>
    <w:rsid w:val="00960B5B"/>
    <w:rsid w:val="00963A31"/>
    <w:rsid w:val="00965448"/>
    <w:rsid w:val="00965FBF"/>
    <w:rsid w:val="00967D21"/>
    <w:rsid w:val="0097017C"/>
    <w:rsid w:val="00970557"/>
    <w:rsid w:val="009717AF"/>
    <w:rsid w:val="00973945"/>
    <w:rsid w:val="00973DE6"/>
    <w:rsid w:val="009748A0"/>
    <w:rsid w:val="0097614E"/>
    <w:rsid w:val="009964F9"/>
    <w:rsid w:val="009969B2"/>
    <w:rsid w:val="00997EE9"/>
    <w:rsid w:val="00997FB5"/>
    <w:rsid w:val="009A1F7A"/>
    <w:rsid w:val="009A6F54"/>
    <w:rsid w:val="009A7D6A"/>
    <w:rsid w:val="009B0281"/>
    <w:rsid w:val="009B162C"/>
    <w:rsid w:val="009B1E05"/>
    <w:rsid w:val="009B38D9"/>
    <w:rsid w:val="009B3A3A"/>
    <w:rsid w:val="009C19CA"/>
    <w:rsid w:val="009C40A3"/>
    <w:rsid w:val="009C5515"/>
    <w:rsid w:val="009D036B"/>
    <w:rsid w:val="009D2889"/>
    <w:rsid w:val="009D3B5E"/>
    <w:rsid w:val="009D3CC2"/>
    <w:rsid w:val="009E0F82"/>
    <w:rsid w:val="009E2A39"/>
    <w:rsid w:val="009E2C7F"/>
    <w:rsid w:val="009F1405"/>
    <w:rsid w:val="009F73FC"/>
    <w:rsid w:val="00A00771"/>
    <w:rsid w:val="00A015E2"/>
    <w:rsid w:val="00A0312E"/>
    <w:rsid w:val="00A034BB"/>
    <w:rsid w:val="00A06A04"/>
    <w:rsid w:val="00A07464"/>
    <w:rsid w:val="00A16CB2"/>
    <w:rsid w:val="00A177A1"/>
    <w:rsid w:val="00A20077"/>
    <w:rsid w:val="00A204EA"/>
    <w:rsid w:val="00A2449D"/>
    <w:rsid w:val="00A25335"/>
    <w:rsid w:val="00A260C1"/>
    <w:rsid w:val="00A26190"/>
    <w:rsid w:val="00A279EE"/>
    <w:rsid w:val="00A30E49"/>
    <w:rsid w:val="00A36F12"/>
    <w:rsid w:val="00A433E4"/>
    <w:rsid w:val="00A45201"/>
    <w:rsid w:val="00A61CB4"/>
    <w:rsid w:val="00A61DBB"/>
    <w:rsid w:val="00A648D8"/>
    <w:rsid w:val="00A6677D"/>
    <w:rsid w:val="00A760BD"/>
    <w:rsid w:val="00A768C1"/>
    <w:rsid w:val="00A77E32"/>
    <w:rsid w:val="00A84815"/>
    <w:rsid w:val="00A86079"/>
    <w:rsid w:val="00A907D5"/>
    <w:rsid w:val="00A9301E"/>
    <w:rsid w:val="00A95D2A"/>
    <w:rsid w:val="00AA33AA"/>
    <w:rsid w:val="00AB2C5A"/>
    <w:rsid w:val="00AC040D"/>
    <w:rsid w:val="00AC16A6"/>
    <w:rsid w:val="00AC17D6"/>
    <w:rsid w:val="00AC3D94"/>
    <w:rsid w:val="00AC4B70"/>
    <w:rsid w:val="00AC6521"/>
    <w:rsid w:val="00AC7595"/>
    <w:rsid w:val="00AC7DC2"/>
    <w:rsid w:val="00AD145C"/>
    <w:rsid w:val="00AD242E"/>
    <w:rsid w:val="00AD2E2A"/>
    <w:rsid w:val="00AD2F63"/>
    <w:rsid w:val="00AD3029"/>
    <w:rsid w:val="00AD6807"/>
    <w:rsid w:val="00AD73DD"/>
    <w:rsid w:val="00AE4099"/>
    <w:rsid w:val="00AF0852"/>
    <w:rsid w:val="00AF14BD"/>
    <w:rsid w:val="00AF4CF8"/>
    <w:rsid w:val="00AF4E2A"/>
    <w:rsid w:val="00AF6299"/>
    <w:rsid w:val="00B01923"/>
    <w:rsid w:val="00B01C26"/>
    <w:rsid w:val="00B0381C"/>
    <w:rsid w:val="00B04396"/>
    <w:rsid w:val="00B054C3"/>
    <w:rsid w:val="00B1103B"/>
    <w:rsid w:val="00B154F9"/>
    <w:rsid w:val="00B2173A"/>
    <w:rsid w:val="00B32259"/>
    <w:rsid w:val="00B3285D"/>
    <w:rsid w:val="00B376DA"/>
    <w:rsid w:val="00B4023A"/>
    <w:rsid w:val="00B41074"/>
    <w:rsid w:val="00B42178"/>
    <w:rsid w:val="00B44D45"/>
    <w:rsid w:val="00B45CF9"/>
    <w:rsid w:val="00B45DF8"/>
    <w:rsid w:val="00B60427"/>
    <w:rsid w:val="00B607A5"/>
    <w:rsid w:val="00B615CE"/>
    <w:rsid w:val="00B61F87"/>
    <w:rsid w:val="00B62AAF"/>
    <w:rsid w:val="00B63219"/>
    <w:rsid w:val="00B65A5F"/>
    <w:rsid w:val="00B719B0"/>
    <w:rsid w:val="00B71CC9"/>
    <w:rsid w:val="00B8002C"/>
    <w:rsid w:val="00B83CF1"/>
    <w:rsid w:val="00B901F2"/>
    <w:rsid w:val="00B907D0"/>
    <w:rsid w:val="00BA1B8D"/>
    <w:rsid w:val="00BA3150"/>
    <w:rsid w:val="00BA375D"/>
    <w:rsid w:val="00BA6519"/>
    <w:rsid w:val="00BB3110"/>
    <w:rsid w:val="00BC13A5"/>
    <w:rsid w:val="00BC45D5"/>
    <w:rsid w:val="00BC54CF"/>
    <w:rsid w:val="00BC638D"/>
    <w:rsid w:val="00BC6537"/>
    <w:rsid w:val="00BC68E0"/>
    <w:rsid w:val="00BD3E98"/>
    <w:rsid w:val="00BD52DA"/>
    <w:rsid w:val="00BD6BCE"/>
    <w:rsid w:val="00BF0FA1"/>
    <w:rsid w:val="00BF21E1"/>
    <w:rsid w:val="00BF28B7"/>
    <w:rsid w:val="00BF4CD8"/>
    <w:rsid w:val="00C06CC6"/>
    <w:rsid w:val="00C100E5"/>
    <w:rsid w:val="00C10D8D"/>
    <w:rsid w:val="00C1173C"/>
    <w:rsid w:val="00C11D34"/>
    <w:rsid w:val="00C14C56"/>
    <w:rsid w:val="00C208D6"/>
    <w:rsid w:val="00C21FE1"/>
    <w:rsid w:val="00C24519"/>
    <w:rsid w:val="00C24DCE"/>
    <w:rsid w:val="00C3165F"/>
    <w:rsid w:val="00C34389"/>
    <w:rsid w:val="00C352D6"/>
    <w:rsid w:val="00C437E3"/>
    <w:rsid w:val="00C43B1F"/>
    <w:rsid w:val="00C4484B"/>
    <w:rsid w:val="00C45DC0"/>
    <w:rsid w:val="00C506A3"/>
    <w:rsid w:val="00C5233B"/>
    <w:rsid w:val="00C52A76"/>
    <w:rsid w:val="00C66232"/>
    <w:rsid w:val="00C70B9D"/>
    <w:rsid w:val="00C72623"/>
    <w:rsid w:val="00C765B1"/>
    <w:rsid w:val="00C84084"/>
    <w:rsid w:val="00C8479E"/>
    <w:rsid w:val="00C852C2"/>
    <w:rsid w:val="00C85EAF"/>
    <w:rsid w:val="00C8690C"/>
    <w:rsid w:val="00C873A8"/>
    <w:rsid w:val="00C876E2"/>
    <w:rsid w:val="00C95B4F"/>
    <w:rsid w:val="00CA52C3"/>
    <w:rsid w:val="00CA5328"/>
    <w:rsid w:val="00CA61DF"/>
    <w:rsid w:val="00CA6AFC"/>
    <w:rsid w:val="00CB1022"/>
    <w:rsid w:val="00CB61DA"/>
    <w:rsid w:val="00CC160A"/>
    <w:rsid w:val="00CC37FC"/>
    <w:rsid w:val="00CD4102"/>
    <w:rsid w:val="00CD4D64"/>
    <w:rsid w:val="00CD6F37"/>
    <w:rsid w:val="00CE151B"/>
    <w:rsid w:val="00CE1FF6"/>
    <w:rsid w:val="00CE658D"/>
    <w:rsid w:val="00CF4102"/>
    <w:rsid w:val="00CF4388"/>
    <w:rsid w:val="00CF5E60"/>
    <w:rsid w:val="00D01E1E"/>
    <w:rsid w:val="00D03FFD"/>
    <w:rsid w:val="00D12927"/>
    <w:rsid w:val="00D153BC"/>
    <w:rsid w:val="00D159DF"/>
    <w:rsid w:val="00D177C4"/>
    <w:rsid w:val="00D319A3"/>
    <w:rsid w:val="00D31A03"/>
    <w:rsid w:val="00D3465C"/>
    <w:rsid w:val="00D353E4"/>
    <w:rsid w:val="00D407D2"/>
    <w:rsid w:val="00D40DEE"/>
    <w:rsid w:val="00D43A2A"/>
    <w:rsid w:val="00D5274A"/>
    <w:rsid w:val="00D53EE4"/>
    <w:rsid w:val="00D54312"/>
    <w:rsid w:val="00D57BCC"/>
    <w:rsid w:val="00D63701"/>
    <w:rsid w:val="00D74A4F"/>
    <w:rsid w:val="00D82FC4"/>
    <w:rsid w:val="00D836EB"/>
    <w:rsid w:val="00D83D9E"/>
    <w:rsid w:val="00D8491C"/>
    <w:rsid w:val="00D911DB"/>
    <w:rsid w:val="00D91725"/>
    <w:rsid w:val="00D93237"/>
    <w:rsid w:val="00DA6170"/>
    <w:rsid w:val="00DB330D"/>
    <w:rsid w:val="00DB502F"/>
    <w:rsid w:val="00DB5237"/>
    <w:rsid w:val="00DB5E40"/>
    <w:rsid w:val="00DC2DB2"/>
    <w:rsid w:val="00DC787A"/>
    <w:rsid w:val="00DD6F12"/>
    <w:rsid w:val="00DD73CB"/>
    <w:rsid w:val="00DD7C45"/>
    <w:rsid w:val="00DE2140"/>
    <w:rsid w:val="00DE3112"/>
    <w:rsid w:val="00DF1F4E"/>
    <w:rsid w:val="00DF2E3F"/>
    <w:rsid w:val="00DF47B0"/>
    <w:rsid w:val="00DF5CB0"/>
    <w:rsid w:val="00DF6CB3"/>
    <w:rsid w:val="00E04C65"/>
    <w:rsid w:val="00E06D81"/>
    <w:rsid w:val="00E10DF2"/>
    <w:rsid w:val="00E13293"/>
    <w:rsid w:val="00E13DE1"/>
    <w:rsid w:val="00E142BC"/>
    <w:rsid w:val="00E24855"/>
    <w:rsid w:val="00E25D1C"/>
    <w:rsid w:val="00E26B7E"/>
    <w:rsid w:val="00E30159"/>
    <w:rsid w:val="00E3285F"/>
    <w:rsid w:val="00E32CA6"/>
    <w:rsid w:val="00E365FF"/>
    <w:rsid w:val="00E36782"/>
    <w:rsid w:val="00E37E06"/>
    <w:rsid w:val="00E404B4"/>
    <w:rsid w:val="00E43364"/>
    <w:rsid w:val="00E463C4"/>
    <w:rsid w:val="00E52BFA"/>
    <w:rsid w:val="00E532A5"/>
    <w:rsid w:val="00E55274"/>
    <w:rsid w:val="00E55921"/>
    <w:rsid w:val="00E64DFA"/>
    <w:rsid w:val="00E65381"/>
    <w:rsid w:val="00E66611"/>
    <w:rsid w:val="00E676CE"/>
    <w:rsid w:val="00E7218C"/>
    <w:rsid w:val="00E743BA"/>
    <w:rsid w:val="00E748DD"/>
    <w:rsid w:val="00E778FC"/>
    <w:rsid w:val="00E82AFC"/>
    <w:rsid w:val="00E82BEF"/>
    <w:rsid w:val="00E835AD"/>
    <w:rsid w:val="00E843F9"/>
    <w:rsid w:val="00E855E1"/>
    <w:rsid w:val="00E86F5E"/>
    <w:rsid w:val="00E968A6"/>
    <w:rsid w:val="00EA3490"/>
    <w:rsid w:val="00EA4001"/>
    <w:rsid w:val="00EA68DC"/>
    <w:rsid w:val="00EA6B8F"/>
    <w:rsid w:val="00EC33B9"/>
    <w:rsid w:val="00EC4A0B"/>
    <w:rsid w:val="00ED5263"/>
    <w:rsid w:val="00ED7F28"/>
    <w:rsid w:val="00EE24FD"/>
    <w:rsid w:val="00EE4649"/>
    <w:rsid w:val="00EE6EEA"/>
    <w:rsid w:val="00EF0964"/>
    <w:rsid w:val="00EF1616"/>
    <w:rsid w:val="00EF1D11"/>
    <w:rsid w:val="00EF33F6"/>
    <w:rsid w:val="00EF3898"/>
    <w:rsid w:val="00EF57B7"/>
    <w:rsid w:val="00EF75C8"/>
    <w:rsid w:val="00F02106"/>
    <w:rsid w:val="00F0530B"/>
    <w:rsid w:val="00F053E5"/>
    <w:rsid w:val="00F10252"/>
    <w:rsid w:val="00F110A1"/>
    <w:rsid w:val="00F12268"/>
    <w:rsid w:val="00F12854"/>
    <w:rsid w:val="00F12AF7"/>
    <w:rsid w:val="00F207B8"/>
    <w:rsid w:val="00F22DCC"/>
    <w:rsid w:val="00F25F37"/>
    <w:rsid w:val="00F2774A"/>
    <w:rsid w:val="00F34FB8"/>
    <w:rsid w:val="00F412F4"/>
    <w:rsid w:val="00F5192F"/>
    <w:rsid w:val="00F5333D"/>
    <w:rsid w:val="00F544E2"/>
    <w:rsid w:val="00F63BDB"/>
    <w:rsid w:val="00F6459A"/>
    <w:rsid w:val="00F655A3"/>
    <w:rsid w:val="00F67285"/>
    <w:rsid w:val="00F742FC"/>
    <w:rsid w:val="00F75F0B"/>
    <w:rsid w:val="00F81CBE"/>
    <w:rsid w:val="00F84AFD"/>
    <w:rsid w:val="00F84B37"/>
    <w:rsid w:val="00F85768"/>
    <w:rsid w:val="00F91540"/>
    <w:rsid w:val="00F93A82"/>
    <w:rsid w:val="00F94031"/>
    <w:rsid w:val="00F94ED0"/>
    <w:rsid w:val="00F95454"/>
    <w:rsid w:val="00F968CA"/>
    <w:rsid w:val="00FA0081"/>
    <w:rsid w:val="00FB38D1"/>
    <w:rsid w:val="00FB5D20"/>
    <w:rsid w:val="00FB7D6D"/>
    <w:rsid w:val="00FC0333"/>
    <w:rsid w:val="00FC2C5C"/>
    <w:rsid w:val="00FC429F"/>
    <w:rsid w:val="00FC5669"/>
    <w:rsid w:val="00FC64F4"/>
    <w:rsid w:val="00FC70E5"/>
    <w:rsid w:val="00FC758D"/>
    <w:rsid w:val="00FD17B5"/>
    <w:rsid w:val="00FD3B72"/>
    <w:rsid w:val="00FD7FC1"/>
    <w:rsid w:val="00FE1D9B"/>
    <w:rsid w:val="00FE29DF"/>
    <w:rsid w:val="00FE2ED0"/>
    <w:rsid w:val="00FE4B17"/>
    <w:rsid w:val="00FE7EF2"/>
    <w:rsid w:val="00FF10DF"/>
    <w:rsid w:val="00FF1733"/>
    <w:rsid w:val="00FF179E"/>
    <w:rsid w:val="00FF3843"/>
    <w:rsid w:val="00FF661B"/>
    <w:rsid w:val="06843AF2"/>
    <w:rsid w:val="070177BA"/>
    <w:rsid w:val="0FC35BF3"/>
    <w:rsid w:val="119E7AA8"/>
    <w:rsid w:val="12A433BB"/>
    <w:rsid w:val="13F2210C"/>
    <w:rsid w:val="14CC1D6E"/>
    <w:rsid w:val="16A105F4"/>
    <w:rsid w:val="17187F06"/>
    <w:rsid w:val="19F62F63"/>
    <w:rsid w:val="1A014439"/>
    <w:rsid w:val="1A453FDE"/>
    <w:rsid w:val="1BFF893D"/>
    <w:rsid w:val="1F2707B6"/>
    <w:rsid w:val="1F4803E6"/>
    <w:rsid w:val="1FDB9636"/>
    <w:rsid w:val="20A03703"/>
    <w:rsid w:val="25506CB3"/>
    <w:rsid w:val="26496B80"/>
    <w:rsid w:val="267C44CD"/>
    <w:rsid w:val="27BF0F7E"/>
    <w:rsid w:val="287B4AC6"/>
    <w:rsid w:val="28D3434B"/>
    <w:rsid w:val="2ACB5137"/>
    <w:rsid w:val="2C15017B"/>
    <w:rsid w:val="2D954517"/>
    <w:rsid w:val="32FE1E11"/>
    <w:rsid w:val="333D1186"/>
    <w:rsid w:val="33495AA3"/>
    <w:rsid w:val="33E230A2"/>
    <w:rsid w:val="34E10213"/>
    <w:rsid w:val="36E777BF"/>
    <w:rsid w:val="3BC06239"/>
    <w:rsid w:val="3CDE8892"/>
    <w:rsid w:val="3DFF3833"/>
    <w:rsid w:val="3EEDB004"/>
    <w:rsid w:val="3EFD403E"/>
    <w:rsid w:val="3FCFF7A1"/>
    <w:rsid w:val="3FE5579F"/>
    <w:rsid w:val="417F150D"/>
    <w:rsid w:val="46D8132D"/>
    <w:rsid w:val="48677392"/>
    <w:rsid w:val="49773E04"/>
    <w:rsid w:val="49933C9D"/>
    <w:rsid w:val="4BDF36A8"/>
    <w:rsid w:val="4C843786"/>
    <w:rsid w:val="4DB76BB1"/>
    <w:rsid w:val="4F5EB6A9"/>
    <w:rsid w:val="4F6D3A04"/>
    <w:rsid w:val="51FF51CF"/>
    <w:rsid w:val="524B2647"/>
    <w:rsid w:val="52C16284"/>
    <w:rsid w:val="551E2129"/>
    <w:rsid w:val="561476D3"/>
    <w:rsid w:val="577CCA57"/>
    <w:rsid w:val="5A381B38"/>
    <w:rsid w:val="5D5A0DFE"/>
    <w:rsid w:val="5D5D58A0"/>
    <w:rsid w:val="5F630F1A"/>
    <w:rsid w:val="5FF35695"/>
    <w:rsid w:val="61BC5FAC"/>
    <w:rsid w:val="62811C83"/>
    <w:rsid w:val="636A59F9"/>
    <w:rsid w:val="63FF7916"/>
    <w:rsid w:val="653F2FC9"/>
    <w:rsid w:val="67034349"/>
    <w:rsid w:val="672B2BDA"/>
    <w:rsid w:val="677023A6"/>
    <w:rsid w:val="689A0C72"/>
    <w:rsid w:val="69147F20"/>
    <w:rsid w:val="6A28043D"/>
    <w:rsid w:val="6C5B64B9"/>
    <w:rsid w:val="6C5DCF0F"/>
    <w:rsid w:val="6D741DD2"/>
    <w:rsid w:val="6DEE99C9"/>
    <w:rsid w:val="6E0F3D80"/>
    <w:rsid w:val="6FFF59C2"/>
    <w:rsid w:val="71660CC4"/>
    <w:rsid w:val="71BC27C8"/>
    <w:rsid w:val="75AC4151"/>
    <w:rsid w:val="77FF397B"/>
    <w:rsid w:val="799561E4"/>
    <w:rsid w:val="79CF029F"/>
    <w:rsid w:val="7A780CA3"/>
    <w:rsid w:val="7B2C06D3"/>
    <w:rsid w:val="7BA03CC2"/>
    <w:rsid w:val="7BF3A140"/>
    <w:rsid w:val="7BFB0F25"/>
    <w:rsid w:val="7E2A3EB6"/>
    <w:rsid w:val="7E335A81"/>
    <w:rsid w:val="7EB80133"/>
    <w:rsid w:val="7F820C48"/>
    <w:rsid w:val="7FB7537F"/>
    <w:rsid w:val="7FBF39E1"/>
    <w:rsid w:val="7FF4AAD0"/>
    <w:rsid w:val="7FFF990E"/>
    <w:rsid w:val="7FFFD408"/>
    <w:rsid w:val="8FEBDA76"/>
    <w:rsid w:val="A9F9C79B"/>
    <w:rsid w:val="B5FFA0F5"/>
    <w:rsid w:val="BE7FAF86"/>
    <w:rsid w:val="BEFF63D2"/>
    <w:rsid w:val="BF9D5215"/>
    <w:rsid w:val="C52B3C43"/>
    <w:rsid w:val="C53E385B"/>
    <w:rsid w:val="C9EED341"/>
    <w:rsid w:val="D18F783F"/>
    <w:rsid w:val="D5F55720"/>
    <w:rsid w:val="D9FB70D8"/>
    <w:rsid w:val="DDEA24AC"/>
    <w:rsid w:val="DF7AAEBD"/>
    <w:rsid w:val="DF7F5F2F"/>
    <w:rsid w:val="E95E2097"/>
    <w:rsid w:val="EEDD29DD"/>
    <w:rsid w:val="EF6F5BC9"/>
    <w:rsid w:val="F3F927A2"/>
    <w:rsid w:val="F79F18E8"/>
    <w:rsid w:val="FBCD4410"/>
    <w:rsid w:val="FBEB47E5"/>
    <w:rsid w:val="FDECAA3F"/>
    <w:rsid w:val="FE78286A"/>
    <w:rsid w:val="FEBE1D7A"/>
    <w:rsid w:val="FFA2F7E2"/>
    <w:rsid w:val="FFBB2717"/>
    <w:rsid w:val="FFBFF959"/>
    <w:rsid w:val="FFF76FCC"/>
    <w:rsid w:val="FFFDB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semiHidden/>
    <w:unhideWhenUsed/>
    <w:qFormat/>
    <w:uiPriority w:val="99"/>
    <w:pPr>
      <w:jc w:val="left"/>
    </w:pPr>
  </w:style>
  <w:style w:type="paragraph" w:styleId="3">
    <w:name w:val="Body Text"/>
    <w:basedOn w:val="1"/>
    <w:next w:val="4"/>
    <w:qFormat/>
    <w:uiPriority w:val="0"/>
    <w:pPr>
      <w:jc w:val="center"/>
    </w:pPr>
    <w:rPr>
      <w:rFonts w:ascii="方正小标宋_GBK" w:hAnsi="Times New Roman" w:eastAsia="方正小标宋_GBK" w:cs="Times New Roman"/>
      <w:b/>
      <w:bCs/>
      <w:sz w:val="36"/>
      <w:szCs w:val="24"/>
    </w:rPr>
  </w:style>
  <w:style w:type="paragraph" w:customStyle="1" w:styleId="4">
    <w:name w:val="toc 11"/>
    <w:next w:val="1"/>
    <w:qFormat/>
    <w:uiPriority w:val="0"/>
    <w:pPr>
      <w:wordWrap w:val="0"/>
      <w:jc w:val="both"/>
    </w:pPr>
    <w:rPr>
      <w:rFonts w:ascii="Times New Roman" w:hAnsi="Times New Roman" w:eastAsia="宋体" w:cs="Times New Roman"/>
      <w:kern w:val="0"/>
      <w:sz w:val="21"/>
      <w:szCs w:val="22"/>
      <w:lang w:val="en-US" w:eastAsia="zh-CN" w:bidi="ar-SA"/>
    </w:rPr>
  </w:style>
  <w:style w:type="paragraph" w:styleId="5">
    <w:name w:val="Body Text Indent"/>
    <w:basedOn w:val="1"/>
    <w:qFormat/>
    <w:uiPriority w:val="0"/>
    <w:pPr>
      <w:spacing w:after="120"/>
      <w:ind w:left="420" w:leftChars="200"/>
    </w:pPr>
  </w:style>
  <w:style w:type="paragraph" w:styleId="6">
    <w:name w:val="Date"/>
    <w:basedOn w:val="1"/>
    <w:next w:val="1"/>
    <w:link w:val="18"/>
    <w:qFormat/>
    <w:uiPriority w:val="0"/>
    <w:pPr>
      <w:ind w:left="100" w:leftChars="2500"/>
    </w:pPr>
    <w:rPr>
      <w:rFonts w:ascii="Times New Roman" w:hAnsi="Times New Roman"/>
      <w:szCs w:val="24"/>
    </w:rPr>
  </w:style>
  <w:style w:type="paragraph" w:styleId="7">
    <w:name w:val="Balloon Text"/>
    <w:basedOn w:val="1"/>
    <w:link w:val="19"/>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2"/>
    <w:next w:val="2"/>
    <w:link w:val="22"/>
    <w:semiHidden/>
    <w:unhideWhenUsed/>
    <w:qFormat/>
    <w:uiPriority w:val="99"/>
    <w:rPr>
      <w:b/>
      <w:bCs/>
    </w:rPr>
  </w:style>
  <w:style w:type="paragraph" w:styleId="11">
    <w:name w:val="Body Text First Indent 2"/>
    <w:basedOn w:val="5"/>
    <w:unhideWhenUsed/>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semiHidden/>
    <w:unhideWhenUsed/>
    <w:qFormat/>
    <w:uiPriority w:val="99"/>
    <w:rPr>
      <w:sz w:val="21"/>
      <w:szCs w:val="21"/>
    </w:rPr>
  </w:style>
  <w:style w:type="character" w:customStyle="1" w:styleId="16">
    <w:name w:val="页眉 Char"/>
    <w:basedOn w:val="14"/>
    <w:link w:val="9"/>
    <w:qFormat/>
    <w:uiPriority w:val="99"/>
    <w:rPr>
      <w:sz w:val="18"/>
      <w:szCs w:val="18"/>
    </w:rPr>
  </w:style>
  <w:style w:type="character" w:customStyle="1" w:styleId="17">
    <w:name w:val="页脚 Char"/>
    <w:basedOn w:val="14"/>
    <w:link w:val="8"/>
    <w:qFormat/>
    <w:uiPriority w:val="99"/>
    <w:rPr>
      <w:sz w:val="18"/>
      <w:szCs w:val="18"/>
    </w:rPr>
  </w:style>
  <w:style w:type="character" w:customStyle="1" w:styleId="18">
    <w:name w:val="日期 Char"/>
    <w:basedOn w:val="14"/>
    <w:link w:val="6"/>
    <w:qFormat/>
    <w:uiPriority w:val="0"/>
    <w:rPr>
      <w:rFonts w:ascii="Times New Roman" w:hAnsi="Times New Roman" w:eastAsia="宋体" w:cs="Times New Roman"/>
      <w:szCs w:val="24"/>
    </w:rPr>
  </w:style>
  <w:style w:type="character" w:customStyle="1" w:styleId="19">
    <w:name w:val="批注框文本 Char"/>
    <w:basedOn w:val="14"/>
    <w:link w:val="7"/>
    <w:semiHidden/>
    <w:qFormat/>
    <w:uiPriority w:val="99"/>
    <w:rPr>
      <w:rFonts w:ascii="Calibri" w:hAnsi="Calibri" w:eastAsia="宋体" w:cs="Times New Roman"/>
      <w:sz w:val="18"/>
      <w:szCs w:val="18"/>
    </w:rPr>
  </w:style>
  <w:style w:type="paragraph" w:styleId="20">
    <w:name w:val="List Paragraph"/>
    <w:basedOn w:val="1"/>
    <w:qFormat/>
    <w:uiPriority w:val="99"/>
    <w:pPr>
      <w:ind w:firstLine="420" w:firstLineChars="200"/>
    </w:pPr>
  </w:style>
  <w:style w:type="character" w:customStyle="1" w:styleId="21">
    <w:name w:val="批注文字 Char"/>
    <w:basedOn w:val="14"/>
    <w:link w:val="2"/>
    <w:semiHidden/>
    <w:qFormat/>
    <w:uiPriority w:val="99"/>
    <w:rPr>
      <w:rFonts w:ascii="Calibri" w:hAnsi="Calibri"/>
      <w:kern w:val="2"/>
      <w:sz w:val="21"/>
      <w:szCs w:val="22"/>
    </w:rPr>
  </w:style>
  <w:style w:type="character" w:customStyle="1" w:styleId="22">
    <w:name w:val="批注主题 Char"/>
    <w:basedOn w:val="21"/>
    <w:link w:val="10"/>
    <w:semiHidden/>
    <w:qFormat/>
    <w:uiPriority w:val="99"/>
    <w:rPr>
      <w:rFonts w:ascii="Calibri" w:hAnsi="Calibri"/>
      <w:b/>
      <w:bCs/>
      <w:kern w:val="2"/>
      <w:sz w:val="21"/>
      <w:szCs w:val="22"/>
    </w:rPr>
  </w:style>
  <w:style w:type="paragraph" w:customStyle="1" w:styleId="23">
    <w:name w:val="修订1"/>
    <w:hidden/>
    <w:semiHidden/>
    <w:qFormat/>
    <w:uiPriority w:val="99"/>
    <w:rPr>
      <w:rFonts w:ascii="Calibri" w:hAnsi="Calibri" w:eastAsia="宋体" w:cs="Times New Roman"/>
      <w:kern w:val="2"/>
      <w:sz w:val="21"/>
      <w:szCs w:val="22"/>
      <w:lang w:val="en-US" w:eastAsia="zh-CN" w:bidi="ar-SA"/>
    </w:rPr>
  </w:style>
  <w:style w:type="character" w:customStyle="1" w:styleId="24">
    <w:name w:val="font01"/>
    <w:basedOn w:val="14"/>
    <w:qFormat/>
    <w:uiPriority w:val="0"/>
    <w:rPr>
      <w:rFonts w:hint="eastAsia" w:ascii="宋体" w:hAnsi="宋体" w:eastAsia="宋体" w:cs="宋体"/>
      <w:color w:val="000000"/>
      <w:sz w:val="24"/>
      <w:szCs w:val="24"/>
      <w:u w:val="none"/>
    </w:rPr>
  </w:style>
  <w:style w:type="character" w:customStyle="1" w:styleId="25">
    <w:name w:val="font2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28A769-CA5A-433B-A46B-236DDBE6E7F8}">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12805</Words>
  <Characters>13241</Characters>
  <Lines>35</Lines>
  <Paragraphs>9</Paragraphs>
  <TotalTime>3</TotalTime>
  <ScaleCrop>false</ScaleCrop>
  <LinksUpToDate>false</LinksUpToDate>
  <CharactersWithSpaces>13445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2021-01-06T03:02:00Z</dcterms:created>
  <dc:creator>李光旭</dc:creator>
  <cp:lastModifiedBy>蔡娟</cp:lastModifiedBy>
  <cp:lastPrinted>2021-01-06T03:33:00Z</cp:lastPrinted>
  <dcterms:modified xsi:type="dcterms:W3CDTF">2026-03-11T06:13:59Z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140639802DEB4320B370126DA35AAB37_13</vt:lpwstr>
  </property>
</Properties>
</file>