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FF0000"/>
          <w:w w:val="52"/>
          <w:sz w:val="90"/>
          <w:szCs w:val="1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2"/>
          <w:sz w:val="90"/>
          <w:szCs w:val="100"/>
          <w:lang w:eastAsia="zh-CN"/>
        </w:rPr>
        <w:t>北京市朝阳区城市管理综合行政执法局文件</w:t>
      </w:r>
    </w:p>
    <w:p>
      <w:pPr>
        <w:spacing w:line="560" w:lineRule="exact"/>
        <w:ind w:left="0" w:leftChars="0" w:firstLine="0" w:firstLineChars="0"/>
        <w:jc w:val="both"/>
        <w:rPr>
          <w:rFonts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both"/>
        <w:rPr>
          <w:rFonts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>京朝城管</w:t>
      </w:r>
      <w:r>
        <w:rPr>
          <w:rFonts w:hint="eastAsia" w:eastAsia="仿宋_GB2312"/>
          <w:sz w:val="32"/>
          <w:szCs w:val="32"/>
          <w:lang w:eastAsia="zh-CN"/>
        </w:rPr>
        <w:t>发</w:t>
      </w:r>
      <w:r>
        <w:rPr>
          <w:rFonts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6 </w:t>
      </w:r>
      <w:r>
        <w:rPr>
          <w:rFonts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w w:val="46"/>
          <w:sz w:val="13"/>
          <w:szCs w:val="13"/>
        </w:rPr>
      </w:pPr>
      <w:r>
        <w:rPr>
          <w:w w:val="46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36195</wp:posOffset>
                </wp:positionV>
                <wp:extent cx="5628640" cy="17145"/>
                <wp:effectExtent l="0" t="7620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1682115"/>
                          <a:ext cx="5628640" cy="1714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pt;margin-top:2.85pt;height:1.35pt;width:443.2pt;z-index:251658240;mso-width-relative:page;mso-height-relative:page;" filled="f" stroked="t" coordsize="21600,21600" o:gfxdata="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CUpAjSAAAABgEA&#10;AA8AAAAAAAAAAQAgAAAAIgAAAGRycy9kb3ducmV2LnhtbFBLAQIUABQAAAAIAIdO4kCQy9/C5wEA&#10;AIwDAAAOAAAAAAAAAAEAIAAAACEBAABkcnMvZTJvRG9jLnhtbFBLBQYAAAAABgAGAFkBAAB6BQAA&#10;AAA=&#10;">
                <v:fill on="f" focussize="0,0"/>
                <v:stroke weight="1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方正小标宋简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仿宋" w:hAnsi="仿宋" w:eastAsia="方正小标宋简体"/>
          <w:sz w:val="40"/>
          <w:szCs w:val="40"/>
        </w:rPr>
      </w:pPr>
      <w:r>
        <w:rPr>
          <w:rFonts w:ascii="仿宋" w:hAnsi="仿宋" w:eastAsia="方正小标宋简体"/>
          <w:sz w:val="40"/>
          <w:szCs w:val="40"/>
        </w:rPr>
        <w:t>关于印发</w:t>
      </w:r>
      <w:r>
        <w:rPr>
          <w:rFonts w:hint="eastAsia" w:ascii="仿宋" w:hAnsi="仿宋" w:eastAsia="方正小标宋简体"/>
          <w:sz w:val="40"/>
          <w:szCs w:val="40"/>
          <w:lang w:eastAsia="zh-CN"/>
        </w:rPr>
        <w:t>《</w:t>
      </w:r>
      <w:r>
        <w:rPr>
          <w:rFonts w:hint="eastAsia" w:ascii="仿宋" w:hAnsi="仿宋" w:eastAsia="方正小标宋简体"/>
          <w:sz w:val="40"/>
          <w:szCs w:val="40"/>
        </w:rPr>
        <w:t>北京市</w:t>
      </w:r>
      <w:r>
        <w:rPr>
          <w:rFonts w:hint="eastAsia" w:ascii="仿宋" w:hAnsi="仿宋" w:eastAsia="方正小标宋简体"/>
          <w:sz w:val="40"/>
          <w:szCs w:val="40"/>
          <w:lang w:eastAsia="zh-CN"/>
        </w:rPr>
        <w:t>朝阳区</w:t>
      </w:r>
      <w:r>
        <w:rPr>
          <w:rFonts w:hint="eastAsia" w:ascii="仿宋" w:hAnsi="仿宋" w:eastAsia="方正小标宋简体"/>
          <w:sz w:val="40"/>
          <w:szCs w:val="40"/>
        </w:rPr>
        <w:t>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关于开展法治宣传教育的第八个五年规划（2021-2025年）重点任务分解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局机关各科、室、队、中心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为深入学习宣传贯彻习近平法治思想，进一步推动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按照市区相关文件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要求，现将《北京市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城市管理综合行政执法局关于开展法治宣传教育的第八个五年规划（2021-2025年）重点任务分解》印发给你们，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请各部门结合工作实际，贯彻执行。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朝阳区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城市管理综合行政执法局关于开展法治宣传教育的第八个五年规划（2021-2025年）重点任务分解》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朝阳区城管执法局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jc w:val="righ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2022年2月10日 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朝阳区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城市管理综合行政执法局关于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开展法治宣传教育的第八个五年规划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（2021-2025年）重点任务分解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一、突出普法重点内容,加大全民普法力度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1.坚持将学习宣传贯彻习近平法治思想作为全民普法的首要政治任务,广泛深入开展学习宣传活动。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组织人事科、宣教科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2.把习近平法治思想作为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局领导班子集体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学习、城市管理综合执法系统培训的重点内容,纳入教育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内容,推动习近平法治思想入脑入心、走深走实。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组织人事科、宣教科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3.深入持久开展尊崇宪法、学习宪法、遵守宪法、维护宪法、运用宪法的宣传教育活动。加强国旗法、国歌法等宪法相关法的学习宣传。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4.加强宪法实施案例的宣传,全面落实宪法宣誓制度,推动执法人员带头恪守宪法原则、维护宪法权威。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5.认真组织好“12·4”国家宪法日和宪法宣传周集中宣传活动,以现行宪法颁布施行40周年为契机,实现宪法宣传教育常态化。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6.坚持将民法典学习宣传作为重点工作,大力宣传民法典的重大意义和重要地位,宣传民法典在保障人民群众合法权益、学习好民法典总则编和各分编需要把握的核心要义和重点问题。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7.以“美好生活·民法典相伴”为主题,依托主题动漫微视频征集、网上知识竞答等形式,组织好系列宣传活动。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8.坚持总体国家安全观,加强宣传国家安全法等,组织好“4·15”全民国家安全教育日普法宣传活动,提升全民国家安全意识。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责任单位：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办公室、宣教科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其他各科、队、中心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9.突出学习宣传党章,教育广大党员以党章为根本遵循,尊崇党章、遵守党章、贯彻党章、维护党章。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组织人事科、宣教科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10.把学习掌握党内法规作为合格党员的基本要求,列入党组织“三会一课”内容,促进党内法规学习宣传常态化、制度化,教育引导广大党员做党章党规党纪和国家法律的自觉尊崇者、模范遵守者、坚定捍卫者。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组织人事科、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11.宣传新修订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，宣传国务院关于进一步贯彻实施《中华人民共和国行政处罚法》的通知，宣传新修订行政执法三项制度，不断提高行政执法规范的水平。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12.加强法治政府建设宣传。宣传《法治政府建设实施纲要（2021-2025年）》，宣传《北京市法治政府建设实施意见（2021-2025年）》，推动用法治思维规范执法行为，用法治方式提升治理能力和水平。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“八五”普法规划宣传。宣传《市委宣传部、市司法局关于开展法治宣传教育的第八个五年规划（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2021—2025年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）》的指导思想、工作原则、重点内容、主要方式等，推动“八五”普法开好局起好步。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DA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、DCA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会举办，加强相关法律法规的宣传，为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DA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、DCA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会顺利举办营造良好的法治氛围，提供法治保障。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加强公共卫生、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等方面法律法规宣传，依法保障社会稳定和人民安宁。加强《北京市接诉即办工作条例》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等加强首都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治理法规宣传，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引导各级党员干部进一步筑牢人民立场，提升为民服务的能力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法制科、宣教科、执法信息中心、其他各科、室、队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新修订和实施的《北京市生活垃圾管理条例》《北京市燃气管理条例》《北京市户外广告设施、牌匾标识和标语宣传片设置管理条例》等重点热点法律法规宣传，推动法律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法规精神和要求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深入人心，不断提高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对城管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工作的理解和支持。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法制科、宣教科、其他各科、室、队、中心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二、把握普法重点对象，提升公民法治素养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.坚持抓住领导干部这个“关键少数”,深化落实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局领导班子集体学法</w:t>
      </w:r>
      <w:r>
        <w:rPr>
          <w:rFonts w:hint="eastAsia" w:ascii="仿宋_GB2312" w:hAnsi="仿宋_GB2312" w:eastAsia="仿宋_GB2312" w:cs="仿宋_GB2312"/>
          <w:sz w:val="32"/>
          <w:szCs w:val="32"/>
        </w:rPr>
        <w:t>,推动领导干部做尊法学法守法用法的模范,提高领导干部运用法治思维和法治方式深化改革、推动发展、化解矛盾、维护稳定、应对风险的能力。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组织人事科、法制科、其他各科、室、队、中心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推动落实执法人员学法用法制度,把法治教育纳入执法人员教育培训内容，根据法律法规规章的调整变动，定期组织开展法治培训活动。积极运用网络教育培训平台，引导执法人员集中学习和自主学习相结合，切实提高普法针对性和干部学法守法用法的自觉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法制科、宣教科、其他各科、室、队、中心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.定期组织开展旁听庭审等活动,贯彻落实《北京市国家工作人员旁听庭审活动常态化制度化意见》，采取现场旁听或者网络观看等形式，安排执法人员参与旁听庭审活动。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.顺应深化“放管服”改革、优化营商环境等新形势,开展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法治宣传教育活动，提高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依法办事的意识和能力。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各直属队、法制科、综合业务指导科、宣教科、执法信息中心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三、立足首都城管执法，打造特色法治文化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.将社会主义核心价值观贯彻到首都法治建设中,融入全民守法环节,以法治建设推动社会主义核心价值观的培育践行。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责任单位：法制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执法信息中心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其他各科、室、队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聚焦燃气安全、环境秩序、垃圾分类、能源运行、广告治理等领导关注的、群众聚焦的热点、难点、焦点问题，推动在执法过程中扩大社会参与、回应社会关切，在执法过程中实时普法、全程普法。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综合业务指导科、各直属队、法制科、宣教科、执法信息中心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其他各科、室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积极打造“城管开放日”、“城市文明加油站”普法品牌，扩大城管“面对面”以案释法宣讲团队队伍，充分利用传统媒体权威规范和新媒体热点集中的不同优势，策划系列正面报道，主动宣传城市环境秩序整治成果，展示首都城市管理综合执法队伍的积极作为，营造良好普法氛围。深入筛选及挖掘先进人物，分层梳理典型对象，依托市属主流媒体，运用融媒体手段，有计划、有步骤开展宣传推树活动，讲好城管故事，弘扬城管精神，塑造首都城管良好形象，进一步增强干部队伍的职业认同感、荣誉感、自豪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宣教科、组织人事科、其他各科、室、队、中心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.积极参与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司法局组织开展的法治文艺大赛、法治动漫微视频征集展播等活动,宣传城市管理相关法律法规，调动群众参与的积极性、主动性、创造性。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宣教科、法制科、其他各科、室、队、中心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、加强组织领导和工作保障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.把党的领导贯彻到法治宣传教育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全过程和各方面，始终坚持正确政治方向。切实加强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局领导班子</w:t>
      </w:r>
      <w:r>
        <w:rPr>
          <w:rFonts w:hint="eastAsia" w:ascii="仿宋_GB2312" w:hAnsi="仿宋_GB2312" w:eastAsia="仿宋_GB2312" w:cs="仿宋_GB2312"/>
          <w:sz w:val="32"/>
          <w:szCs w:val="32"/>
        </w:rPr>
        <w:t>对普法工作的领导，完善“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五”普法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机制，将“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五”普法纳入法制化、规范化轨道。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组织人事科、法制科、宣教科、其他各科、室、队、中心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贯彻落实“谁执法谁普法”普法责任制，对标对表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司法局颁布的普法责任制清单，坚决完成各项普法任务。开展形式多样、内容丰富法治宣传活动，扩大普法宣传面，调动群众参与的积极性、主动性、创造性。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法制科、宣教科、其他各科、室、队、中心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加强普法情况的归纳总结和信息报送。每年度按照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守法普法协调小组相关要求，报送本单位年度落实普法责任制和普法依法治理工作的开展情况。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法制科、宣教科、其他各科、室、队、中心</w:t>
      </w:r>
    </w:p>
    <w:p>
      <w:pPr>
        <w:pStyle w:val="7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1134" w:gutter="0"/>
      <w:pgNumType w:fmt="decimal" w:start="1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5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p6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7UoftQAAAAGAQAADwAAAAAAAAAB&#10;ACAAAAAiAAAAZHJzL2Rvd25yZXYueG1sUEsBAhQAFAAAAAgAh07iQMDe54oUAgAAEwQAAA4AAAAA&#10;AAAAAQAgAAAAIw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eastAsia="仿宋_GB231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sdt>
      <w:sdtPr>
        <w:id w:val="-729535500"/>
      </w:sdtPr>
      <w:sdtEndPr>
        <w:rPr>
          <w:rFonts w:ascii="宋体" w:hAnsi="宋体" w:eastAsia="宋体"/>
          <w:sz w:val="28"/>
          <w:szCs w:val="28"/>
        </w:rPr>
      </w:sdtEndPr>
      <w:sdtContent/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VerticalSpacing w:val="21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72.26.80.117:80/seeyon/officeservlet"/>
  </w:docVars>
  <w:rsids>
    <w:rsidRoot w:val="00024C3E"/>
    <w:rsid w:val="00004750"/>
    <w:rsid w:val="00004B5D"/>
    <w:rsid w:val="00016C15"/>
    <w:rsid w:val="00017F48"/>
    <w:rsid w:val="00022D09"/>
    <w:rsid w:val="00023CCC"/>
    <w:rsid w:val="00024C3E"/>
    <w:rsid w:val="0003600C"/>
    <w:rsid w:val="00045841"/>
    <w:rsid w:val="00047596"/>
    <w:rsid w:val="000526A9"/>
    <w:rsid w:val="00056AD5"/>
    <w:rsid w:val="00062882"/>
    <w:rsid w:val="000642E9"/>
    <w:rsid w:val="00093531"/>
    <w:rsid w:val="000A3C48"/>
    <w:rsid w:val="000D38FE"/>
    <w:rsid w:val="000F646F"/>
    <w:rsid w:val="00101CC3"/>
    <w:rsid w:val="00102FE8"/>
    <w:rsid w:val="00135D2F"/>
    <w:rsid w:val="001647CB"/>
    <w:rsid w:val="0017391A"/>
    <w:rsid w:val="0017719B"/>
    <w:rsid w:val="001D558E"/>
    <w:rsid w:val="001F2DCE"/>
    <w:rsid w:val="001F751F"/>
    <w:rsid w:val="0020461E"/>
    <w:rsid w:val="002146C7"/>
    <w:rsid w:val="00242F94"/>
    <w:rsid w:val="00246875"/>
    <w:rsid w:val="002551D8"/>
    <w:rsid w:val="00266201"/>
    <w:rsid w:val="00310980"/>
    <w:rsid w:val="00325BF4"/>
    <w:rsid w:val="00341F2D"/>
    <w:rsid w:val="003732A9"/>
    <w:rsid w:val="003A2730"/>
    <w:rsid w:val="003A35FE"/>
    <w:rsid w:val="003B1007"/>
    <w:rsid w:val="003C4ACF"/>
    <w:rsid w:val="003E467B"/>
    <w:rsid w:val="00403227"/>
    <w:rsid w:val="00406F51"/>
    <w:rsid w:val="00412D7B"/>
    <w:rsid w:val="0041372D"/>
    <w:rsid w:val="0043420C"/>
    <w:rsid w:val="00457F59"/>
    <w:rsid w:val="00465427"/>
    <w:rsid w:val="004B2E34"/>
    <w:rsid w:val="004C44D5"/>
    <w:rsid w:val="004D0885"/>
    <w:rsid w:val="004E21FD"/>
    <w:rsid w:val="004E4EB9"/>
    <w:rsid w:val="004F0E03"/>
    <w:rsid w:val="004F2B9D"/>
    <w:rsid w:val="00515990"/>
    <w:rsid w:val="00563745"/>
    <w:rsid w:val="0058332B"/>
    <w:rsid w:val="00587464"/>
    <w:rsid w:val="005A234B"/>
    <w:rsid w:val="005B77E1"/>
    <w:rsid w:val="005C3E84"/>
    <w:rsid w:val="005E1B98"/>
    <w:rsid w:val="00627826"/>
    <w:rsid w:val="0063520D"/>
    <w:rsid w:val="006911AE"/>
    <w:rsid w:val="006A3F85"/>
    <w:rsid w:val="006C5B4E"/>
    <w:rsid w:val="006D25BA"/>
    <w:rsid w:val="00700E45"/>
    <w:rsid w:val="007015E2"/>
    <w:rsid w:val="007027FF"/>
    <w:rsid w:val="0070531D"/>
    <w:rsid w:val="00715F15"/>
    <w:rsid w:val="007258DB"/>
    <w:rsid w:val="0075314F"/>
    <w:rsid w:val="007706A8"/>
    <w:rsid w:val="0078211A"/>
    <w:rsid w:val="007B6A1F"/>
    <w:rsid w:val="007C4439"/>
    <w:rsid w:val="007C6285"/>
    <w:rsid w:val="007C7511"/>
    <w:rsid w:val="007E1637"/>
    <w:rsid w:val="007E2B11"/>
    <w:rsid w:val="007E503D"/>
    <w:rsid w:val="007E7A6C"/>
    <w:rsid w:val="00817F74"/>
    <w:rsid w:val="008220AC"/>
    <w:rsid w:val="008242A0"/>
    <w:rsid w:val="00853C44"/>
    <w:rsid w:val="0087346B"/>
    <w:rsid w:val="0087400B"/>
    <w:rsid w:val="00882D16"/>
    <w:rsid w:val="008A759F"/>
    <w:rsid w:val="008F3B03"/>
    <w:rsid w:val="009060C8"/>
    <w:rsid w:val="00920093"/>
    <w:rsid w:val="00941002"/>
    <w:rsid w:val="009629AA"/>
    <w:rsid w:val="009B256D"/>
    <w:rsid w:val="009B3DED"/>
    <w:rsid w:val="009D0F9C"/>
    <w:rsid w:val="009E6CEF"/>
    <w:rsid w:val="009E71D6"/>
    <w:rsid w:val="00A1030A"/>
    <w:rsid w:val="00A2564A"/>
    <w:rsid w:val="00A26274"/>
    <w:rsid w:val="00A26451"/>
    <w:rsid w:val="00A64304"/>
    <w:rsid w:val="00A65E0B"/>
    <w:rsid w:val="00A867E5"/>
    <w:rsid w:val="00A86ED9"/>
    <w:rsid w:val="00A87CC7"/>
    <w:rsid w:val="00A9258F"/>
    <w:rsid w:val="00AE1BCA"/>
    <w:rsid w:val="00AE3C5A"/>
    <w:rsid w:val="00AF2DFD"/>
    <w:rsid w:val="00AF765B"/>
    <w:rsid w:val="00B56810"/>
    <w:rsid w:val="00B77117"/>
    <w:rsid w:val="00B86ECF"/>
    <w:rsid w:val="00B943DA"/>
    <w:rsid w:val="00BA2399"/>
    <w:rsid w:val="00BA4FDE"/>
    <w:rsid w:val="00BC410E"/>
    <w:rsid w:val="00C07A83"/>
    <w:rsid w:val="00C314E2"/>
    <w:rsid w:val="00C91C3D"/>
    <w:rsid w:val="00C94BD2"/>
    <w:rsid w:val="00CB198B"/>
    <w:rsid w:val="00CB1E6C"/>
    <w:rsid w:val="00CD26CB"/>
    <w:rsid w:val="00CD3B77"/>
    <w:rsid w:val="00CD5D07"/>
    <w:rsid w:val="00CE6523"/>
    <w:rsid w:val="00D40131"/>
    <w:rsid w:val="00D455F3"/>
    <w:rsid w:val="00D7411C"/>
    <w:rsid w:val="00D876FC"/>
    <w:rsid w:val="00DB0323"/>
    <w:rsid w:val="00DB3E8F"/>
    <w:rsid w:val="00DC0AC4"/>
    <w:rsid w:val="00DD6AFD"/>
    <w:rsid w:val="00DE6EEC"/>
    <w:rsid w:val="00DF5A01"/>
    <w:rsid w:val="00E1291E"/>
    <w:rsid w:val="00E3112D"/>
    <w:rsid w:val="00E3798B"/>
    <w:rsid w:val="00E455B4"/>
    <w:rsid w:val="00E803D6"/>
    <w:rsid w:val="00E86C14"/>
    <w:rsid w:val="00E9008D"/>
    <w:rsid w:val="00E9345E"/>
    <w:rsid w:val="00EA4209"/>
    <w:rsid w:val="00EE0E62"/>
    <w:rsid w:val="00EE16D3"/>
    <w:rsid w:val="00F00478"/>
    <w:rsid w:val="00F04859"/>
    <w:rsid w:val="00F860E8"/>
    <w:rsid w:val="00FB6ACF"/>
    <w:rsid w:val="00FC4181"/>
    <w:rsid w:val="071B7529"/>
    <w:rsid w:val="0B1C5E68"/>
    <w:rsid w:val="0CE03B46"/>
    <w:rsid w:val="10340BB5"/>
    <w:rsid w:val="11CBE283"/>
    <w:rsid w:val="197C668E"/>
    <w:rsid w:val="19F64DCD"/>
    <w:rsid w:val="1A9A7C07"/>
    <w:rsid w:val="1D2F3813"/>
    <w:rsid w:val="1EE43FC6"/>
    <w:rsid w:val="22D074DA"/>
    <w:rsid w:val="22E1045F"/>
    <w:rsid w:val="23B4393A"/>
    <w:rsid w:val="24DF7F25"/>
    <w:rsid w:val="250221BA"/>
    <w:rsid w:val="295F6D3D"/>
    <w:rsid w:val="29CD6682"/>
    <w:rsid w:val="2C491B6C"/>
    <w:rsid w:val="2C8F6CF6"/>
    <w:rsid w:val="35DF5EB3"/>
    <w:rsid w:val="35F00B00"/>
    <w:rsid w:val="38F81D71"/>
    <w:rsid w:val="3B996975"/>
    <w:rsid w:val="3DBD1720"/>
    <w:rsid w:val="3F0642F8"/>
    <w:rsid w:val="3FFED489"/>
    <w:rsid w:val="42840712"/>
    <w:rsid w:val="4BA478E5"/>
    <w:rsid w:val="4C3B66D5"/>
    <w:rsid w:val="4DFFEC29"/>
    <w:rsid w:val="4EFEB0AA"/>
    <w:rsid w:val="4F08599A"/>
    <w:rsid w:val="4FE3D714"/>
    <w:rsid w:val="572FC2F9"/>
    <w:rsid w:val="595B8573"/>
    <w:rsid w:val="5B7F12E5"/>
    <w:rsid w:val="5BA94FBF"/>
    <w:rsid w:val="5BFCFE13"/>
    <w:rsid w:val="5EDD9803"/>
    <w:rsid w:val="5FFFEFDC"/>
    <w:rsid w:val="666D1415"/>
    <w:rsid w:val="699400EC"/>
    <w:rsid w:val="6BA05B0F"/>
    <w:rsid w:val="6CDC1296"/>
    <w:rsid w:val="6F45767A"/>
    <w:rsid w:val="6FEEBC05"/>
    <w:rsid w:val="6FFDF9AD"/>
    <w:rsid w:val="7343442D"/>
    <w:rsid w:val="77FB5ECC"/>
    <w:rsid w:val="7AF968A0"/>
    <w:rsid w:val="7DB7D63A"/>
    <w:rsid w:val="7DDFD468"/>
    <w:rsid w:val="7DF90B60"/>
    <w:rsid w:val="7DFFE44B"/>
    <w:rsid w:val="7ED47D5F"/>
    <w:rsid w:val="7F1ED82F"/>
    <w:rsid w:val="7F7F67EC"/>
    <w:rsid w:val="7FFB1636"/>
    <w:rsid w:val="7FFF7BF8"/>
    <w:rsid w:val="8D6DE0AB"/>
    <w:rsid w:val="9BFF5F4A"/>
    <w:rsid w:val="9F7E143B"/>
    <w:rsid w:val="9FEFDDFD"/>
    <w:rsid w:val="ABFBC749"/>
    <w:rsid w:val="ADD9A2FB"/>
    <w:rsid w:val="B67F9653"/>
    <w:rsid w:val="B7A9E5A4"/>
    <w:rsid w:val="BB3F03A9"/>
    <w:rsid w:val="BDFF4342"/>
    <w:rsid w:val="BFEF8434"/>
    <w:rsid w:val="BFFFB59A"/>
    <w:rsid w:val="CCE90883"/>
    <w:rsid w:val="CDAFA5D3"/>
    <w:rsid w:val="D793FD10"/>
    <w:rsid w:val="D7AE2B20"/>
    <w:rsid w:val="D9F98A8B"/>
    <w:rsid w:val="DB7FFA7C"/>
    <w:rsid w:val="DCEC7EA6"/>
    <w:rsid w:val="DF57A27C"/>
    <w:rsid w:val="E937E446"/>
    <w:rsid w:val="ED699595"/>
    <w:rsid w:val="EF6FB5B9"/>
    <w:rsid w:val="EF755225"/>
    <w:rsid w:val="EF772027"/>
    <w:rsid w:val="EF77C184"/>
    <w:rsid w:val="F3EA034B"/>
    <w:rsid w:val="F3F7AE93"/>
    <w:rsid w:val="F5AF8660"/>
    <w:rsid w:val="F7F0D4A8"/>
    <w:rsid w:val="F97F6C8B"/>
    <w:rsid w:val="F9FAD686"/>
    <w:rsid w:val="FAEF01A9"/>
    <w:rsid w:val="FBF2749D"/>
    <w:rsid w:val="FBF37497"/>
    <w:rsid w:val="FBFBEDA8"/>
    <w:rsid w:val="FBFD27E9"/>
    <w:rsid w:val="FC7F7C5C"/>
    <w:rsid w:val="FCD6E5CF"/>
    <w:rsid w:val="FD37E477"/>
    <w:rsid w:val="FDE59420"/>
    <w:rsid w:val="FE4F4A42"/>
    <w:rsid w:val="FEF661A4"/>
    <w:rsid w:val="FF9C98F1"/>
    <w:rsid w:val="FF9FAB22"/>
    <w:rsid w:val="FFBF0DB8"/>
    <w:rsid w:val="FFCA31A8"/>
    <w:rsid w:val="FFFDAA85"/>
    <w:rsid w:val="FFFF27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1">
    <w:name w:val="大标题"/>
    <w:basedOn w:val="1"/>
    <w:next w:val="1"/>
    <w:qFormat/>
    <w:uiPriority w:val="0"/>
    <w:pPr>
      <w:snapToGrid w:val="0"/>
      <w:spacing w:line="560" w:lineRule="exact"/>
      <w:jc w:val="center"/>
      <w:outlineLvl w:val="0"/>
    </w:pPr>
    <w:rPr>
      <w:rFonts w:ascii="方正小标宋简体" w:hAnsi="宋体" w:eastAsia="方正小标宋简体" w:cs="宋体"/>
      <w:kern w:val="0"/>
      <w:sz w:val="44"/>
      <w:szCs w:val="20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ScaleCrop>false</ScaleCrop>
  <LinksUpToDate>false</LinksUpToDate>
  <CharactersWithSpaces>485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2021-03-07T00:39:00Z</dcterms:created>
  <dc:creator>赵鸿波</dc:creator>
  <cp:lastModifiedBy>王莉</cp:lastModifiedBy>
  <cp:lastPrinted>2022-02-08T03:37:00Z</cp:lastPrinted>
  <dcterms:modified xsi:type="dcterms:W3CDTF">2022-02-10T01:49:36Z</dcterms:modified>
  <dc:title>北京市城市管理综合行政执法局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56D0A5C8A1454D05B739727E362C631F</vt:lpwstr>
  </property>
</Properties>
</file>