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default" w:ascii="Times New Roman" w:hAnsi="Times New Roman" w:eastAsia="方正小标宋简体" w:cs="Times New Roman"/>
          <w:sz w:val="36"/>
          <w:szCs w:val="36"/>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第五次全国经济普查项目</w:t>
      </w:r>
    </w:p>
    <w:p>
      <w:pPr>
        <w:spacing w:line="560" w:lineRule="exact"/>
        <w:jc w:val="center"/>
        <w:rPr>
          <w:rFonts w:hint="default" w:ascii="Times New Roman" w:hAnsi="Times New Roman" w:eastAsia="方正小标宋简体" w:cs="Times New Roman"/>
          <w:sz w:val="36"/>
          <w:szCs w:val="36"/>
        </w:rPr>
      </w:pPr>
      <w:r>
        <w:rPr>
          <w:rFonts w:hint="eastAsia" w:eastAsia="方正小标宋简体" w:cs="Times New Roman"/>
          <w:sz w:val="44"/>
          <w:szCs w:val="44"/>
          <w:lang w:val="en-US" w:eastAsia="zh-CN"/>
        </w:rPr>
        <w:t>2023年</w:t>
      </w:r>
      <w:r>
        <w:rPr>
          <w:rFonts w:hint="default" w:ascii="Times New Roman" w:hAnsi="Times New Roman" w:eastAsia="方正小标宋简体" w:cs="Times New Roman"/>
          <w:sz w:val="44"/>
          <w:szCs w:val="44"/>
        </w:rPr>
        <w:t>支出绩效评价报告</w:t>
      </w:r>
    </w:p>
    <w:p>
      <w:pPr>
        <w:jc w:val="center"/>
        <w:rPr>
          <w:rFonts w:hint="default" w:ascii="Times New Roman" w:hAnsi="Times New Roman" w:eastAsia="仿宋_GB2312" w:cs="Times New Roman"/>
          <w:sz w:val="32"/>
          <w:szCs w:val="32"/>
        </w:rPr>
      </w:pPr>
    </w:p>
    <w:p>
      <w:pPr>
        <w:numPr>
          <w:ilvl w:val="0"/>
          <w:numId w:val="1"/>
        </w:num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rPr>
        <w:t>基本情况</w:t>
      </w:r>
    </w:p>
    <w:p>
      <w:pPr>
        <w:numPr>
          <w:ilvl w:val="0"/>
          <w:numId w:val="0"/>
        </w:num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（一）项目概况</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1.项目背景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kern w:val="44"/>
          <w:sz w:val="32"/>
          <w:szCs w:val="44"/>
        </w:rPr>
        <w:t>按照《中华人民共和国统计法》和《全国经济普查条例》的规定，全国经济普查每五年开展一次，在逢3和逢8的年份进行。于2023年开展第五次全国经济普查（以下简称五经普）。此次普查将首次统筹开展投入产出调查，全面调查第二产业和第三产业的发展规模、布局和效益，掌握国民经济行业间经济联系，客观反映创新驱动发展、绿色低碳发展和数字经济发展等新进展，对于摸清新时期全市经济社会发展“家底”，准确把握首都经济运行新变化、新特征，更加有效发挥经济普查对贯彻新发展理念、构建新发展格局、推动高质量发展情况的统计监测评价工作，具有十分重要的意义和作用。</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主要内容及实施情况</w:t>
      </w:r>
    </w:p>
    <w:p>
      <w:pPr>
        <w:ind w:firstLine="643"/>
        <w:outlineLvl w:val="0"/>
        <w:rPr>
          <w:rFonts w:hint="default" w:ascii="Times New Roman" w:hAnsi="Times New Roman" w:eastAsia="仿宋_GB2312" w:cs="Times New Roman"/>
          <w:bCs/>
          <w:kern w:val="44"/>
          <w:sz w:val="32"/>
          <w:szCs w:val="44"/>
        </w:rPr>
      </w:pPr>
      <w:r>
        <w:rPr>
          <w:rFonts w:hint="default" w:ascii="Times New Roman" w:hAnsi="Times New Roman" w:eastAsia="仿宋_GB2312" w:cs="Times New Roman"/>
          <w:bCs/>
          <w:kern w:val="44"/>
          <w:sz w:val="32"/>
          <w:szCs w:val="44"/>
        </w:rPr>
        <w:t>经济普查对象为在全区范围内从事第二产业和第三产业活动的全部法人单位、产业活动单位和个体经营户。法人单位、产业活动单位和个体经营户按照《普查单位划分规定》界定。</w:t>
      </w:r>
      <w:r>
        <w:rPr>
          <w:rFonts w:hint="default" w:ascii="Times New Roman" w:hAnsi="Times New Roman" w:eastAsia="仿宋_GB2312" w:cs="Times New Roman"/>
          <w:sz w:val="32"/>
          <w:szCs w:val="32"/>
        </w:rPr>
        <w:t>第五次全国经济普查的主要内容包括普查对象基本情况、组织结构、人员工资、生产能力、财务状况、生产经营、能源生产和消费、固定资产投资、研发活动、信息通信技术应用和数字化转型情况、数字经济活动、投入产出情况等。</w:t>
      </w:r>
      <w:r>
        <w:rPr>
          <w:rFonts w:hint="default" w:ascii="Times New Roman" w:hAnsi="Times New Roman" w:eastAsia="仿宋_GB2312" w:cs="Times New Roman"/>
          <w:bCs/>
          <w:kern w:val="44"/>
          <w:sz w:val="32"/>
          <w:szCs w:val="44"/>
        </w:rPr>
        <w:t>普查标准时点为2023年12月31日</w:t>
      </w:r>
      <w:r>
        <w:rPr>
          <w:rFonts w:hint="default" w:ascii="Times New Roman" w:hAnsi="Times New Roman" w:eastAsia="仿宋_GB2312" w:cs="Times New Roman"/>
          <w:bCs/>
          <w:kern w:val="44"/>
          <w:sz w:val="32"/>
          <w:szCs w:val="44"/>
          <w:lang w:eastAsia="zh-CN"/>
        </w:rPr>
        <w:t>。</w:t>
      </w:r>
      <w:r>
        <w:rPr>
          <w:rFonts w:hint="default" w:ascii="Times New Roman" w:hAnsi="Times New Roman" w:eastAsia="仿宋_GB2312" w:cs="Times New Roman"/>
          <w:sz w:val="32"/>
          <w:szCs w:val="32"/>
        </w:rPr>
        <w:t>普查登记时，时点指标填写2023年12月31日数据，时期指标填写2023年1月1日-12月31日数据</w:t>
      </w:r>
      <w:r>
        <w:rPr>
          <w:rFonts w:hint="default" w:ascii="Times New Roman" w:hAnsi="Times New Roman" w:eastAsia="仿宋_GB2312" w:cs="Times New Roman"/>
          <w:bCs/>
          <w:kern w:val="44"/>
          <w:sz w:val="32"/>
          <w:szCs w:val="44"/>
        </w:rPr>
        <w:t>。</w:t>
      </w:r>
    </w:p>
    <w:p>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根据北京市经普办总体工作部署，</w:t>
      </w:r>
      <w:r>
        <w:rPr>
          <w:rFonts w:hint="default" w:ascii="Times New Roman" w:hAnsi="Times New Roman" w:eastAsia="仿宋_GB2312" w:cs="Times New Roman"/>
          <w:sz w:val="32"/>
          <w:szCs w:val="32"/>
          <w:lang w:eastAsia="zh-CN"/>
        </w:rPr>
        <w:t>朝阳区</w:t>
      </w:r>
      <w:r>
        <w:rPr>
          <w:rFonts w:hint="default" w:ascii="Times New Roman" w:hAnsi="Times New Roman" w:eastAsia="仿宋_GB2312" w:cs="Times New Roman"/>
          <w:sz w:val="32"/>
          <w:szCs w:val="32"/>
        </w:rPr>
        <w:t>第五次全国经济普查工作拟分成4个阶段进行</w:t>
      </w:r>
      <w:r>
        <w:rPr>
          <w:rFonts w:hint="default" w:ascii="Times New Roman" w:hAnsi="Times New Roman" w:eastAsia="仿宋_GB2312" w:cs="Times New Roman"/>
          <w:bCs/>
          <w:kern w:val="44"/>
          <w:sz w:val="32"/>
          <w:szCs w:val="44"/>
        </w:rPr>
        <w:t>，分为普查准备阶段（2023年</w:t>
      </w:r>
      <w:r>
        <w:rPr>
          <w:rFonts w:hint="default" w:ascii="Times New Roman" w:hAnsi="Times New Roman" w:eastAsia="仿宋_GB2312" w:cs="Times New Roman"/>
          <w:bCs/>
          <w:kern w:val="44"/>
          <w:sz w:val="32"/>
          <w:szCs w:val="44"/>
          <w:lang w:val="en-US" w:eastAsia="zh-CN"/>
        </w:rPr>
        <w:t>12月31日前</w:t>
      </w:r>
      <w:r>
        <w:rPr>
          <w:rFonts w:hint="default" w:ascii="Times New Roman" w:hAnsi="Times New Roman" w:eastAsia="仿宋_GB2312" w:cs="Times New Roman"/>
          <w:bCs/>
          <w:kern w:val="44"/>
          <w:sz w:val="32"/>
          <w:szCs w:val="44"/>
        </w:rPr>
        <w:t>）</w:t>
      </w:r>
      <w:r>
        <w:rPr>
          <w:rFonts w:hint="default" w:ascii="Times New Roman" w:hAnsi="Times New Roman" w:eastAsia="仿宋_GB2312" w:cs="Times New Roman"/>
          <w:bCs/>
          <w:kern w:val="44"/>
          <w:sz w:val="32"/>
          <w:szCs w:val="44"/>
          <w:lang w:eastAsia="zh-CN"/>
        </w:rPr>
        <w:t>；</w:t>
      </w:r>
      <w:r>
        <w:rPr>
          <w:rFonts w:hint="default" w:ascii="Times New Roman" w:hAnsi="Times New Roman" w:eastAsia="仿宋_GB2312" w:cs="Times New Roman"/>
          <w:bCs/>
          <w:kern w:val="44"/>
          <w:sz w:val="32"/>
          <w:szCs w:val="44"/>
        </w:rPr>
        <w:t>普查登记验收阶段（2024年1－8月）</w:t>
      </w:r>
      <w:r>
        <w:rPr>
          <w:rFonts w:hint="default" w:ascii="Times New Roman" w:hAnsi="Times New Roman" w:eastAsia="仿宋_GB2312" w:cs="Times New Roman"/>
          <w:bCs/>
          <w:kern w:val="44"/>
          <w:sz w:val="32"/>
          <w:szCs w:val="44"/>
          <w:lang w:eastAsia="zh-CN"/>
        </w:rPr>
        <w:t>；</w:t>
      </w:r>
      <w:r>
        <w:rPr>
          <w:rFonts w:hint="default" w:ascii="Times New Roman" w:hAnsi="Times New Roman" w:eastAsia="仿宋_GB2312" w:cs="Times New Roman"/>
          <w:bCs/>
          <w:kern w:val="44"/>
          <w:sz w:val="32"/>
          <w:szCs w:val="44"/>
        </w:rPr>
        <w:t>普查数据汇总与评估阶段（2024年6－12月）</w:t>
      </w:r>
      <w:r>
        <w:rPr>
          <w:rFonts w:hint="default" w:ascii="Times New Roman" w:hAnsi="Times New Roman" w:eastAsia="仿宋_GB2312" w:cs="Times New Roman"/>
          <w:bCs/>
          <w:kern w:val="44"/>
          <w:sz w:val="32"/>
          <w:szCs w:val="44"/>
          <w:lang w:eastAsia="zh-CN"/>
        </w:rPr>
        <w:t>；</w:t>
      </w:r>
      <w:r>
        <w:rPr>
          <w:rFonts w:hint="default" w:ascii="Times New Roman" w:hAnsi="Times New Roman" w:eastAsia="仿宋_GB2312" w:cs="Times New Roman"/>
          <w:bCs/>
          <w:kern w:val="44"/>
          <w:sz w:val="32"/>
          <w:szCs w:val="44"/>
        </w:rPr>
        <w:t>数据发布、资料开发和总结表彰阶段（2024年10月－2025年12月），时间范围涵盖2023年至2025年。</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资金投入和使用情况</w:t>
      </w:r>
    </w:p>
    <w:p>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bCs/>
          <w:kern w:val="44"/>
          <w:sz w:val="32"/>
          <w:szCs w:val="44"/>
        </w:rPr>
        <w:t>综合考虑五经普的单位规模、组织方式等情况，在</w:t>
      </w:r>
      <w:r>
        <w:rPr>
          <w:rFonts w:hint="default" w:ascii="Times New Roman" w:hAnsi="Times New Roman" w:eastAsia="仿宋_GB2312" w:cs="Times New Roman"/>
          <w:bCs/>
          <w:kern w:val="44"/>
          <w:sz w:val="32"/>
          <w:szCs w:val="44"/>
          <w:highlight w:val="none"/>
        </w:rPr>
        <w:t>过</w:t>
      </w:r>
      <w:r>
        <w:rPr>
          <w:rFonts w:hint="eastAsia" w:eastAsia="仿宋_GB2312" w:cs="Times New Roman"/>
          <w:bCs/>
          <w:kern w:val="44"/>
          <w:sz w:val="32"/>
          <w:szCs w:val="44"/>
          <w:highlight w:val="none"/>
          <w:lang w:eastAsia="zh-CN"/>
        </w:rPr>
        <w:t>“</w:t>
      </w:r>
      <w:r>
        <w:rPr>
          <w:rFonts w:hint="default" w:ascii="Times New Roman" w:hAnsi="Times New Roman" w:eastAsia="仿宋_GB2312" w:cs="Times New Roman"/>
          <w:bCs/>
          <w:kern w:val="44"/>
          <w:sz w:val="32"/>
          <w:szCs w:val="44"/>
          <w:highlight w:val="none"/>
        </w:rPr>
        <w:t>紧日子</w:t>
      </w:r>
      <w:r>
        <w:rPr>
          <w:rFonts w:hint="eastAsia" w:eastAsia="仿宋_GB2312" w:cs="Times New Roman"/>
          <w:bCs/>
          <w:kern w:val="44"/>
          <w:sz w:val="32"/>
          <w:szCs w:val="44"/>
          <w:highlight w:val="none"/>
          <w:lang w:eastAsia="zh-CN"/>
        </w:rPr>
        <w:t>”</w:t>
      </w:r>
      <w:r>
        <w:rPr>
          <w:rFonts w:hint="default" w:ascii="Times New Roman" w:hAnsi="Times New Roman" w:eastAsia="仿宋_GB2312" w:cs="Times New Roman"/>
          <w:bCs/>
          <w:kern w:val="44"/>
          <w:sz w:val="32"/>
          <w:szCs w:val="44"/>
        </w:rPr>
        <w:t>的原则下，对各工作环节进行科学测算，</w:t>
      </w:r>
      <w:r>
        <w:rPr>
          <w:rFonts w:hint="eastAsia" w:eastAsia="仿宋_GB2312" w:cs="Times New Roman"/>
          <w:bCs/>
          <w:kern w:val="44"/>
          <w:sz w:val="32"/>
          <w:szCs w:val="44"/>
          <w:lang w:eastAsia="zh-CN"/>
        </w:rPr>
        <w:t>同时根据本项目事前绩效评估建议，建议本</w:t>
      </w:r>
      <w:r>
        <w:rPr>
          <w:rFonts w:hint="default" w:ascii="Times New Roman" w:hAnsi="Times New Roman" w:eastAsia="仿宋_GB2312" w:cs="Times New Roman"/>
          <w:bCs/>
          <w:kern w:val="44"/>
          <w:sz w:val="32"/>
          <w:szCs w:val="44"/>
        </w:rPr>
        <w:t>项目</w:t>
      </w:r>
      <w:r>
        <w:rPr>
          <w:rFonts w:hint="eastAsia" w:eastAsia="仿宋_GB2312" w:cs="Times New Roman"/>
          <w:bCs/>
          <w:kern w:val="44"/>
          <w:sz w:val="32"/>
          <w:szCs w:val="44"/>
          <w:lang w:eastAsia="zh-CN"/>
        </w:rPr>
        <w:t>支持</w:t>
      </w:r>
      <w:r>
        <w:rPr>
          <w:rFonts w:hint="default" w:ascii="Times New Roman" w:hAnsi="Times New Roman" w:eastAsia="仿宋_GB2312" w:cs="Times New Roman"/>
          <w:bCs/>
          <w:kern w:val="44"/>
          <w:sz w:val="32"/>
          <w:szCs w:val="44"/>
        </w:rPr>
        <w:t>资金</w:t>
      </w:r>
      <w:r>
        <w:rPr>
          <w:rFonts w:hint="eastAsia" w:eastAsia="仿宋_GB2312" w:cs="Times New Roman"/>
          <w:bCs/>
          <w:kern w:val="44"/>
          <w:sz w:val="32"/>
          <w:szCs w:val="44"/>
          <w:lang w:eastAsia="zh-CN"/>
        </w:rPr>
        <w:t>总预算</w:t>
      </w:r>
      <w:r>
        <w:rPr>
          <w:rFonts w:hint="default" w:ascii="Times New Roman" w:hAnsi="Times New Roman" w:eastAsia="仿宋_GB2312" w:cs="Times New Roman"/>
          <w:bCs/>
          <w:kern w:val="44"/>
          <w:sz w:val="32"/>
          <w:szCs w:val="44"/>
        </w:rPr>
        <w:t>3426.38万元，其中2023年</w:t>
      </w:r>
      <w:r>
        <w:rPr>
          <w:rFonts w:hint="default" w:ascii="Times New Roman" w:hAnsi="Times New Roman" w:eastAsia="仿宋_GB2312" w:cs="Times New Roman"/>
          <w:bCs/>
          <w:kern w:val="44"/>
          <w:sz w:val="32"/>
          <w:szCs w:val="44"/>
          <w:lang w:eastAsia="zh-CN"/>
        </w:rPr>
        <w:t>预算</w:t>
      </w:r>
      <w:r>
        <w:rPr>
          <w:rFonts w:hint="default" w:ascii="Times New Roman" w:hAnsi="Times New Roman" w:eastAsia="仿宋_GB2312" w:cs="Times New Roman"/>
          <w:bCs/>
          <w:kern w:val="44"/>
          <w:sz w:val="32"/>
          <w:szCs w:val="44"/>
        </w:rPr>
        <w:t>资金</w:t>
      </w:r>
      <w:r>
        <w:rPr>
          <w:rFonts w:hint="default" w:ascii="Times New Roman" w:hAnsi="Times New Roman" w:eastAsia="仿宋_GB2312" w:cs="Times New Roman"/>
          <w:bCs/>
          <w:kern w:val="44"/>
          <w:sz w:val="32"/>
          <w:szCs w:val="44"/>
          <w:lang w:val="en-US" w:eastAsia="zh-CN"/>
        </w:rPr>
        <w:t>1373.71</w:t>
      </w:r>
      <w:r>
        <w:rPr>
          <w:rFonts w:hint="default" w:ascii="Times New Roman" w:hAnsi="Times New Roman" w:eastAsia="仿宋_GB2312" w:cs="Times New Roman"/>
          <w:bCs/>
          <w:kern w:val="44"/>
          <w:sz w:val="32"/>
          <w:szCs w:val="44"/>
        </w:rPr>
        <w:t>万元</w:t>
      </w:r>
      <w:r>
        <w:rPr>
          <w:rFonts w:hint="default" w:ascii="Times New Roman" w:hAnsi="Times New Roman" w:eastAsia="仿宋_GB2312" w:cs="Times New Roman"/>
          <w:bCs/>
          <w:kern w:val="44"/>
          <w:sz w:val="32"/>
          <w:szCs w:val="44"/>
          <w:lang w:eastAsia="zh-CN"/>
        </w:rPr>
        <w:t>（局本级经费436</w:t>
      </w:r>
      <w:r>
        <w:rPr>
          <w:rFonts w:hint="default" w:ascii="Times New Roman" w:hAnsi="Times New Roman" w:eastAsia="仿宋_GB2312" w:cs="Times New Roman"/>
          <w:bCs/>
          <w:kern w:val="44"/>
          <w:sz w:val="32"/>
          <w:szCs w:val="44"/>
          <w:lang w:val="en-US" w:eastAsia="zh-CN"/>
        </w:rPr>
        <w:t>.</w:t>
      </w:r>
      <w:r>
        <w:rPr>
          <w:rFonts w:hint="default" w:ascii="Times New Roman" w:hAnsi="Times New Roman" w:eastAsia="仿宋_GB2312" w:cs="Times New Roman"/>
          <w:bCs/>
          <w:kern w:val="44"/>
          <w:sz w:val="32"/>
          <w:szCs w:val="44"/>
          <w:lang w:eastAsia="zh-CN"/>
        </w:rPr>
        <w:t>6</w:t>
      </w:r>
      <w:r>
        <w:rPr>
          <w:rFonts w:hint="default" w:ascii="Times New Roman" w:hAnsi="Times New Roman" w:eastAsia="仿宋_GB2312" w:cs="Times New Roman"/>
          <w:bCs/>
          <w:kern w:val="44"/>
          <w:sz w:val="32"/>
          <w:szCs w:val="44"/>
          <w:lang w:val="en-US" w:eastAsia="zh-CN"/>
        </w:rPr>
        <w:t>2</w:t>
      </w:r>
      <w:r>
        <w:rPr>
          <w:rFonts w:hint="default" w:ascii="Times New Roman" w:hAnsi="Times New Roman" w:eastAsia="仿宋_GB2312" w:cs="Times New Roman"/>
          <w:bCs/>
          <w:kern w:val="44"/>
          <w:sz w:val="32"/>
          <w:szCs w:val="44"/>
          <w:lang w:eastAsia="zh-CN"/>
        </w:rPr>
        <w:t>万元，街乡经费937</w:t>
      </w:r>
      <w:r>
        <w:rPr>
          <w:rFonts w:hint="default" w:ascii="Times New Roman" w:hAnsi="Times New Roman" w:eastAsia="仿宋_GB2312" w:cs="Times New Roman"/>
          <w:bCs/>
          <w:kern w:val="44"/>
          <w:sz w:val="32"/>
          <w:szCs w:val="44"/>
          <w:lang w:val="en-US" w:eastAsia="zh-CN"/>
        </w:rPr>
        <w:t>.</w:t>
      </w:r>
      <w:r>
        <w:rPr>
          <w:rFonts w:hint="default" w:ascii="Times New Roman" w:hAnsi="Times New Roman" w:eastAsia="仿宋_GB2312" w:cs="Times New Roman"/>
          <w:bCs/>
          <w:kern w:val="44"/>
          <w:sz w:val="32"/>
          <w:szCs w:val="44"/>
          <w:lang w:eastAsia="zh-CN"/>
        </w:rPr>
        <w:t>09万元）</w:t>
      </w:r>
      <w:r>
        <w:rPr>
          <w:rFonts w:hint="default" w:ascii="Times New Roman" w:hAnsi="Times New Roman" w:eastAsia="仿宋_GB2312" w:cs="Times New Roman"/>
          <w:bCs/>
          <w:kern w:val="44"/>
          <w:sz w:val="32"/>
          <w:szCs w:val="44"/>
        </w:rPr>
        <w:t>，2024年</w:t>
      </w:r>
      <w:r>
        <w:rPr>
          <w:rFonts w:hint="default" w:ascii="Times New Roman" w:hAnsi="Times New Roman" w:eastAsia="仿宋_GB2312" w:cs="Times New Roman"/>
          <w:bCs/>
          <w:kern w:val="44"/>
          <w:sz w:val="32"/>
          <w:szCs w:val="44"/>
          <w:lang w:eastAsia="zh-CN"/>
        </w:rPr>
        <w:t>预算</w:t>
      </w:r>
      <w:r>
        <w:rPr>
          <w:rFonts w:hint="default" w:ascii="Times New Roman" w:hAnsi="Times New Roman" w:eastAsia="仿宋_GB2312" w:cs="Times New Roman"/>
          <w:bCs/>
          <w:kern w:val="44"/>
          <w:sz w:val="32"/>
          <w:szCs w:val="44"/>
        </w:rPr>
        <w:t>资金</w:t>
      </w:r>
      <w:r>
        <w:rPr>
          <w:rFonts w:hint="default" w:ascii="Times New Roman" w:hAnsi="Times New Roman" w:eastAsia="仿宋_GB2312" w:cs="Times New Roman"/>
          <w:bCs/>
          <w:kern w:val="44"/>
          <w:sz w:val="32"/>
          <w:szCs w:val="44"/>
          <w:lang w:val="en-US" w:eastAsia="zh-CN"/>
        </w:rPr>
        <w:t>2027.47</w:t>
      </w:r>
      <w:r>
        <w:rPr>
          <w:rFonts w:hint="default" w:ascii="Times New Roman" w:hAnsi="Times New Roman" w:eastAsia="仿宋_GB2312" w:cs="Times New Roman"/>
          <w:bCs/>
          <w:kern w:val="44"/>
          <w:sz w:val="32"/>
          <w:szCs w:val="44"/>
        </w:rPr>
        <w:t>万元</w:t>
      </w:r>
      <w:r>
        <w:rPr>
          <w:rFonts w:hint="default" w:ascii="Times New Roman" w:hAnsi="Times New Roman" w:eastAsia="仿宋_GB2312" w:cs="Times New Roman"/>
          <w:bCs/>
          <w:kern w:val="44"/>
          <w:sz w:val="32"/>
          <w:szCs w:val="44"/>
          <w:lang w:eastAsia="zh-CN"/>
        </w:rPr>
        <w:t>（局本级经费</w:t>
      </w:r>
      <w:r>
        <w:rPr>
          <w:rFonts w:hint="default" w:ascii="Times New Roman" w:hAnsi="Times New Roman" w:eastAsia="仿宋_GB2312" w:cs="Times New Roman"/>
          <w:bCs/>
          <w:kern w:val="44"/>
          <w:sz w:val="32"/>
          <w:szCs w:val="44"/>
          <w:lang w:val="en-US" w:eastAsia="zh-CN"/>
        </w:rPr>
        <w:t>227.41</w:t>
      </w:r>
      <w:r>
        <w:rPr>
          <w:rFonts w:hint="default" w:ascii="Times New Roman" w:hAnsi="Times New Roman" w:eastAsia="仿宋_GB2312" w:cs="Times New Roman"/>
          <w:bCs/>
          <w:kern w:val="44"/>
          <w:sz w:val="32"/>
          <w:szCs w:val="44"/>
          <w:lang w:eastAsia="zh-CN"/>
        </w:rPr>
        <w:t>万元，街乡经费</w:t>
      </w:r>
      <w:r>
        <w:rPr>
          <w:rFonts w:hint="default" w:ascii="Times New Roman" w:hAnsi="Times New Roman" w:eastAsia="仿宋_GB2312" w:cs="Times New Roman"/>
          <w:bCs/>
          <w:kern w:val="44"/>
          <w:sz w:val="32"/>
          <w:szCs w:val="44"/>
          <w:lang w:val="en-US" w:eastAsia="zh-CN"/>
        </w:rPr>
        <w:t>1800.06</w:t>
      </w:r>
      <w:r>
        <w:rPr>
          <w:rFonts w:hint="default" w:ascii="Times New Roman" w:hAnsi="Times New Roman" w:eastAsia="仿宋_GB2312" w:cs="Times New Roman"/>
          <w:bCs/>
          <w:kern w:val="44"/>
          <w:sz w:val="32"/>
          <w:szCs w:val="44"/>
          <w:lang w:eastAsia="zh-CN"/>
        </w:rPr>
        <w:t>万元）</w:t>
      </w:r>
      <w:r>
        <w:rPr>
          <w:rFonts w:hint="default" w:ascii="Times New Roman" w:hAnsi="Times New Roman" w:eastAsia="仿宋_GB2312" w:cs="Times New Roman"/>
          <w:bCs/>
          <w:kern w:val="44"/>
          <w:sz w:val="32"/>
          <w:szCs w:val="44"/>
        </w:rPr>
        <w:t>，2025年</w:t>
      </w:r>
      <w:r>
        <w:rPr>
          <w:rFonts w:hint="default" w:ascii="Times New Roman" w:hAnsi="Times New Roman" w:eastAsia="仿宋_GB2312" w:cs="Times New Roman"/>
          <w:bCs/>
          <w:kern w:val="44"/>
          <w:sz w:val="32"/>
          <w:szCs w:val="44"/>
          <w:lang w:eastAsia="zh-CN"/>
        </w:rPr>
        <w:t>预算</w:t>
      </w:r>
      <w:r>
        <w:rPr>
          <w:rFonts w:hint="default" w:ascii="Times New Roman" w:hAnsi="Times New Roman" w:eastAsia="仿宋_GB2312" w:cs="Times New Roman"/>
          <w:bCs/>
          <w:kern w:val="44"/>
          <w:sz w:val="32"/>
          <w:szCs w:val="44"/>
        </w:rPr>
        <w:t>资金</w:t>
      </w:r>
      <w:r>
        <w:rPr>
          <w:rFonts w:hint="default" w:ascii="Times New Roman" w:hAnsi="Times New Roman" w:eastAsia="仿宋_GB2312" w:cs="Times New Roman"/>
          <w:bCs/>
          <w:kern w:val="44"/>
          <w:sz w:val="32"/>
          <w:szCs w:val="44"/>
          <w:lang w:val="en-US" w:eastAsia="zh-CN"/>
        </w:rPr>
        <w:t>25</w:t>
      </w:r>
      <w:r>
        <w:rPr>
          <w:rFonts w:hint="default" w:ascii="Times New Roman" w:hAnsi="Times New Roman" w:eastAsia="仿宋_GB2312" w:cs="Times New Roman"/>
          <w:bCs/>
          <w:kern w:val="44"/>
          <w:sz w:val="32"/>
          <w:szCs w:val="44"/>
        </w:rPr>
        <w:t>.2万元。</w:t>
      </w:r>
    </w:p>
    <w:p>
      <w:pPr>
        <w:spacing w:line="600" w:lineRule="exact"/>
        <w:ind w:firstLine="640" w:firstLineChars="200"/>
        <w:rPr>
          <w:rFonts w:hint="default" w:ascii="Times New Roman" w:hAnsi="Times New Roman" w:eastAsia="楷体_GB2312" w:cs="Times New Roman"/>
          <w:sz w:val="32"/>
          <w:szCs w:val="32"/>
          <w:lang w:val="en-US" w:eastAsia="zh-CN"/>
        </w:rPr>
      </w:pPr>
      <w:r>
        <w:rPr>
          <w:rFonts w:hint="eastAsia" w:eastAsia="仿宋_GB2312" w:cs="Times New Roman"/>
          <w:bCs/>
          <w:kern w:val="44"/>
          <w:sz w:val="32"/>
          <w:szCs w:val="44"/>
          <w:lang w:val="en-US" w:eastAsia="zh-CN"/>
        </w:rPr>
        <w:t>按照实际工作开展情况，</w:t>
      </w:r>
      <w:r>
        <w:rPr>
          <w:rFonts w:hint="default" w:ascii="Times New Roman" w:hAnsi="Times New Roman" w:eastAsia="仿宋_GB2312" w:cs="Times New Roman"/>
          <w:bCs/>
          <w:kern w:val="44"/>
          <w:sz w:val="32"/>
          <w:szCs w:val="44"/>
          <w:lang w:val="en-US" w:eastAsia="zh-CN"/>
        </w:rPr>
        <w:t>2023年局本级实际支出422.21万元，</w:t>
      </w:r>
      <w:r>
        <w:rPr>
          <w:rFonts w:hint="default" w:ascii="Times New Roman" w:hAnsi="Times New Roman" w:eastAsia="仿宋_GB2312" w:cs="Times New Roman"/>
          <w:bCs/>
          <w:kern w:val="44"/>
          <w:sz w:val="32"/>
          <w:szCs w:val="44"/>
        </w:rPr>
        <w:t>2024年</w:t>
      </w:r>
      <w:r>
        <w:rPr>
          <w:rFonts w:hint="default" w:ascii="Times New Roman" w:hAnsi="Times New Roman" w:eastAsia="仿宋_GB2312" w:cs="Times New Roman"/>
          <w:bCs/>
          <w:kern w:val="44"/>
          <w:sz w:val="32"/>
          <w:szCs w:val="44"/>
          <w:lang w:eastAsia="zh-CN"/>
        </w:rPr>
        <w:t>预算</w:t>
      </w:r>
      <w:r>
        <w:rPr>
          <w:rFonts w:hint="default" w:ascii="Times New Roman" w:hAnsi="Times New Roman" w:eastAsia="仿宋_GB2312" w:cs="Times New Roman"/>
          <w:bCs/>
          <w:kern w:val="44"/>
          <w:sz w:val="32"/>
          <w:szCs w:val="44"/>
        </w:rPr>
        <w:t>资金</w:t>
      </w:r>
      <w:r>
        <w:rPr>
          <w:rFonts w:hint="default" w:ascii="Times New Roman" w:hAnsi="Times New Roman" w:eastAsia="仿宋_GB2312" w:cs="Times New Roman"/>
          <w:bCs/>
          <w:kern w:val="44"/>
          <w:sz w:val="32"/>
          <w:szCs w:val="44"/>
          <w:lang w:val="en-US" w:eastAsia="zh-CN"/>
        </w:rPr>
        <w:t>2024.76</w:t>
      </w:r>
      <w:r>
        <w:rPr>
          <w:rFonts w:hint="default" w:ascii="Times New Roman" w:hAnsi="Times New Roman" w:eastAsia="仿宋_GB2312" w:cs="Times New Roman"/>
          <w:bCs/>
          <w:kern w:val="44"/>
          <w:sz w:val="32"/>
          <w:szCs w:val="44"/>
        </w:rPr>
        <w:t>万元</w:t>
      </w:r>
      <w:r>
        <w:rPr>
          <w:rFonts w:hint="default" w:ascii="Times New Roman" w:hAnsi="Times New Roman" w:eastAsia="仿宋_GB2312" w:cs="Times New Roman"/>
          <w:bCs/>
          <w:kern w:val="44"/>
          <w:sz w:val="32"/>
          <w:szCs w:val="44"/>
          <w:lang w:eastAsia="zh-CN"/>
        </w:rPr>
        <w:t>（局本级经费</w:t>
      </w:r>
      <w:r>
        <w:rPr>
          <w:rFonts w:hint="default" w:ascii="Times New Roman" w:hAnsi="Times New Roman" w:eastAsia="仿宋_GB2312" w:cs="Times New Roman"/>
          <w:bCs/>
          <w:kern w:val="44"/>
          <w:sz w:val="32"/>
          <w:szCs w:val="44"/>
          <w:lang w:val="en-US" w:eastAsia="zh-CN"/>
        </w:rPr>
        <w:t>224.71</w:t>
      </w:r>
      <w:r>
        <w:rPr>
          <w:rFonts w:hint="default" w:ascii="Times New Roman" w:hAnsi="Times New Roman" w:eastAsia="仿宋_GB2312" w:cs="Times New Roman"/>
          <w:bCs/>
          <w:kern w:val="44"/>
          <w:sz w:val="32"/>
          <w:szCs w:val="44"/>
          <w:lang w:eastAsia="zh-CN"/>
        </w:rPr>
        <w:t>万元，街乡经费</w:t>
      </w:r>
      <w:r>
        <w:rPr>
          <w:rFonts w:hint="default" w:ascii="Times New Roman" w:hAnsi="Times New Roman" w:eastAsia="仿宋_GB2312" w:cs="Times New Roman"/>
          <w:bCs/>
          <w:kern w:val="44"/>
          <w:sz w:val="32"/>
          <w:szCs w:val="44"/>
          <w:lang w:val="en-US" w:eastAsia="zh-CN"/>
        </w:rPr>
        <w:t>1800.05</w:t>
      </w:r>
      <w:r>
        <w:rPr>
          <w:rFonts w:hint="default" w:ascii="Times New Roman" w:hAnsi="Times New Roman" w:eastAsia="仿宋_GB2312" w:cs="Times New Roman"/>
          <w:bCs/>
          <w:kern w:val="44"/>
          <w:sz w:val="32"/>
          <w:szCs w:val="44"/>
          <w:lang w:eastAsia="zh-CN"/>
        </w:rPr>
        <w:t>万元）。</w:t>
      </w:r>
    </w:p>
    <w:p>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（二）项目绩效目标</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总体目标</w:t>
      </w:r>
    </w:p>
    <w:p>
      <w:pPr>
        <w:spacing w:line="60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i w:val="0"/>
          <w:caps w:val="0"/>
          <w:color w:val="232930"/>
          <w:spacing w:val="0"/>
          <w:sz w:val="32"/>
          <w:szCs w:val="32"/>
          <w:shd w:val="clear" w:color="auto" w:fill="FFFFFF"/>
        </w:rPr>
        <w:t>第五次全国经济普查将是我国开启全面建设社会主义现代化国家新征程、向第二个百年奋斗目标进军之际开展的首次重大国情国力调查，对于摸清我国经济社会发展“家底”，全面了解新时期经济运行状况和经济社会发展新变化、新特征，深化统计现代化改革，更加有效发挥统计监督职能作用，具有重要而深远的意义。</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阶段性目标</w:t>
      </w:r>
    </w:p>
    <w:p>
      <w:pPr>
        <w:spacing w:line="60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i w:val="0"/>
          <w:caps w:val="0"/>
          <w:color w:val="232930"/>
          <w:spacing w:val="0"/>
          <w:sz w:val="32"/>
          <w:szCs w:val="32"/>
          <w:shd w:val="clear" w:color="auto" w:fill="FFFFFF"/>
          <w:lang w:val="en-US" w:eastAsia="zh-CN"/>
        </w:rPr>
        <w:t>2023年期间，第五次全国经济普查工作目标为，全面完成各级普查机构组建、普查员选聘、普查区划分、物资保障等工作，并对辖区内所有普查对象进行逐个清查摸底，确定正式登记底册，清查数据质量要确保达到全市数据质量要求。同时开展普查宣传，取得普查对象的支持。2024年全面开展普查登记，并对普查数据进行审核、检查和验收工作；组织开展普查登记数据的事后质量抽查、汇总和数据评估；将普查数据，按照有关规定，以公报的形式及时向社会发布普查主要成果。2025年</w:t>
      </w:r>
      <w:r>
        <w:rPr>
          <w:rFonts w:hint="default" w:ascii="Times New Roman" w:hAnsi="Times New Roman" w:eastAsia="仿宋_GB2312" w:cs="Times New Roman"/>
          <w:sz w:val="32"/>
          <w:szCs w:val="32"/>
        </w:rPr>
        <w:t>发布普查主要数据，开展研究分析、建立健全覆盖国民经济各个行业的基本单位名录库，建立普查数据库，数据共享和应用展示，开展普查总结表彰，编印普查资料，普查资料整理与归档等。</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二、绩效评价工作开展情况</w:t>
      </w:r>
    </w:p>
    <w:p>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（一）绩效评价目的、对象和范围</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1.评价目的</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绩效评价工作主要是运用科学、合理的绩效评价指标、评价标准和评价方法对项目财政支出进行绩效评价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反映财政支出项目完成情况和实施效果。同时，及时总结经验，分析存在的问题，采取有效措施改进和加强项目管理，为政府相关决策提供参考依据。</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2.评价对象</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本次绩效评价的对象为2023年</w:t>
      </w:r>
      <w:r>
        <w:rPr>
          <w:rFonts w:hint="eastAsia" w:ascii="Times New Roman" w:hAnsi="Times New Roman" w:eastAsia="仿宋_GB2312" w:cs="Times New Roman"/>
          <w:sz w:val="32"/>
          <w:szCs w:val="32"/>
          <w:lang w:val="en-US" w:eastAsia="zh-CN"/>
        </w:rPr>
        <w:t>朝阳区统计局项目经费中“</w:t>
      </w:r>
      <w:r>
        <w:rPr>
          <w:rFonts w:hint="default" w:ascii="Times New Roman" w:hAnsi="Times New Roman" w:eastAsia="仿宋_GB2312" w:cs="Times New Roman"/>
          <w:sz w:val="32"/>
          <w:szCs w:val="32"/>
        </w:rPr>
        <w:t>第五次全国经济普查</w:t>
      </w:r>
      <w:r>
        <w:rPr>
          <w:rFonts w:hint="eastAsia" w:ascii="Times New Roman" w:hAnsi="Times New Roman" w:eastAsia="仿宋_GB2312" w:cs="Times New Roman"/>
          <w:sz w:val="32"/>
          <w:szCs w:val="32"/>
          <w:lang w:val="en-US" w:eastAsia="zh-CN"/>
        </w:rPr>
        <w:t>”工作经费</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3.评价范围</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本次绩效评价的范围是：</w:t>
      </w:r>
      <w:r>
        <w:rPr>
          <w:rFonts w:hint="default" w:ascii="Times New Roman" w:hAnsi="Times New Roman" w:eastAsia="仿宋_GB2312" w:cs="Times New Roman"/>
          <w:sz w:val="32"/>
          <w:szCs w:val="32"/>
        </w:rPr>
        <w:t>第五次全国经济普查</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lang w:val="en-US" w:eastAsia="zh-CN"/>
        </w:rPr>
        <w:t>绩效目标与工作方案的适应性；财政资金使用情况，财务管理状况；为加强管理所制定或完善的相关制度，采取的措施；绩效目标的实现程度，包括是否达到预定产出和效果等需要评价的其他内容。</w:t>
      </w:r>
    </w:p>
    <w:p>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（二）绩效评价原则、评价指标体系、评价方法、评价标准</w:t>
      </w:r>
    </w:p>
    <w:p>
      <w:pPr>
        <w:spacing w:line="60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1.评价原则</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一是客观公正原则。本次绩效评价工作本着实事求是的原则，站在客观、公正的立场发表评价意见。</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二是科学规范原则。本次绩效评价严格遵循《北京市项目支出绩效评价管理办法》（京财绩效〔2020〕2146号）文件相关规定、要求组织实施。</w:t>
      </w:r>
    </w:p>
    <w:p>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三是突出绩效原则。重点关注绩效，兼顾决策和管理。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评价指标体系、评价方法、评价标准</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w:t>
      </w:r>
      <w:r>
        <w:rPr>
          <w:rFonts w:hint="default" w:ascii="Times New Roman" w:hAnsi="Times New Roman" w:eastAsia="仿宋_GB2312" w:cs="Times New Roman"/>
          <w:sz w:val="32"/>
          <w:szCs w:val="32"/>
        </w:rPr>
        <w:t>《北京市项目支出绩效评价管理办法》（京财绩效〔2020〕2146号）文件</w:t>
      </w:r>
      <w:r>
        <w:rPr>
          <w:rFonts w:hint="default" w:ascii="Times New Roman" w:hAnsi="Times New Roman" w:eastAsia="仿宋_GB2312" w:cs="Times New Roman"/>
          <w:sz w:val="32"/>
          <w:szCs w:val="32"/>
          <w:lang w:eastAsia="zh-CN"/>
        </w:rPr>
        <w:t>相关要求，结合实际情况进行评价。</w:t>
      </w:r>
    </w:p>
    <w:p>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（三）绩效评价工作过程</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根据《北京市朝阳区第五次全国经济普查实施方案》（朝经普办发〔2023〕11号），对照</w:t>
      </w:r>
      <w:r>
        <w:rPr>
          <w:rFonts w:hint="default" w:ascii="Times New Roman" w:hAnsi="Times New Roman" w:eastAsia="仿宋_GB2312" w:cs="Times New Roman"/>
          <w:sz w:val="32"/>
          <w:szCs w:val="32"/>
          <w:lang w:val="en-US" w:eastAsia="zh-CN"/>
        </w:rPr>
        <w:t>2023年设定的绩效目标，结合实际工作完成情况，填写《项目支出绩效自评表》，撰写《项目支出绩效评价报告》。</w:t>
      </w:r>
    </w:p>
    <w:p>
      <w:pPr>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三、综合评价情况及评价结论</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该项目总体绩效目标比较明确，绩效指标设定基本清晰、合理；项目预算编制基本合理；财务管理制度比较健全。</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经评价，该项目</w:t>
      </w:r>
      <w:r>
        <w:rPr>
          <w:rFonts w:hint="default" w:ascii="Times New Roman" w:hAnsi="Times New Roman" w:eastAsia="仿宋_GB2312" w:cs="Times New Roman"/>
          <w:sz w:val="32"/>
          <w:szCs w:val="32"/>
          <w:highlight w:val="none"/>
          <w:lang w:eastAsia="zh-CN"/>
        </w:rPr>
        <w:t>绩效评价综合得分</w:t>
      </w:r>
      <w:r>
        <w:rPr>
          <w:rFonts w:hint="eastAsia" w:eastAsia="仿宋_GB2312" w:cs="Times New Roman"/>
          <w:sz w:val="32"/>
          <w:szCs w:val="32"/>
          <w:highlight w:val="none"/>
          <w:lang w:val="en-US" w:eastAsia="zh-CN"/>
        </w:rPr>
        <w:t>99.93</w:t>
      </w:r>
      <w:r>
        <w:rPr>
          <w:rFonts w:hint="default" w:ascii="Times New Roman" w:hAnsi="Times New Roman" w:eastAsia="仿宋_GB2312" w:cs="Times New Roman"/>
          <w:sz w:val="32"/>
          <w:szCs w:val="32"/>
          <w:highlight w:val="none"/>
        </w:rPr>
        <w:t>分。其中：项目决策</w:t>
      </w:r>
      <w:r>
        <w:rPr>
          <w:rFonts w:hint="default" w:ascii="Times New Roman" w:hAnsi="Times New Roman" w:eastAsia="仿宋_GB2312" w:cs="Times New Roman"/>
          <w:sz w:val="32"/>
          <w:szCs w:val="32"/>
          <w:highlight w:val="none"/>
          <w:lang w:eastAsia="zh-CN"/>
        </w:rPr>
        <w:t>得分</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分，项目</w:t>
      </w:r>
      <w:r>
        <w:rPr>
          <w:rFonts w:hint="default" w:ascii="Times New Roman" w:hAnsi="Times New Roman" w:eastAsia="仿宋_GB2312" w:cs="Times New Roman"/>
          <w:sz w:val="32"/>
          <w:szCs w:val="32"/>
          <w:highlight w:val="none"/>
          <w:lang w:eastAsia="zh-CN"/>
        </w:rPr>
        <w:t>过程</w:t>
      </w:r>
      <w:r>
        <w:rPr>
          <w:rFonts w:hint="default" w:ascii="Times New Roman" w:hAnsi="Times New Roman" w:eastAsia="仿宋_GB2312" w:cs="Times New Roman"/>
          <w:sz w:val="32"/>
          <w:szCs w:val="32"/>
          <w:highlight w:val="none"/>
        </w:rPr>
        <w:t>得分</w:t>
      </w:r>
      <w:r>
        <w:rPr>
          <w:rFonts w:hint="eastAsia" w:eastAsia="仿宋_GB2312" w:cs="Times New Roman"/>
          <w:sz w:val="32"/>
          <w:szCs w:val="32"/>
          <w:highlight w:val="none"/>
          <w:lang w:val="en-US" w:eastAsia="zh-CN"/>
        </w:rPr>
        <w:t>19.93</w:t>
      </w:r>
      <w:r>
        <w:rPr>
          <w:rFonts w:hint="default" w:ascii="Times New Roman" w:hAnsi="Times New Roman" w:eastAsia="仿宋_GB2312" w:cs="Times New Roman"/>
          <w:sz w:val="32"/>
          <w:szCs w:val="32"/>
          <w:highlight w:val="none"/>
        </w:rPr>
        <w:t>分，项目</w:t>
      </w:r>
      <w:r>
        <w:rPr>
          <w:rFonts w:hint="default" w:ascii="Times New Roman" w:hAnsi="Times New Roman" w:eastAsia="仿宋_GB2312" w:cs="Times New Roman"/>
          <w:sz w:val="32"/>
          <w:szCs w:val="32"/>
          <w:highlight w:val="none"/>
          <w:lang w:eastAsia="zh-CN"/>
        </w:rPr>
        <w:t>产出</w:t>
      </w:r>
      <w:r>
        <w:rPr>
          <w:rFonts w:hint="default" w:ascii="Times New Roman" w:hAnsi="Times New Roman" w:eastAsia="仿宋_GB2312" w:cs="Times New Roman"/>
          <w:sz w:val="32"/>
          <w:szCs w:val="32"/>
          <w:highlight w:val="none"/>
        </w:rPr>
        <w:t>得分</w:t>
      </w:r>
      <w:r>
        <w:rPr>
          <w:rFonts w:hint="eastAsia" w:eastAsia="仿宋_GB2312" w:cs="Times New Roman"/>
          <w:sz w:val="32"/>
          <w:szCs w:val="32"/>
          <w:highlight w:val="none"/>
          <w:lang w:val="en-US" w:eastAsia="zh-CN"/>
        </w:rPr>
        <w:t>40</w:t>
      </w:r>
      <w:r>
        <w:rPr>
          <w:rFonts w:hint="default" w:ascii="Times New Roman" w:hAnsi="Times New Roman" w:eastAsia="仿宋_GB2312" w:cs="Times New Roman"/>
          <w:sz w:val="32"/>
          <w:szCs w:val="32"/>
          <w:highlight w:val="none"/>
        </w:rPr>
        <w:t>分</w:t>
      </w:r>
      <w:r>
        <w:rPr>
          <w:rFonts w:hint="default" w:ascii="Times New Roman" w:hAnsi="Times New Roman" w:eastAsia="仿宋_GB2312" w:cs="Times New Roman"/>
          <w:sz w:val="32"/>
          <w:szCs w:val="32"/>
          <w:highlight w:val="none"/>
          <w:lang w:eastAsia="zh-CN"/>
        </w:rPr>
        <w:t>，项目效益得分</w:t>
      </w:r>
      <w:r>
        <w:rPr>
          <w:rFonts w:hint="eastAsia"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分</w:t>
      </w:r>
      <w:r>
        <w:rPr>
          <w:rFonts w:hint="default" w:ascii="Times New Roman" w:hAnsi="Times New Roman" w:eastAsia="仿宋_GB2312" w:cs="Times New Roman"/>
          <w:sz w:val="32"/>
          <w:szCs w:val="32"/>
          <w:highlight w:val="none"/>
        </w:rPr>
        <w:t>。</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四、绩效评价指标分析</w:t>
      </w:r>
    </w:p>
    <w:p>
      <w:pPr>
        <w:spacing w:line="600" w:lineRule="exact"/>
        <w:ind w:firstLine="640" w:firstLineChars="200"/>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（一）项目决策情况</w:t>
      </w:r>
    </w:p>
    <w:p>
      <w:pPr>
        <w:spacing w:line="600" w:lineRule="exact"/>
        <w:ind w:firstLine="640" w:firstLineChars="200"/>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1.绩效目标</w:t>
      </w:r>
    </w:p>
    <w:p>
      <w:pPr>
        <w:spacing w:line="600" w:lineRule="exact"/>
        <w:ind w:firstLine="640" w:firstLineChars="200"/>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项目绩效目标基本科学、清晰，能够明确反应目标。依据项目内容，从项目产出数量、质量、时效、经济成本、社会效益等方面设定了具体指标，目标细化程度基本符合项目内容。</w:t>
      </w:r>
    </w:p>
    <w:p>
      <w:pPr>
        <w:spacing w:line="600" w:lineRule="exact"/>
        <w:ind w:firstLine="640" w:firstLineChars="200"/>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2.资金投入</w:t>
      </w:r>
    </w:p>
    <w:p>
      <w:pPr>
        <w:spacing w:line="600" w:lineRule="exact"/>
        <w:ind w:firstLine="640" w:firstLineChars="200"/>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项目整体预算编制通过区财政局事前绩效评估，建议支持资</w:t>
      </w:r>
      <w:r>
        <w:rPr>
          <w:rFonts w:hint="default" w:ascii="Times New Roman" w:hAnsi="Times New Roman" w:eastAsia="仿宋_GB2312" w:cs="Times New Roman"/>
          <w:bCs/>
          <w:kern w:val="44"/>
          <w:sz w:val="32"/>
          <w:szCs w:val="44"/>
          <w:lang w:val="en-US" w:eastAsia="zh-CN"/>
        </w:rPr>
        <w:t>金3426.38万</w:t>
      </w:r>
      <w:r>
        <w:rPr>
          <w:rFonts w:hint="default" w:ascii="Times New Roman" w:hAnsi="Times New Roman" w:eastAsia="仿宋_GB2312" w:cs="Times New Roman"/>
          <w:sz w:val="32"/>
          <w:szCs w:val="32"/>
          <w:lang w:val="en-US" w:eastAsia="zh-CN"/>
        </w:rPr>
        <w:t>元。</w:t>
      </w:r>
    </w:p>
    <w:p>
      <w:pPr>
        <w:spacing w:line="600" w:lineRule="exact"/>
        <w:ind w:firstLine="640" w:firstLineChars="200"/>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（二）项目过程情况</w:t>
      </w:r>
    </w:p>
    <w:p>
      <w:pPr>
        <w:spacing w:line="600" w:lineRule="exact"/>
        <w:ind w:firstLine="640" w:firstLineChars="200"/>
        <w:outlineLvl w:val="0"/>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1.资金管理</w:t>
      </w:r>
    </w:p>
    <w:p>
      <w:pPr>
        <w:spacing w:line="600" w:lineRule="exact"/>
        <w:ind w:firstLine="640" w:firstLineChars="200"/>
        <w:outlineLvl w:val="0"/>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bCs/>
          <w:kern w:val="44"/>
          <w:sz w:val="32"/>
          <w:szCs w:val="44"/>
        </w:rPr>
        <w:t>2023年</w:t>
      </w:r>
      <w:r>
        <w:rPr>
          <w:rFonts w:hint="eastAsia" w:eastAsia="仿宋_GB2312" w:cs="Times New Roman"/>
          <w:bCs/>
          <w:kern w:val="44"/>
          <w:sz w:val="32"/>
          <w:szCs w:val="44"/>
          <w:lang w:eastAsia="zh-CN"/>
        </w:rPr>
        <w:t>区统计局年初</w:t>
      </w:r>
      <w:r>
        <w:rPr>
          <w:rFonts w:hint="default" w:ascii="Times New Roman" w:hAnsi="Times New Roman" w:eastAsia="仿宋_GB2312" w:cs="Times New Roman"/>
          <w:bCs/>
          <w:kern w:val="44"/>
          <w:sz w:val="32"/>
          <w:szCs w:val="44"/>
          <w:lang w:eastAsia="zh-CN"/>
        </w:rPr>
        <w:t>预算</w:t>
      </w:r>
      <w:r>
        <w:rPr>
          <w:rFonts w:hint="default" w:ascii="Times New Roman" w:hAnsi="Times New Roman" w:eastAsia="仿宋_GB2312" w:cs="Times New Roman"/>
          <w:bCs/>
          <w:kern w:val="44"/>
          <w:sz w:val="32"/>
          <w:szCs w:val="44"/>
        </w:rPr>
        <w:t>资金</w:t>
      </w:r>
      <w:r>
        <w:rPr>
          <w:rFonts w:hint="default" w:ascii="Times New Roman" w:hAnsi="Times New Roman" w:eastAsia="仿宋_GB2312" w:cs="Times New Roman"/>
          <w:bCs/>
          <w:kern w:val="44"/>
          <w:sz w:val="32"/>
          <w:szCs w:val="44"/>
          <w:lang w:eastAsia="zh-CN"/>
        </w:rPr>
        <w:t>436</w:t>
      </w:r>
      <w:r>
        <w:rPr>
          <w:rFonts w:hint="default" w:ascii="Times New Roman" w:hAnsi="Times New Roman" w:eastAsia="仿宋_GB2312" w:cs="Times New Roman"/>
          <w:bCs/>
          <w:kern w:val="44"/>
          <w:sz w:val="32"/>
          <w:szCs w:val="44"/>
          <w:lang w:val="en-US" w:eastAsia="zh-CN"/>
        </w:rPr>
        <w:t>.</w:t>
      </w:r>
      <w:r>
        <w:rPr>
          <w:rFonts w:hint="default" w:ascii="Times New Roman" w:hAnsi="Times New Roman" w:eastAsia="仿宋_GB2312" w:cs="Times New Roman"/>
          <w:bCs/>
          <w:kern w:val="44"/>
          <w:sz w:val="32"/>
          <w:szCs w:val="44"/>
          <w:lang w:eastAsia="zh-CN"/>
        </w:rPr>
        <w:t>6</w:t>
      </w:r>
      <w:r>
        <w:rPr>
          <w:rFonts w:hint="default" w:ascii="Times New Roman" w:hAnsi="Times New Roman" w:eastAsia="仿宋_GB2312" w:cs="Times New Roman"/>
          <w:bCs/>
          <w:kern w:val="44"/>
          <w:sz w:val="32"/>
          <w:szCs w:val="44"/>
          <w:lang w:val="en-US" w:eastAsia="zh-CN"/>
        </w:rPr>
        <w:t>2</w:t>
      </w:r>
      <w:r>
        <w:rPr>
          <w:rFonts w:hint="default" w:ascii="Times New Roman" w:hAnsi="Times New Roman" w:eastAsia="仿宋_GB2312" w:cs="Times New Roman"/>
          <w:bCs/>
          <w:kern w:val="44"/>
          <w:sz w:val="32"/>
          <w:szCs w:val="44"/>
          <w:lang w:eastAsia="zh-CN"/>
        </w:rPr>
        <w:t>万元，</w:t>
      </w:r>
      <w:r>
        <w:rPr>
          <w:rFonts w:hint="eastAsia" w:eastAsia="仿宋_GB2312" w:cs="Times New Roman"/>
          <w:bCs/>
          <w:kern w:val="44"/>
          <w:sz w:val="32"/>
          <w:szCs w:val="44"/>
          <w:lang w:val="en-US" w:eastAsia="zh-CN"/>
        </w:rPr>
        <w:t>全年执行数</w:t>
      </w:r>
      <w:r>
        <w:rPr>
          <w:rFonts w:hint="default" w:ascii="Times New Roman" w:hAnsi="Times New Roman" w:eastAsia="仿宋_GB2312" w:cs="Times New Roman"/>
          <w:bCs/>
          <w:kern w:val="44"/>
          <w:sz w:val="32"/>
          <w:szCs w:val="44"/>
          <w:lang w:val="en-US" w:eastAsia="zh-CN"/>
        </w:rPr>
        <w:t>422.21万元。为落实最新防疫要求和节约财政资金精神，结余14.41万元</w:t>
      </w:r>
      <w:r>
        <w:rPr>
          <w:rFonts w:hint="eastAsia" w:eastAsia="仿宋_GB2312" w:cs="Times New Roman"/>
          <w:bCs/>
          <w:kern w:val="44"/>
          <w:sz w:val="32"/>
          <w:szCs w:val="44"/>
          <w:lang w:val="en-US" w:eastAsia="zh-CN"/>
        </w:rPr>
        <w:t>，结余资金</w:t>
      </w:r>
      <w:r>
        <w:rPr>
          <w:rFonts w:hint="eastAsia" w:eastAsia="仿宋_GB2312" w:cs="Times New Roman"/>
          <w:sz w:val="32"/>
          <w:szCs w:val="32"/>
          <w:lang w:eastAsia="zh-CN"/>
        </w:rPr>
        <w:t>由</w:t>
      </w:r>
      <w:r>
        <w:rPr>
          <w:rFonts w:hint="default" w:ascii="Times New Roman" w:hAnsi="Times New Roman" w:eastAsia="仿宋_GB2312" w:cs="Times New Roman"/>
          <w:sz w:val="32"/>
          <w:szCs w:val="32"/>
          <w:lang w:eastAsia="zh-CN"/>
        </w:rPr>
        <w:t>区财政局</w:t>
      </w:r>
      <w:r>
        <w:rPr>
          <w:rFonts w:hint="eastAsia" w:eastAsia="仿宋_GB2312" w:cs="Times New Roman"/>
          <w:sz w:val="32"/>
          <w:szCs w:val="32"/>
          <w:lang w:eastAsia="zh-CN"/>
        </w:rPr>
        <w:t>收回。</w:t>
      </w:r>
      <w:r>
        <w:rPr>
          <w:rFonts w:hint="default" w:ascii="Times New Roman" w:hAnsi="Times New Roman" w:eastAsia="仿宋_GB2312" w:cs="Times New Roman"/>
          <w:bCs/>
          <w:kern w:val="44"/>
          <w:sz w:val="32"/>
          <w:szCs w:val="44"/>
          <w:lang w:val="en-US" w:eastAsia="zh-CN"/>
        </w:rPr>
        <w:t>资金使用符合相关的财务管理制度规定。</w:t>
      </w:r>
    </w:p>
    <w:p>
      <w:pPr>
        <w:spacing w:line="600" w:lineRule="exact"/>
        <w:ind w:firstLine="640" w:firstLineChars="200"/>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2.组织实施</w:t>
      </w:r>
    </w:p>
    <w:p>
      <w:pPr>
        <w:spacing w:line="600" w:lineRule="exact"/>
        <w:ind w:firstLine="640" w:firstLineChars="200"/>
        <w:outlineLvl w:val="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为规范业务和资金管理，制定了《北京市朝阳区第五次全国经济普查实施方案》（朝经普办发〔2023〕11号）、《北京市朝阳区第五次全国经济普查专项经费管理办法》（朝经普办发〔2023〕7号）等相关制度。</w:t>
      </w:r>
    </w:p>
    <w:p>
      <w:pPr>
        <w:spacing w:line="600" w:lineRule="exact"/>
        <w:ind w:firstLine="640" w:firstLineChars="200"/>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（三）项目产出情况</w:t>
      </w:r>
    </w:p>
    <w:p>
      <w:pPr>
        <w:spacing w:line="600" w:lineRule="exact"/>
        <w:ind w:firstLine="640" w:firstLineChars="200"/>
        <w:outlineLvl w:val="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按照全市统一部署，根据《北京市朝阳区第五次全国经济普查实施方案》，2023年9月底前为组织准备阶段，印发《北京市朝阳区人民政府关于开展第五次全国经济普查的通知》；各级普查机构组建；“两员”选聘制证，2023年</w:t>
      </w:r>
      <w:r>
        <w:rPr>
          <w:rFonts w:hint="default" w:ascii="Times New Roman" w:hAnsi="Times New Roman" w:eastAsia="仿宋_GB2312" w:cs="Times New Roman"/>
          <w:sz w:val="32"/>
          <w:szCs w:val="32"/>
          <w:lang w:eastAsia="zh-CN"/>
        </w:rPr>
        <w:t>在国家五经普平台人员管理系统完成信息录入、培训、考试和制证全流程工作的普查指导员1560名，普查员5067名，后续各街乡将根据实际工作需要对“两员”进行调整和补增；</w:t>
      </w:r>
      <w:r>
        <w:rPr>
          <w:rFonts w:hint="default" w:ascii="Times New Roman" w:hAnsi="Times New Roman" w:eastAsia="仿宋_GB2312" w:cs="Times New Roman"/>
          <w:sz w:val="32"/>
          <w:szCs w:val="32"/>
          <w:lang w:val="en-US" w:eastAsia="zh-CN"/>
        </w:rPr>
        <w:t>印制法产和个体清查告知书44万份，清查告知书海报版3万份，追加印制五经普海报宣传画1.2万张，采购“两员”统一标识文化衫5500件；组织了4场面向全体普查人员的业务培训会，会议采取“面培+直播”的形式开展。2023年6月至7月期间开展普查区划分及绘图，最终全区共划定普查区737个，普查小区3311个，标绘建筑物110628个，为清查工作开展奠定了坚实基础。2023年5月至8月期间为清查准备，对国家底册和北京市底册进行了整理汇总，与区级名录库和部门数据进行对比，完善单位地址和联系方式等信息后分劈至各街乡，使用区级自主开发的底册交换线上小程序，协助各街乡完成底册单位的交换工作，同时通过多种渠道开展宣传活动，</w:t>
      </w:r>
      <w:r>
        <w:rPr>
          <w:rFonts w:hint="default" w:ascii="Times New Roman" w:hAnsi="Times New Roman" w:eastAsia="仿宋_GB2312" w:cs="Times New Roman"/>
          <w:sz w:val="32"/>
          <w:szCs w:val="32"/>
        </w:rPr>
        <w:t>为清查工作营造良好氛围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2023年8月至12月开展单位清查工作，严格执行“地毯式”清查，督促两员对所有的建筑物进行上门入户，同时把要求抓实抓细，组织第二轮甚至第三轮的“地毯式”入户，做好查漏补缺工作，对底册单位逐一过筛，尤其是税务活跃单位，确保无一遗漏。定期召开清查工作调度会，了解各街乡清查工作进展及困难，督促各街乡清查工作进度。</w:t>
      </w:r>
      <w:r>
        <w:rPr>
          <w:rFonts w:hint="default" w:ascii="Times New Roman" w:hAnsi="Times New Roman" w:eastAsia="仿宋_GB2312" w:cs="Times New Roman"/>
          <w:sz w:val="32"/>
          <w:szCs w:val="32"/>
        </w:rPr>
        <w:t>强化数据审核，</w:t>
      </w:r>
      <w:r>
        <w:rPr>
          <w:rFonts w:hint="default" w:ascii="Times New Roman" w:hAnsi="Times New Roman" w:eastAsia="仿宋_GB2312" w:cs="Times New Roman"/>
          <w:sz w:val="32"/>
          <w:szCs w:val="32"/>
          <w:lang w:eastAsia="zh-CN"/>
        </w:rPr>
        <w:t>提高</w:t>
      </w:r>
      <w:r>
        <w:rPr>
          <w:rFonts w:hint="default" w:ascii="Times New Roman" w:hAnsi="Times New Roman" w:eastAsia="仿宋_GB2312" w:cs="Times New Roman"/>
          <w:sz w:val="32"/>
          <w:szCs w:val="32"/>
        </w:rPr>
        <w:t>数据质量</w:t>
      </w:r>
      <w:r>
        <w:rPr>
          <w:rFonts w:hint="default" w:ascii="Times New Roman" w:hAnsi="Times New Roman" w:eastAsia="仿宋_GB2312" w:cs="Times New Roman"/>
          <w:sz w:val="32"/>
          <w:szCs w:val="32"/>
          <w:lang w:eastAsia="zh-CN"/>
        </w:rPr>
        <w:t>，按照随报随审的要求，建立“普查员</w:t>
      </w:r>
      <w:r>
        <w:rPr>
          <w:rFonts w:hint="default" w:ascii="Times New Roman" w:hAnsi="Times New Roman" w:eastAsia="仿宋_GB2312" w:cs="Times New Roman"/>
          <w:sz w:val="32"/>
          <w:szCs w:val="32"/>
          <w:lang w:val="en-US" w:eastAsia="zh-CN"/>
        </w:rPr>
        <w:t>-街乡普办-区经普办</w:t>
      </w:r>
      <w:r>
        <w:rPr>
          <w:rFonts w:hint="default" w:ascii="Times New Roman" w:hAnsi="Times New Roman" w:eastAsia="仿宋_GB2312" w:cs="Times New Roman"/>
          <w:sz w:val="32"/>
          <w:szCs w:val="32"/>
          <w:lang w:eastAsia="zh-CN"/>
        </w:rPr>
        <w:t>”的三级审核机制，</w:t>
      </w:r>
      <w:r>
        <w:rPr>
          <w:rFonts w:hint="default" w:ascii="Times New Roman" w:hAnsi="Times New Roman" w:eastAsia="仿宋_GB2312" w:cs="Times New Roman"/>
          <w:sz w:val="32"/>
          <w:szCs w:val="32"/>
        </w:rPr>
        <w:t>及时开展</w:t>
      </w:r>
      <w:r>
        <w:rPr>
          <w:rFonts w:hint="default" w:ascii="Times New Roman" w:hAnsi="Times New Roman" w:eastAsia="仿宋_GB2312" w:cs="Times New Roman"/>
          <w:sz w:val="32"/>
          <w:szCs w:val="32"/>
          <w:lang w:eastAsia="zh-CN"/>
        </w:rPr>
        <w:t>各类</w:t>
      </w:r>
      <w:r>
        <w:rPr>
          <w:rFonts w:hint="default" w:ascii="Times New Roman" w:hAnsi="Times New Roman" w:eastAsia="仿宋_GB2312" w:cs="Times New Roman"/>
          <w:sz w:val="32"/>
          <w:szCs w:val="32"/>
        </w:rPr>
        <w:t>赋码及清查数据的审核</w:t>
      </w:r>
      <w:r>
        <w:rPr>
          <w:rFonts w:hint="default" w:ascii="Times New Roman" w:hAnsi="Times New Roman" w:eastAsia="仿宋_GB2312" w:cs="Times New Roman"/>
          <w:sz w:val="32"/>
          <w:szCs w:val="32"/>
          <w:lang w:eastAsia="zh-CN"/>
        </w:rPr>
        <w:t>修改</w:t>
      </w:r>
      <w:r>
        <w:rPr>
          <w:rFonts w:hint="default" w:ascii="Times New Roman" w:hAnsi="Times New Roman" w:eastAsia="仿宋_GB2312" w:cs="Times New Roman"/>
          <w:sz w:val="32"/>
          <w:szCs w:val="32"/>
        </w:rPr>
        <w:t>工作，对于强制性错误，还要组织普查员第二次上门进行实地</w:t>
      </w:r>
      <w:r>
        <w:rPr>
          <w:rFonts w:hint="default" w:ascii="Times New Roman" w:hAnsi="Times New Roman" w:eastAsia="仿宋_GB2312" w:cs="Times New Roman"/>
          <w:sz w:val="32"/>
          <w:szCs w:val="32"/>
          <w:lang w:eastAsia="zh-CN"/>
        </w:rPr>
        <w:t>复核</w:t>
      </w:r>
      <w:r>
        <w:rPr>
          <w:rFonts w:hint="default" w:ascii="Times New Roman" w:hAnsi="Times New Roman" w:eastAsia="仿宋_GB2312" w:cs="Times New Roman"/>
          <w:sz w:val="32"/>
          <w:szCs w:val="32"/>
        </w:rPr>
        <w:t>，不断提高清查数据质量</w:t>
      </w:r>
      <w:r>
        <w:rPr>
          <w:rFonts w:hint="default" w:ascii="Times New Roman" w:hAnsi="Times New Roman" w:eastAsia="仿宋_GB2312" w:cs="Times New Roman"/>
          <w:sz w:val="32"/>
          <w:szCs w:val="32"/>
          <w:lang w:eastAsia="zh-CN"/>
        </w:rPr>
        <w:t>。对于重点指标加强审核，对照《国民经济行业分类》标准审核主要业务活动，合理利用行业代码的智能赋码功能。在“地毯式”清查收尾阶段，由区经普办工作人员集中审核验收上报数据，将清查表和名录数据、部门数据等资料多重比对、关联审核，进一步提高清查数据的准确性。</w:t>
      </w:r>
    </w:p>
    <w:p>
      <w:pPr>
        <w:spacing w:line="600" w:lineRule="exact"/>
        <w:ind w:firstLine="640" w:firstLineChars="200"/>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（四）项目效益情况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全面做好经普清查工作，深度查找单位，为正式登记做好准备</w:t>
      </w:r>
      <w:r>
        <w:rPr>
          <w:rFonts w:hint="default" w:ascii="Times New Roman" w:hAnsi="Times New Roman" w:eastAsia="仿宋_GB2312" w:cs="Times New Roman"/>
          <w:sz w:val="32"/>
          <w:szCs w:val="32"/>
          <w:lang w:eastAsia="zh-CN"/>
        </w:rPr>
        <w:t>。在区域划分阶段，区经普办利用七人普时开发的地理信息系统，提前对区域边界以及建筑物情况进行了标绘，提升了工作效率。针对国家底册分劈街乡不够精准的问题，为了落实经营地原则的要求，区经普办开发了底册交换线上小程序，对联系到的底册单位按照实际经营地实时进行交换，确保按照方案进行清查。在清查后期，为打破清查率瓶颈，区经普办与第三方公司合作，充分利用网络爬虫技术等大数据手段补充完善清查对象信息，并通过发短信、人工呼叫等方式，确定信息的有效性，再反馈街乡开展清查工作，使清查率进一步提高。通过此项目，共计向25万家前期未查找到的单位发送短信，向14.1万家单位开展人工呼叫，反馈有效单位3.2万家。获得普查对象的支持配合，工作质量获得各级领导和部门的认可。印制法产和个体清查告知书、海报宣传画等宣传资料，充分利用朝阳区融媒体中心的北京朝阳公众号、朝阳有线电视台、朝阳报等传统媒体开展宣传工作，对清查入户情况进行详细报道。强化督查，确保数据质量，一是开展清查阶段数据质量抽查；二是开展五经普专项统计巡查；三是督促各街乡开展数据安全自查。通过北京市第五次全国经济普查清查阶段数据质量抽查。</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五、主要经验及做法、存在的问题及原因分析</w:t>
      </w:r>
    </w:p>
    <w:p>
      <w:pPr>
        <w:spacing w:line="60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楷体_GB2312" w:cs="Times New Roman"/>
          <w:sz w:val="32"/>
          <w:szCs w:val="32"/>
          <w:lang w:eastAsia="zh-CN"/>
        </w:rPr>
        <w:t>（一）主要经验及做法</w:t>
      </w:r>
    </w:p>
    <w:p>
      <w:pPr>
        <w:spacing w:line="60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lang w:eastAsia="zh-CN"/>
        </w:rPr>
        <w:t>本项目预算编制时，</w:t>
      </w:r>
      <w:r>
        <w:rPr>
          <w:rFonts w:hint="default" w:ascii="Times New Roman" w:hAnsi="Times New Roman" w:eastAsia="仿宋_GB2312" w:cs="Times New Roman"/>
          <w:sz w:val="32"/>
          <w:szCs w:val="32"/>
          <w:lang w:val="en-US" w:eastAsia="zh-CN"/>
        </w:rPr>
        <w:t>综合考虑五经普的单位规模、组织方式等情况，在</w:t>
      </w:r>
      <w:r>
        <w:rPr>
          <w:rFonts w:hint="default" w:ascii="Times New Roman" w:hAnsi="Times New Roman" w:eastAsia="仿宋_GB2312" w:cs="Times New Roman"/>
          <w:sz w:val="32"/>
          <w:szCs w:val="32"/>
          <w:highlight w:val="none"/>
          <w:lang w:val="en-US" w:eastAsia="zh-CN"/>
        </w:rPr>
        <w:t>过“紧日子”</w:t>
      </w:r>
      <w:r>
        <w:rPr>
          <w:rFonts w:hint="default" w:ascii="Times New Roman" w:hAnsi="Times New Roman" w:eastAsia="仿宋_GB2312" w:cs="Times New Roman"/>
          <w:sz w:val="32"/>
          <w:szCs w:val="32"/>
          <w:lang w:val="en-US" w:eastAsia="zh-CN"/>
        </w:rPr>
        <w:t>的原则下，按照“削减总</w:t>
      </w:r>
      <w:bookmarkStart w:id="0" w:name="_GoBack"/>
      <w:bookmarkEnd w:id="0"/>
      <w:r>
        <w:rPr>
          <w:rFonts w:hint="default" w:ascii="Times New Roman" w:hAnsi="Times New Roman" w:eastAsia="仿宋_GB2312" w:cs="Times New Roman"/>
          <w:sz w:val="32"/>
          <w:szCs w:val="32"/>
          <w:lang w:val="en-US" w:eastAsia="zh-CN"/>
        </w:rPr>
        <w:t>额、倾斜基层、保证重点、适应形势”的要求，对各工作环节进行科学测算，项目总预算资金3426.38万元，其中街乡经费2737.15万元、机关经费689.23万元，街乡占比近80%。特别是此次普查采取流量补贴的形式降本增效，清查时利用普查人员的个人手机进行登记，通过发放流量补贴的方式代替购买或租赁普查设备，一方面减少管理成本，避免普查结束后设备长期闲置，造成资产浪费，另一方面普查员使用自己的手机更加熟练，信息采集效率更高，给普查员发放流量补贴，还能进一步提高普查员工作积极性。预算执行时，为了强化对普查经费的管理，区经普办严格按照市局相关文件精神、“三重一大”制度和财务管理制度执行，建立了一整套管理流程。制定出台了《北京市朝阳区第五次全国经济普查专项经费管理办法》，详细规定了经费的使用范围和流程。</w:t>
      </w:r>
    </w:p>
    <w:p>
      <w:pPr>
        <w:spacing w:line="60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（二）存在的问题及原因分析</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本项目预算编制时，为疫情防控时期，为了保证落实防控要求，同时顺利开展普查工作，编制了防疫用品经费预算，随着疫情防控“乙类乙管”新政策、新形势，防疫用品经费未支出，此项经费</w:t>
      </w:r>
      <w:r>
        <w:rPr>
          <w:rFonts w:hint="eastAsia" w:eastAsia="仿宋_GB2312" w:cs="Times New Roman"/>
          <w:sz w:val="32"/>
          <w:szCs w:val="32"/>
          <w:lang w:eastAsia="zh-CN"/>
        </w:rPr>
        <w:t>已经由</w:t>
      </w:r>
      <w:r>
        <w:rPr>
          <w:rFonts w:hint="default" w:ascii="Times New Roman" w:hAnsi="Times New Roman" w:eastAsia="仿宋_GB2312" w:cs="Times New Roman"/>
          <w:sz w:val="32"/>
          <w:szCs w:val="32"/>
          <w:lang w:eastAsia="zh-CN"/>
        </w:rPr>
        <w:t>区财政局</w:t>
      </w:r>
      <w:r>
        <w:rPr>
          <w:rFonts w:hint="eastAsia" w:eastAsia="仿宋_GB2312" w:cs="Times New Roman"/>
          <w:sz w:val="32"/>
          <w:szCs w:val="32"/>
          <w:lang w:eastAsia="zh-CN"/>
        </w:rPr>
        <w:t>收回</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六、有关建议</w:t>
      </w:r>
    </w:p>
    <w:p>
      <w:pPr>
        <w:spacing w:line="600" w:lineRule="exact"/>
        <w:ind w:firstLine="640" w:firstLineChars="200"/>
        <w:rPr>
          <w:rFonts w:hint="default" w:ascii="Times New Roman" w:hAnsi="Times New Roman" w:eastAsia="仿宋_GB2312" w:cs="Times New Roman"/>
          <w:bCs/>
          <w:kern w:val="44"/>
          <w:sz w:val="32"/>
          <w:szCs w:val="44"/>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bCs/>
          <w:kern w:val="44"/>
          <w:sz w:val="32"/>
          <w:szCs w:val="44"/>
        </w:rPr>
        <w:t>增强绩效管理意识，加强绩效目标设定管理，提高绩效目标设定的合理性，设定绩效指标要细化量化可衡量。</w:t>
      </w:r>
    </w:p>
    <w:p>
      <w:pPr>
        <w:spacing w:line="600" w:lineRule="exact"/>
        <w:ind w:firstLine="640" w:firstLineChars="200"/>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2.规范资金管理，严格按照完整规范的资金支付审核程序进行资金支付。</w:t>
      </w:r>
    </w:p>
    <w:p>
      <w:pPr>
        <w:spacing w:line="60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lang w:eastAsia="zh-CN"/>
        </w:rPr>
        <w:t>加强政府购买服务项目管理，严格采购和合同管理，注重项目履约情况，完成交付后，对供应商的服务质量、履约情况等方面作出恰当的评价，确保财政资金安全性和经济性。</w:t>
      </w:r>
    </w:p>
    <w:p>
      <w:pPr>
        <w:spacing w:line="60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4.</w:t>
      </w:r>
      <w:r>
        <w:rPr>
          <w:rFonts w:hint="default" w:ascii="Times New Roman" w:hAnsi="Times New Roman" w:eastAsia="仿宋_GB2312" w:cs="Times New Roman"/>
          <w:bCs/>
          <w:kern w:val="44"/>
          <w:sz w:val="32"/>
          <w:szCs w:val="44"/>
        </w:rPr>
        <w:t>注重过程管理资料的留痕，强化普查成果后期应用的管理，及时收集满意度调查资料，充分呈现财政资金投入的效益。</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其他需要说明的问题</w:t>
      </w:r>
    </w:p>
    <w:p>
      <w:pPr>
        <w:numPr>
          <w:ilvl w:val="0"/>
          <w:numId w:val="0"/>
        </w:numPr>
        <w:spacing w:line="600" w:lineRule="exact"/>
        <w:ind w:firstLine="640"/>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按照相关要求，本次绩效评价工作根据《北京市项目支出绩效评价管理办法》（京财绩效〔2020〕2146号）进行评价指标设定，结合</w:t>
      </w:r>
      <w:r>
        <w:rPr>
          <w:rFonts w:hint="default" w:ascii="Times New Roman" w:hAnsi="Times New Roman" w:eastAsia="仿宋_GB2312" w:cs="Times New Roman"/>
          <w:color w:val="000000"/>
          <w:kern w:val="0"/>
          <w:sz w:val="32"/>
          <w:szCs w:val="32"/>
          <w:lang w:eastAsia="zh-CN"/>
        </w:rPr>
        <w:t>实际工作开展情况进行评价。</w:t>
      </w:r>
    </w:p>
    <w:p>
      <w:pPr>
        <w:numPr>
          <w:ilvl w:val="0"/>
          <w:numId w:val="0"/>
        </w:numPr>
        <w:spacing w:line="600" w:lineRule="exact"/>
        <w:ind w:firstLine="640"/>
        <w:rPr>
          <w:rFonts w:hint="default" w:ascii="Times New Roman" w:hAnsi="Times New Roman" w:eastAsia="仿宋_GB2312" w:cs="Times New Roman"/>
          <w:color w:val="000000"/>
          <w:kern w:val="0"/>
          <w:sz w:val="32"/>
          <w:szCs w:val="32"/>
          <w:lang w:val="en-US" w:eastAsia="zh-CN"/>
        </w:rPr>
      </w:pPr>
    </w:p>
    <w:p>
      <w:pPr>
        <w:numPr>
          <w:ilvl w:val="0"/>
          <w:numId w:val="0"/>
        </w:numPr>
        <w:spacing w:line="60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kern w:val="0"/>
          <w:sz w:val="32"/>
          <w:szCs w:val="32"/>
          <w:lang w:val="en-US" w:eastAsia="zh-CN"/>
        </w:rPr>
        <w:t>附件：</w:t>
      </w:r>
      <w:r>
        <w:rPr>
          <w:rFonts w:hint="default" w:ascii="Times New Roman" w:hAnsi="Times New Roman" w:eastAsia="仿宋_GB2312" w:cs="Times New Roman"/>
          <w:sz w:val="32"/>
          <w:szCs w:val="32"/>
        </w:rPr>
        <w:t>第五次全国经济普查项目支出绩效评价指标体系</w:t>
      </w:r>
    </w:p>
    <w:p>
      <w:pPr>
        <w:numPr>
          <w:ilvl w:val="0"/>
          <w:numId w:val="0"/>
        </w:numPr>
        <w:spacing w:line="600" w:lineRule="exact"/>
        <w:ind w:firstLine="1609" w:firstLineChars="503"/>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sz w:val="32"/>
          <w:szCs w:val="32"/>
        </w:rPr>
        <w:t>评分表</w:t>
      </w:r>
    </w:p>
    <w:p>
      <w:pPr>
        <w:numPr>
          <w:ilvl w:val="0"/>
          <w:numId w:val="0"/>
        </w:numPr>
        <w:spacing w:line="600" w:lineRule="exact"/>
        <w:ind w:firstLine="640"/>
        <w:rPr>
          <w:rFonts w:hint="eastAsia" w:ascii="Times New Roman" w:hAnsi="Times New Roman" w:eastAsia="仿宋_GB2312" w:cs="Times New Roman"/>
          <w:color w:val="000000"/>
          <w:kern w:val="0"/>
          <w:sz w:val="32"/>
          <w:szCs w:val="32"/>
          <w:lang w:val="en-US" w:eastAsia="zh-CN"/>
        </w:rPr>
      </w:pPr>
    </w:p>
    <w:p>
      <w:pPr>
        <w:numPr>
          <w:ilvl w:val="0"/>
          <w:numId w:val="0"/>
        </w:numPr>
        <w:spacing w:line="600" w:lineRule="exact"/>
        <w:ind w:firstLine="640"/>
        <w:rPr>
          <w:rFonts w:hint="eastAsia" w:ascii="Times New Roman" w:hAnsi="Times New Roman" w:eastAsia="仿宋_GB2312" w:cs="Times New Roman"/>
          <w:color w:val="000000"/>
          <w:kern w:val="0"/>
          <w:sz w:val="32"/>
          <w:szCs w:val="32"/>
          <w:lang w:val="en-US" w:eastAsia="zh-CN"/>
        </w:rPr>
      </w:pPr>
    </w:p>
    <w:p>
      <w:pPr>
        <w:numPr>
          <w:ilvl w:val="0"/>
          <w:numId w:val="0"/>
        </w:numPr>
        <w:spacing w:line="600" w:lineRule="exact"/>
        <w:ind w:firstLine="640"/>
        <w:rPr>
          <w:rFonts w:hint="eastAsia" w:ascii="Times New Roman" w:hAnsi="Times New Roman" w:eastAsia="仿宋_GB2312" w:cs="Times New Roman"/>
          <w:color w:val="000000"/>
          <w:kern w:val="0"/>
          <w:sz w:val="32"/>
          <w:szCs w:val="32"/>
          <w:lang w:val="en-US" w:eastAsia="zh-CN"/>
        </w:rPr>
      </w:pPr>
    </w:p>
    <w:p>
      <w:pPr>
        <w:numPr>
          <w:ilvl w:val="0"/>
          <w:numId w:val="0"/>
        </w:numPr>
        <w:spacing w:line="600" w:lineRule="exact"/>
        <w:rPr>
          <w:rFonts w:hint="eastAsia" w:ascii="Times New Roman" w:hAnsi="Times New Roman" w:eastAsia="仿宋_GB2312" w:cs="Times New Roman"/>
          <w:color w:val="000000"/>
          <w:kern w:val="0"/>
          <w:sz w:val="32"/>
          <w:szCs w:val="32"/>
          <w:lang w:val="en-US" w:eastAsia="zh-CN"/>
        </w:rPr>
      </w:pPr>
    </w:p>
    <w:p>
      <w:pPr>
        <w:numPr>
          <w:ilvl w:val="0"/>
          <w:numId w:val="0"/>
        </w:numPr>
        <w:spacing w:line="600" w:lineRule="exact"/>
        <w:rPr>
          <w:rFonts w:hint="eastAsia" w:ascii="Times New Roman" w:hAnsi="Times New Roman" w:eastAsia="仿宋_GB2312" w:cs="Times New Roman"/>
          <w:color w:val="000000"/>
          <w:kern w:val="0"/>
          <w:sz w:val="32"/>
          <w:szCs w:val="32"/>
          <w:lang w:val="en-US" w:eastAsia="zh-CN"/>
        </w:rPr>
      </w:pPr>
      <w:r>
        <w:rPr>
          <w:rFonts w:hint="eastAsia" w:ascii="黑体" w:hAnsi="黑体" w:eastAsia="黑体" w:cs="黑体"/>
          <w:color w:val="000000"/>
          <w:kern w:val="0"/>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第五次全国经济普查项目支出绩效评价指标体系评分表</w:t>
      </w:r>
    </w:p>
    <w:tbl>
      <w:tblPr>
        <w:tblStyle w:val="6"/>
        <w:tblW w:w="10719"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37"/>
        <w:gridCol w:w="720"/>
        <w:gridCol w:w="1794"/>
        <w:gridCol w:w="5208"/>
        <w:gridCol w:w="777"/>
        <w:gridCol w:w="14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74" w:hRule="atLeast"/>
          <w:tblHeader/>
          <w:jc w:val="center"/>
        </w:trPr>
        <w:tc>
          <w:tcPr>
            <w:tcW w:w="737" w:type="dxa"/>
            <w:shd w:val="clear" w:color="auto" w:fill="FFFFFF"/>
            <w:vAlign w:val="center"/>
          </w:tcPr>
          <w:p>
            <w:pPr>
              <w:widowControl/>
              <w:spacing w:line="0" w:lineRule="atLeas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一级指标</w:t>
            </w:r>
          </w:p>
        </w:tc>
        <w:tc>
          <w:tcPr>
            <w:tcW w:w="720" w:type="dxa"/>
            <w:shd w:val="clear" w:color="auto" w:fill="FFFFFF"/>
            <w:vAlign w:val="center"/>
          </w:tcPr>
          <w:p>
            <w:pPr>
              <w:widowControl/>
              <w:spacing w:line="0" w:lineRule="atLeas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二级指标</w:t>
            </w:r>
          </w:p>
        </w:tc>
        <w:tc>
          <w:tcPr>
            <w:tcW w:w="1794" w:type="dxa"/>
            <w:shd w:val="clear" w:color="auto" w:fill="FFFFFF"/>
            <w:vAlign w:val="center"/>
          </w:tcPr>
          <w:p>
            <w:pPr>
              <w:widowControl/>
              <w:spacing w:line="0" w:lineRule="atLeas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三级指标</w:t>
            </w:r>
          </w:p>
        </w:tc>
        <w:tc>
          <w:tcPr>
            <w:tcW w:w="5208" w:type="dxa"/>
            <w:shd w:val="clear" w:color="auto" w:fill="FFFFFF"/>
            <w:vAlign w:val="center"/>
          </w:tcPr>
          <w:p>
            <w:pPr>
              <w:widowControl/>
              <w:spacing w:line="0" w:lineRule="atLeas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指标解释</w:t>
            </w:r>
          </w:p>
        </w:tc>
        <w:tc>
          <w:tcPr>
            <w:tcW w:w="777" w:type="dxa"/>
            <w:shd w:val="clear" w:color="auto" w:fill="FFFFFF"/>
            <w:vAlign w:val="center"/>
          </w:tcPr>
          <w:p>
            <w:pPr>
              <w:widowControl/>
              <w:spacing w:line="0" w:lineRule="atLeast"/>
              <w:jc w:val="center"/>
              <w:rPr>
                <w:rFonts w:hint="eastAsia" w:ascii="宋体" w:hAnsi="宋体" w:eastAsia="宋体" w:cs="宋体"/>
                <w:b/>
                <w:bCs/>
                <w:color w:val="auto"/>
                <w:kern w:val="0"/>
                <w:sz w:val="22"/>
                <w:highlight w:val="none"/>
                <w:lang w:eastAsia="zh-CN"/>
              </w:rPr>
            </w:pPr>
            <w:r>
              <w:rPr>
                <w:rFonts w:hint="eastAsia" w:ascii="宋体" w:hAnsi="宋体" w:cs="宋体"/>
                <w:b/>
                <w:bCs/>
                <w:color w:val="auto"/>
                <w:kern w:val="0"/>
                <w:sz w:val="22"/>
                <w:highlight w:val="none"/>
                <w:lang w:eastAsia="zh-CN"/>
              </w:rPr>
              <w:t>评分</w:t>
            </w:r>
          </w:p>
        </w:tc>
        <w:tc>
          <w:tcPr>
            <w:tcW w:w="1483" w:type="dxa"/>
            <w:shd w:val="clear" w:color="auto" w:fill="FFFFFF"/>
            <w:vAlign w:val="center"/>
          </w:tcPr>
          <w:p>
            <w:pPr>
              <w:widowControl/>
              <w:spacing w:line="0" w:lineRule="atLeast"/>
              <w:jc w:val="center"/>
              <w:rPr>
                <w:rFonts w:hint="eastAsia" w:ascii="宋体" w:hAnsi="宋体" w:cs="宋体"/>
                <w:b/>
                <w:bCs/>
                <w:color w:val="auto"/>
                <w:kern w:val="0"/>
                <w:sz w:val="22"/>
                <w:highlight w:val="none"/>
                <w:lang w:eastAsia="zh-CN"/>
              </w:rPr>
            </w:pPr>
            <w:r>
              <w:rPr>
                <w:rFonts w:hint="eastAsia" w:ascii="宋体" w:hAnsi="宋体" w:cs="宋体"/>
                <w:b/>
                <w:bCs/>
                <w:color w:val="auto"/>
                <w:kern w:val="0"/>
                <w:sz w:val="22"/>
                <w:highlight w:val="none"/>
                <w:lang w:eastAsia="zh-CN"/>
              </w:rPr>
              <w:t>扣分理由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9" w:hRule="atLeast"/>
          <w:jc w:val="center"/>
        </w:trPr>
        <w:tc>
          <w:tcPr>
            <w:tcW w:w="737" w:type="dxa"/>
            <w:vMerge w:val="restart"/>
            <w:shd w:val="clear" w:color="auto" w:fill="FFFFFF"/>
            <w:vAlign w:val="center"/>
          </w:tcPr>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决策</w:t>
            </w:r>
          </w:p>
          <w:p>
            <w:pPr>
              <w:widowControl/>
              <w:spacing w:line="0" w:lineRule="atLeast"/>
              <w:jc w:val="center"/>
              <w:rPr>
                <w:rFonts w:ascii="宋体" w:hAnsi="宋体" w:cs="宋体"/>
                <w:color w:val="auto"/>
                <w:kern w:val="0"/>
                <w:sz w:val="22"/>
                <w:highlight w:val="none"/>
              </w:rPr>
            </w:pPr>
            <w:r>
              <w:rPr>
                <w:rFonts w:hint="eastAsia" w:ascii="宋体" w:hAnsi="宋体" w:cs="宋体"/>
                <w:color w:val="auto"/>
                <w:kern w:val="0"/>
                <w:sz w:val="22"/>
                <w:highlight w:val="none"/>
                <w:lang w:val="en-US" w:eastAsia="zh-CN"/>
              </w:rPr>
              <w:t>10分</w:t>
            </w:r>
            <w:r>
              <w:rPr>
                <w:rFonts w:hint="eastAsia" w:ascii="宋体" w:hAnsi="宋体" w:cs="宋体"/>
                <w:color w:val="auto"/>
                <w:kern w:val="0"/>
                <w:sz w:val="22"/>
                <w:highlight w:val="none"/>
              </w:rPr>
              <w:t>　</w:t>
            </w:r>
          </w:p>
        </w:tc>
        <w:tc>
          <w:tcPr>
            <w:tcW w:w="720" w:type="dxa"/>
            <w:vMerge w:val="restart"/>
            <w:shd w:val="clear" w:color="auto" w:fill="FFFFFF"/>
            <w:vAlign w:val="center"/>
          </w:tcPr>
          <w:p>
            <w:pPr>
              <w:widowControl/>
              <w:spacing w:line="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项目立项　</w:t>
            </w:r>
          </w:p>
        </w:tc>
        <w:tc>
          <w:tcPr>
            <w:tcW w:w="1794" w:type="dxa"/>
            <w:shd w:val="clear" w:color="auto" w:fill="FFFFFF"/>
            <w:vAlign w:val="center"/>
          </w:tcPr>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立项依据充分性</w:t>
            </w:r>
          </w:p>
          <w:p>
            <w:pPr>
              <w:widowControl/>
              <w:spacing w:line="0" w:lineRule="atLeas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2分</w:t>
            </w:r>
          </w:p>
        </w:tc>
        <w:tc>
          <w:tcPr>
            <w:tcW w:w="5208" w:type="dxa"/>
            <w:shd w:val="clear" w:color="auto" w:fill="FFFFFF"/>
            <w:vAlign w:val="center"/>
          </w:tcPr>
          <w:p>
            <w:pPr>
              <w:widowControl/>
              <w:spacing w:line="0" w:lineRule="atLeast"/>
              <w:rPr>
                <w:rFonts w:ascii="宋体" w:hAnsi="宋体" w:cs="宋体"/>
                <w:color w:val="auto"/>
                <w:kern w:val="0"/>
                <w:sz w:val="22"/>
                <w:highlight w:val="none"/>
              </w:rPr>
            </w:pPr>
            <w:r>
              <w:rPr>
                <w:rFonts w:hint="eastAsia" w:ascii="宋体" w:hAnsi="宋体" w:cs="宋体"/>
                <w:color w:val="auto"/>
                <w:kern w:val="0"/>
                <w:sz w:val="22"/>
                <w:highlight w:val="none"/>
              </w:rPr>
              <w:t>项目立项是否符合法律法规、相关政策、发展规划以及部门职责，用以反映和考核项目立项依据情况。</w:t>
            </w:r>
          </w:p>
        </w:tc>
        <w:tc>
          <w:tcPr>
            <w:tcW w:w="777" w:type="dxa"/>
            <w:shd w:val="clear" w:color="auto" w:fill="FFFFFF"/>
            <w:vAlign w:val="center"/>
          </w:tcPr>
          <w:p>
            <w:pPr>
              <w:widowControl/>
              <w:spacing w:line="0" w:lineRule="atLeas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2</w:t>
            </w:r>
          </w:p>
        </w:tc>
        <w:tc>
          <w:tcPr>
            <w:tcW w:w="1483" w:type="dxa"/>
            <w:shd w:val="clear" w:color="auto" w:fill="FFFFFF"/>
            <w:vAlign w:val="center"/>
          </w:tcPr>
          <w:p>
            <w:pPr>
              <w:widowControl/>
              <w:spacing w:line="0" w:lineRule="atLeast"/>
              <w:rPr>
                <w:rFonts w:hint="eastAsia" w:ascii="宋体" w:hAnsi="宋体" w:cs="宋体"/>
                <w:color w:val="auto"/>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00" w:hRule="atLeast"/>
          <w:jc w:val="center"/>
        </w:trPr>
        <w:tc>
          <w:tcPr>
            <w:tcW w:w="737" w:type="dxa"/>
            <w:vMerge w:val="continue"/>
            <w:shd w:val="clear" w:color="auto" w:fill="FFFFFF"/>
            <w:vAlign w:val="center"/>
          </w:tcPr>
          <w:p>
            <w:pPr>
              <w:spacing w:line="0" w:lineRule="atLeast"/>
              <w:jc w:val="center"/>
              <w:rPr>
                <w:rFonts w:ascii="宋体" w:hAnsi="宋体" w:cs="宋体"/>
                <w:color w:val="auto"/>
                <w:kern w:val="0"/>
                <w:sz w:val="22"/>
                <w:highlight w:val="none"/>
              </w:rPr>
            </w:pPr>
          </w:p>
        </w:tc>
        <w:tc>
          <w:tcPr>
            <w:tcW w:w="720" w:type="dxa"/>
            <w:vMerge w:val="continue"/>
            <w:shd w:val="clear" w:color="auto" w:fill="FFFFFF"/>
            <w:vAlign w:val="center"/>
          </w:tcPr>
          <w:p>
            <w:pPr>
              <w:widowControl/>
              <w:spacing w:line="0" w:lineRule="atLeast"/>
              <w:jc w:val="center"/>
              <w:rPr>
                <w:rFonts w:ascii="宋体" w:hAnsi="宋体" w:cs="宋体"/>
                <w:color w:val="auto"/>
                <w:kern w:val="0"/>
                <w:sz w:val="22"/>
                <w:highlight w:val="none"/>
              </w:rPr>
            </w:pPr>
          </w:p>
        </w:tc>
        <w:tc>
          <w:tcPr>
            <w:tcW w:w="1794" w:type="dxa"/>
            <w:shd w:val="clear" w:color="auto" w:fill="FFFFFF"/>
            <w:vAlign w:val="center"/>
          </w:tcPr>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立项程序规范性</w:t>
            </w:r>
          </w:p>
          <w:p>
            <w:pPr>
              <w:widowControl/>
              <w:spacing w:line="0" w:lineRule="atLeas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3分</w:t>
            </w:r>
          </w:p>
        </w:tc>
        <w:tc>
          <w:tcPr>
            <w:tcW w:w="5208" w:type="dxa"/>
            <w:shd w:val="clear" w:color="auto" w:fill="FFFFFF"/>
            <w:vAlign w:val="center"/>
          </w:tcPr>
          <w:p>
            <w:pPr>
              <w:widowControl/>
              <w:spacing w:line="0" w:lineRule="atLeast"/>
              <w:rPr>
                <w:rFonts w:ascii="宋体" w:hAnsi="宋体" w:cs="宋体"/>
                <w:color w:val="auto"/>
                <w:kern w:val="0"/>
                <w:sz w:val="22"/>
                <w:highlight w:val="none"/>
              </w:rPr>
            </w:pPr>
            <w:r>
              <w:rPr>
                <w:rFonts w:hint="eastAsia" w:ascii="宋体" w:hAnsi="宋体" w:cs="宋体"/>
                <w:color w:val="auto"/>
                <w:kern w:val="0"/>
                <w:sz w:val="22"/>
                <w:highlight w:val="none"/>
              </w:rPr>
              <w:t>项目申请、设立过程是否符合相关要求，用以反映和考核项目立项的规范情况。</w:t>
            </w:r>
          </w:p>
        </w:tc>
        <w:tc>
          <w:tcPr>
            <w:tcW w:w="777" w:type="dxa"/>
            <w:shd w:val="clear" w:color="auto" w:fill="FFFFFF"/>
            <w:vAlign w:val="center"/>
          </w:tcPr>
          <w:p>
            <w:pPr>
              <w:widowControl/>
              <w:spacing w:line="0" w:lineRule="atLeas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3</w:t>
            </w:r>
          </w:p>
        </w:tc>
        <w:tc>
          <w:tcPr>
            <w:tcW w:w="1483" w:type="dxa"/>
            <w:shd w:val="clear" w:color="auto" w:fill="FFFFFF"/>
            <w:vAlign w:val="center"/>
          </w:tcPr>
          <w:p>
            <w:pPr>
              <w:widowControl/>
              <w:spacing w:line="0" w:lineRule="atLeast"/>
              <w:rPr>
                <w:rFonts w:hint="eastAsia" w:ascii="宋体" w:hAnsi="宋体" w:cs="宋体"/>
                <w:color w:val="auto"/>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71" w:hRule="atLeast"/>
          <w:jc w:val="center"/>
        </w:trPr>
        <w:tc>
          <w:tcPr>
            <w:tcW w:w="737" w:type="dxa"/>
            <w:vMerge w:val="continue"/>
            <w:shd w:val="clear" w:color="auto" w:fill="FFFFFF"/>
            <w:vAlign w:val="center"/>
          </w:tcPr>
          <w:p>
            <w:pPr>
              <w:spacing w:line="0" w:lineRule="atLeast"/>
              <w:jc w:val="center"/>
              <w:rPr>
                <w:rFonts w:ascii="宋体" w:hAnsi="宋体" w:cs="宋体"/>
                <w:color w:val="auto"/>
                <w:kern w:val="0"/>
                <w:sz w:val="22"/>
                <w:highlight w:val="none"/>
              </w:rPr>
            </w:pPr>
          </w:p>
        </w:tc>
        <w:tc>
          <w:tcPr>
            <w:tcW w:w="720" w:type="dxa"/>
            <w:vMerge w:val="restart"/>
            <w:shd w:val="clear" w:color="auto" w:fill="FFFFFF"/>
            <w:vAlign w:val="center"/>
          </w:tcPr>
          <w:p>
            <w:pPr>
              <w:widowControl/>
              <w:spacing w:line="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绩效目标　</w:t>
            </w:r>
          </w:p>
        </w:tc>
        <w:tc>
          <w:tcPr>
            <w:tcW w:w="1794" w:type="dxa"/>
            <w:shd w:val="clear" w:color="auto" w:fill="FFFFFF"/>
            <w:vAlign w:val="center"/>
          </w:tcPr>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绩效目标合理性</w:t>
            </w:r>
          </w:p>
          <w:p>
            <w:pPr>
              <w:widowControl/>
              <w:spacing w:line="0" w:lineRule="atLeas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2分</w:t>
            </w:r>
          </w:p>
        </w:tc>
        <w:tc>
          <w:tcPr>
            <w:tcW w:w="5208" w:type="dxa"/>
            <w:shd w:val="clear" w:color="000000" w:fill="FFFFFF"/>
            <w:vAlign w:val="center"/>
          </w:tcPr>
          <w:p>
            <w:pPr>
              <w:widowControl/>
              <w:spacing w:line="0" w:lineRule="atLeast"/>
              <w:rPr>
                <w:rFonts w:ascii="宋体" w:hAnsi="宋体" w:cs="宋体"/>
                <w:color w:val="auto"/>
                <w:kern w:val="0"/>
                <w:sz w:val="22"/>
                <w:highlight w:val="none"/>
              </w:rPr>
            </w:pPr>
            <w:r>
              <w:rPr>
                <w:rFonts w:hint="eastAsia" w:ascii="宋体" w:hAnsi="宋体" w:cs="宋体"/>
                <w:color w:val="auto"/>
                <w:kern w:val="0"/>
                <w:sz w:val="22"/>
                <w:highlight w:val="none"/>
              </w:rPr>
              <w:t>项目所设定的绩效目标是否依据充分，是否符合客观实际，用以反映和考核项目绩效目标与项目实施的相符情况。</w:t>
            </w:r>
          </w:p>
        </w:tc>
        <w:tc>
          <w:tcPr>
            <w:tcW w:w="777" w:type="dxa"/>
            <w:shd w:val="clear" w:color="000000" w:fill="FFFFFF"/>
            <w:vAlign w:val="center"/>
          </w:tcPr>
          <w:p>
            <w:pPr>
              <w:widowControl/>
              <w:spacing w:line="0" w:lineRule="atLeas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2</w:t>
            </w:r>
          </w:p>
        </w:tc>
        <w:tc>
          <w:tcPr>
            <w:tcW w:w="1483" w:type="dxa"/>
            <w:shd w:val="clear" w:color="000000" w:fill="FFFFFF"/>
            <w:vAlign w:val="center"/>
          </w:tcPr>
          <w:p>
            <w:pPr>
              <w:widowControl/>
              <w:spacing w:line="0" w:lineRule="atLeast"/>
              <w:rPr>
                <w:rFonts w:hint="eastAsia" w:ascii="宋体" w:hAnsi="宋体" w:cs="宋体"/>
                <w:color w:val="auto"/>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6" w:hRule="atLeast"/>
          <w:jc w:val="center"/>
        </w:trPr>
        <w:tc>
          <w:tcPr>
            <w:tcW w:w="737" w:type="dxa"/>
            <w:vMerge w:val="continue"/>
            <w:shd w:val="clear" w:color="auto" w:fill="FFFFFF"/>
            <w:vAlign w:val="center"/>
          </w:tcPr>
          <w:p>
            <w:pPr>
              <w:widowControl/>
              <w:spacing w:line="0" w:lineRule="atLeast"/>
              <w:jc w:val="center"/>
              <w:rPr>
                <w:rFonts w:ascii="宋体" w:hAnsi="宋体" w:cs="宋体"/>
                <w:color w:val="auto"/>
                <w:kern w:val="0"/>
                <w:sz w:val="22"/>
                <w:highlight w:val="none"/>
              </w:rPr>
            </w:pPr>
          </w:p>
        </w:tc>
        <w:tc>
          <w:tcPr>
            <w:tcW w:w="720" w:type="dxa"/>
            <w:vMerge w:val="continue"/>
            <w:shd w:val="clear" w:color="auto" w:fill="FFFFFF"/>
            <w:vAlign w:val="center"/>
          </w:tcPr>
          <w:p>
            <w:pPr>
              <w:widowControl/>
              <w:spacing w:line="0" w:lineRule="atLeast"/>
              <w:jc w:val="center"/>
              <w:rPr>
                <w:rFonts w:ascii="宋体" w:hAnsi="宋体" w:cs="宋体"/>
                <w:color w:val="auto"/>
                <w:kern w:val="0"/>
                <w:sz w:val="22"/>
                <w:highlight w:val="none"/>
              </w:rPr>
            </w:pPr>
          </w:p>
        </w:tc>
        <w:tc>
          <w:tcPr>
            <w:tcW w:w="1794" w:type="dxa"/>
            <w:shd w:val="clear" w:color="auto" w:fill="FFFFFF"/>
            <w:vAlign w:val="center"/>
          </w:tcPr>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绩效指标明确性</w:t>
            </w:r>
          </w:p>
          <w:p>
            <w:pPr>
              <w:widowControl/>
              <w:spacing w:line="0" w:lineRule="atLeas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1分</w:t>
            </w:r>
          </w:p>
        </w:tc>
        <w:tc>
          <w:tcPr>
            <w:tcW w:w="5208" w:type="dxa"/>
            <w:shd w:val="clear" w:color="000000" w:fill="FFFFFF"/>
            <w:vAlign w:val="center"/>
          </w:tcPr>
          <w:p>
            <w:pPr>
              <w:widowControl/>
              <w:spacing w:line="0" w:lineRule="atLeast"/>
              <w:rPr>
                <w:rFonts w:ascii="宋体" w:hAnsi="宋体" w:cs="宋体"/>
                <w:color w:val="auto"/>
                <w:kern w:val="0"/>
                <w:sz w:val="22"/>
                <w:highlight w:val="none"/>
              </w:rPr>
            </w:pPr>
            <w:r>
              <w:rPr>
                <w:rFonts w:hint="eastAsia" w:ascii="宋体" w:hAnsi="宋体" w:cs="宋体"/>
                <w:color w:val="auto"/>
                <w:kern w:val="0"/>
                <w:sz w:val="22"/>
                <w:highlight w:val="none"/>
              </w:rPr>
              <w:t>依据绩效目标设定的绩效指标是否清晰、细化、可衡量等，用以反映和考核项目绩效目标的明细化情况。</w:t>
            </w:r>
          </w:p>
        </w:tc>
        <w:tc>
          <w:tcPr>
            <w:tcW w:w="777" w:type="dxa"/>
            <w:shd w:val="clear" w:color="000000" w:fill="FFFFFF"/>
            <w:vAlign w:val="center"/>
          </w:tcPr>
          <w:p>
            <w:pPr>
              <w:widowControl/>
              <w:spacing w:line="0" w:lineRule="atLeas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1</w:t>
            </w:r>
          </w:p>
        </w:tc>
        <w:tc>
          <w:tcPr>
            <w:tcW w:w="1483" w:type="dxa"/>
            <w:shd w:val="clear" w:color="000000" w:fill="FFFFFF"/>
            <w:vAlign w:val="center"/>
          </w:tcPr>
          <w:p>
            <w:pPr>
              <w:widowControl/>
              <w:spacing w:line="0" w:lineRule="atLeast"/>
              <w:rPr>
                <w:rFonts w:hint="eastAsia" w:ascii="宋体" w:hAnsi="宋体" w:cs="宋体"/>
                <w:color w:val="auto"/>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90" w:hRule="atLeast"/>
          <w:jc w:val="center"/>
        </w:trPr>
        <w:tc>
          <w:tcPr>
            <w:tcW w:w="737" w:type="dxa"/>
            <w:vMerge w:val="continue"/>
            <w:shd w:val="clear" w:color="auto" w:fill="FFFFFF"/>
            <w:vAlign w:val="center"/>
          </w:tcPr>
          <w:p>
            <w:pPr>
              <w:spacing w:line="0" w:lineRule="atLeast"/>
              <w:jc w:val="center"/>
              <w:rPr>
                <w:rFonts w:ascii="宋体" w:hAnsi="宋体" w:cs="宋体"/>
                <w:color w:val="auto"/>
                <w:kern w:val="0"/>
                <w:sz w:val="22"/>
                <w:highlight w:val="none"/>
              </w:rPr>
            </w:pPr>
          </w:p>
        </w:tc>
        <w:tc>
          <w:tcPr>
            <w:tcW w:w="720" w:type="dxa"/>
            <w:vMerge w:val="restart"/>
            <w:shd w:val="clear" w:color="auto" w:fill="FFFFFF"/>
            <w:vAlign w:val="center"/>
          </w:tcPr>
          <w:p>
            <w:pPr>
              <w:widowControl/>
              <w:spacing w:line="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资金投入</w:t>
            </w:r>
          </w:p>
          <w:p>
            <w:pPr>
              <w:spacing w:line="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1794" w:type="dxa"/>
            <w:shd w:val="clear" w:color="auto" w:fill="FFFFFF"/>
            <w:vAlign w:val="center"/>
          </w:tcPr>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预算编制科学性</w:t>
            </w:r>
          </w:p>
          <w:p>
            <w:pPr>
              <w:widowControl/>
              <w:spacing w:line="0" w:lineRule="atLeas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1分</w:t>
            </w:r>
          </w:p>
        </w:tc>
        <w:tc>
          <w:tcPr>
            <w:tcW w:w="5208" w:type="dxa"/>
            <w:shd w:val="clear" w:color="auto" w:fill="FFFFFF"/>
            <w:vAlign w:val="center"/>
          </w:tcPr>
          <w:p>
            <w:pPr>
              <w:widowControl/>
              <w:spacing w:line="0" w:lineRule="atLeast"/>
              <w:rPr>
                <w:rFonts w:ascii="宋体" w:hAnsi="宋体" w:cs="宋体"/>
                <w:color w:val="auto"/>
                <w:kern w:val="0"/>
                <w:sz w:val="22"/>
                <w:highlight w:val="none"/>
              </w:rPr>
            </w:pPr>
            <w:r>
              <w:rPr>
                <w:rFonts w:hint="eastAsia" w:ascii="宋体" w:hAnsi="宋体" w:cs="宋体"/>
                <w:color w:val="auto"/>
                <w:kern w:val="0"/>
                <w:sz w:val="22"/>
                <w:highlight w:val="none"/>
              </w:rPr>
              <w:t>项目预算编制是否经过科学论证、有明确标准，资金额度与年度目标是否相适应，用以反映和考核项目预算编制的科学性、合理性情况。</w:t>
            </w:r>
          </w:p>
        </w:tc>
        <w:tc>
          <w:tcPr>
            <w:tcW w:w="777" w:type="dxa"/>
            <w:shd w:val="clear" w:color="auto" w:fill="FFFFFF"/>
            <w:vAlign w:val="center"/>
          </w:tcPr>
          <w:p>
            <w:pPr>
              <w:widowControl/>
              <w:spacing w:line="0" w:lineRule="atLeas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1</w:t>
            </w:r>
          </w:p>
        </w:tc>
        <w:tc>
          <w:tcPr>
            <w:tcW w:w="1483" w:type="dxa"/>
            <w:shd w:val="clear" w:color="auto" w:fill="FFFFFF"/>
            <w:vAlign w:val="center"/>
          </w:tcPr>
          <w:p>
            <w:pPr>
              <w:widowControl/>
              <w:spacing w:line="0" w:lineRule="atLeast"/>
              <w:rPr>
                <w:rFonts w:hint="eastAsia" w:ascii="宋体" w:hAnsi="宋体" w:cs="宋体"/>
                <w:color w:val="auto"/>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27" w:hRule="atLeast"/>
          <w:jc w:val="center"/>
        </w:trPr>
        <w:tc>
          <w:tcPr>
            <w:tcW w:w="737" w:type="dxa"/>
            <w:vMerge w:val="continue"/>
            <w:shd w:val="clear" w:color="auto" w:fill="FFFFFF"/>
            <w:vAlign w:val="center"/>
          </w:tcPr>
          <w:p>
            <w:pPr>
              <w:widowControl/>
              <w:spacing w:line="0" w:lineRule="atLeast"/>
              <w:jc w:val="center"/>
              <w:rPr>
                <w:rFonts w:ascii="宋体" w:hAnsi="宋体" w:cs="宋体"/>
                <w:color w:val="auto"/>
                <w:kern w:val="0"/>
                <w:sz w:val="22"/>
                <w:highlight w:val="none"/>
              </w:rPr>
            </w:pPr>
          </w:p>
        </w:tc>
        <w:tc>
          <w:tcPr>
            <w:tcW w:w="720" w:type="dxa"/>
            <w:vMerge w:val="continue"/>
            <w:shd w:val="clear" w:color="auto" w:fill="FFFFFF"/>
            <w:vAlign w:val="center"/>
          </w:tcPr>
          <w:p>
            <w:pPr>
              <w:widowControl/>
              <w:spacing w:line="0" w:lineRule="atLeast"/>
              <w:jc w:val="center"/>
              <w:rPr>
                <w:rFonts w:ascii="宋体" w:hAnsi="宋体" w:cs="宋体"/>
                <w:color w:val="auto"/>
                <w:kern w:val="0"/>
                <w:sz w:val="22"/>
                <w:highlight w:val="none"/>
              </w:rPr>
            </w:pPr>
          </w:p>
        </w:tc>
        <w:tc>
          <w:tcPr>
            <w:tcW w:w="1794" w:type="dxa"/>
            <w:shd w:val="clear" w:color="auto" w:fill="FFFFFF"/>
            <w:vAlign w:val="center"/>
          </w:tcPr>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资金分配合理性</w:t>
            </w:r>
          </w:p>
          <w:p>
            <w:pPr>
              <w:widowControl/>
              <w:spacing w:line="0" w:lineRule="atLeas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1分</w:t>
            </w:r>
          </w:p>
        </w:tc>
        <w:tc>
          <w:tcPr>
            <w:tcW w:w="5208" w:type="dxa"/>
            <w:shd w:val="clear" w:color="auto" w:fill="FFFFFF"/>
            <w:vAlign w:val="center"/>
          </w:tcPr>
          <w:p>
            <w:pPr>
              <w:widowControl/>
              <w:spacing w:line="0" w:lineRule="atLeast"/>
              <w:rPr>
                <w:rFonts w:ascii="宋体" w:hAnsi="宋体" w:cs="宋体"/>
                <w:color w:val="auto"/>
                <w:kern w:val="0"/>
                <w:sz w:val="22"/>
                <w:highlight w:val="none"/>
              </w:rPr>
            </w:pPr>
            <w:r>
              <w:rPr>
                <w:rFonts w:hint="eastAsia" w:ascii="宋体" w:hAnsi="宋体" w:cs="宋体"/>
                <w:color w:val="auto"/>
                <w:kern w:val="0"/>
                <w:sz w:val="22"/>
                <w:highlight w:val="none"/>
              </w:rPr>
              <w:t>项目预算资金分配是否有测算依据，与补助单位或地方实际是否相适应，用以反映和考核项目预算资金分配的科学性、合理性情况。</w:t>
            </w:r>
          </w:p>
        </w:tc>
        <w:tc>
          <w:tcPr>
            <w:tcW w:w="777" w:type="dxa"/>
            <w:shd w:val="clear" w:color="auto" w:fill="FFFFFF"/>
            <w:vAlign w:val="center"/>
          </w:tcPr>
          <w:p>
            <w:pPr>
              <w:widowControl/>
              <w:spacing w:line="0" w:lineRule="atLeas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1</w:t>
            </w:r>
          </w:p>
        </w:tc>
        <w:tc>
          <w:tcPr>
            <w:tcW w:w="1483" w:type="dxa"/>
            <w:shd w:val="clear" w:color="auto" w:fill="FFFFFF"/>
            <w:vAlign w:val="center"/>
          </w:tcPr>
          <w:p>
            <w:pPr>
              <w:widowControl/>
              <w:spacing w:line="0" w:lineRule="atLeast"/>
              <w:rPr>
                <w:rFonts w:hint="eastAsia" w:ascii="宋体" w:hAnsi="宋体" w:cs="宋体"/>
                <w:color w:val="auto"/>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95" w:hRule="atLeast"/>
          <w:jc w:val="center"/>
        </w:trPr>
        <w:tc>
          <w:tcPr>
            <w:tcW w:w="737" w:type="dxa"/>
            <w:vMerge w:val="restart"/>
            <w:shd w:val="clear" w:color="auto" w:fill="FFFFFF"/>
            <w:vAlign w:val="center"/>
          </w:tcPr>
          <w:p>
            <w:pPr>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过程</w:t>
            </w:r>
          </w:p>
          <w:p>
            <w:pPr>
              <w:spacing w:line="0" w:lineRule="atLeast"/>
              <w:jc w:val="center"/>
              <w:rPr>
                <w:rFonts w:ascii="宋体" w:hAnsi="宋体" w:cs="宋体"/>
                <w:color w:val="auto"/>
                <w:kern w:val="0"/>
                <w:sz w:val="22"/>
                <w:highlight w:val="none"/>
              </w:rPr>
            </w:pPr>
            <w:r>
              <w:rPr>
                <w:rFonts w:hint="eastAsia" w:ascii="宋体" w:hAnsi="宋体" w:cs="宋体"/>
                <w:color w:val="auto"/>
                <w:kern w:val="0"/>
                <w:sz w:val="22"/>
                <w:highlight w:val="none"/>
                <w:lang w:val="en-US" w:eastAsia="zh-CN"/>
              </w:rPr>
              <w:t>20分</w:t>
            </w:r>
            <w:r>
              <w:rPr>
                <w:rFonts w:hint="eastAsia" w:ascii="宋体" w:hAnsi="宋体" w:cs="宋体"/>
                <w:color w:val="auto"/>
                <w:kern w:val="0"/>
                <w:sz w:val="22"/>
                <w:highlight w:val="none"/>
              </w:rPr>
              <w:t>　</w:t>
            </w:r>
          </w:p>
        </w:tc>
        <w:tc>
          <w:tcPr>
            <w:tcW w:w="720" w:type="dxa"/>
            <w:vMerge w:val="restart"/>
            <w:shd w:val="clear" w:color="auto" w:fill="FFFFFF"/>
            <w:vAlign w:val="center"/>
          </w:tcPr>
          <w:p>
            <w:pPr>
              <w:widowControl/>
              <w:spacing w:line="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资金管理</w:t>
            </w:r>
          </w:p>
        </w:tc>
        <w:tc>
          <w:tcPr>
            <w:tcW w:w="1794" w:type="dxa"/>
            <w:shd w:val="clear" w:color="auto" w:fill="FFFFFF"/>
            <w:vAlign w:val="center"/>
          </w:tcPr>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资金到位率</w:t>
            </w:r>
          </w:p>
          <w:p>
            <w:pPr>
              <w:widowControl/>
              <w:spacing w:line="0" w:lineRule="atLeas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2分</w:t>
            </w:r>
          </w:p>
        </w:tc>
        <w:tc>
          <w:tcPr>
            <w:tcW w:w="5208" w:type="dxa"/>
            <w:shd w:val="clear" w:color="000000" w:fill="FFFFFF"/>
            <w:vAlign w:val="center"/>
          </w:tcPr>
          <w:p>
            <w:pPr>
              <w:widowControl/>
              <w:spacing w:line="0" w:lineRule="atLeast"/>
              <w:rPr>
                <w:rFonts w:ascii="宋体" w:hAnsi="宋体" w:cs="宋体"/>
                <w:color w:val="auto"/>
                <w:kern w:val="0"/>
                <w:sz w:val="22"/>
                <w:highlight w:val="none"/>
              </w:rPr>
            </w:pPr>
            <w:r>
              <w:rPr>
                <w:rFonts w:hint="eastAsia" w:ascii="宋体" w:hAnsi="宋体" w:cs="宋体"/>
                <w:color w:val="auto"/>
                <w:kern w:val="0"/>
                <w:sz w:val="22"/>
                <w:highlight w:val="none"/>
              </w:rPr>
              <w:t>实际到位资金与预算资金的比率，用以反映和考核资金落实情况对项目实施的总体保障程度。</w:t>
            </w:r>
          </w:p>
        </w:tc>
        <w:tc>
          <w:tcPr>
            <w:tcW w:w="777" w:type="dxa"/>
            <w:shd w:val="clear" w:color="000000" w:fill="FFFFFF"/>
            <w:vAlign w:val="center"/>
          </w:tcPr>
          <w:p>
            <w:pPr>
              <w:widowControl/>
              <w:spacing w:line="0" w:lineRule="atLeas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2</w:t>
            </w:r>
          </w:p>
        </w:tc>
        <w:tc>
          <w:tcPr>
            <w:tcW w:w="1483" w:type="dxa"/>
            <w:shd w:val="clear" w:color="000000" w:fill="FFFFFF"/>
            <w:vAlign w:val="center"/>
          </w:tcPr>
          <w:p>
            <w:pPr>
              <w:widowControl/>
              <w:spacing w:line="0" w:lineRule="atLeast"/>
              <w:rPr>
                <w:rFonts w:hint="eastAsia" w:ascii="宋体" w:hAnsi="宋体" w:cs="宋体"/>
                <w:color w:val="auto"/>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34" w:hRule="atLeast"/>
          <w:jc w:val="center"/>
        </w:trPr>
        <w:tc>
          <w:tcPr>
            <w:tcW w:w="737" w:type="dxa"/>
            <w:vMerge w:val="continue"/>
            <w:shd w:val="clear" w:color="auto" w:fill="FFFFFF"/>
            <w:vAlign w:val="center"/>
          </w:tcPr>
          <w:p>
            <w:pPr>
              <w:spacing w:line="0" w:lineRule="atLeast"/>
              <w:jc w:val="center"/>
              <w:rPr>
                <w:rFonts w:ascii="宋体" w:hAnsi="宋体" w:cs="宋体"/>
                <w:color w:val="auto"/>
                <w:kern w:val="0"/>
                <w:sz w:val="22"/>
                <w:highlight w:val="none"/>
              </w:rPr>
            </w:pPr>
          </w:p>
        </w:tc>
        <w:tc>
          <w:tcPr>
            <w:tcW w:w="720" w:type="dxa"/>
            <w:vMerge w:val="continue"/>
            <w:shd w:val="clear" w:color="auto" w:fill="FFFFFF"/>
            <w:vAlign w:val="center"/>
          </w:tcPr>
          <w:p>
            <w:pPr>
              <w:spacing w:line="0" w:lineRule="atLeast"/>
              <w:jc w:val="center"/>
              <w:rPr>
                <w:rFonts w:ascii="宋体" w:hAnsi="宋体" w:cs="宋体"/>
                <w:color w:val="auto"/>
                <w:kern w:val="0"/>
                <w:sz w:val="22"/>
                <w:highlight w:val="none"/>
              </w:rPr>
            </w:pPr>
          </w:p>
        </w:tc>
        <w:tc>
          <w:tcPr>
            <w:tcW w:w="1794" w:type="dxa"/>
            <w:shd w:val="clear" w:color="auto" w:fill="FFFFFF"/>
            <w:vAlign w:val="center"/>
          </w:tcPr>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预算执行率</w:t>
            </w:r>
          </w:p>
          <w:p>
            <w:pPr>
              <w:widowControl/>
              <w:spacing w:line="0" w:lineRule="atLeas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2分</w:t>
            </w:r>
          </w:p>
        </w:tc>
        <w:tc>
          <w:tcPr>
            <w:tcW w:w="5208" w:type="dxa"/>
            <w:shd w:val="clear" w:color="auto" w:fill="FFFFFF"/>
            <w:vAlign w:val="center"/>
          </w:tcPr>
          <w:p>
            <w:pPr>
              <w:widowControl/>
              <w:spacing w:line="0" w:lineRule="atLeast"/>
              <w:rPr>
                <w:rFonts w:ascii="宋体" w:hAnsi="宋体" w:cs="宋体"/>
                <w:color w:val="auto"/>
                <w:kern w:val="0"/>
                <w:sz w:val="22"/>
                <w:highlight w:val="none"/>
              </w:rPr>
            </w:pPr>
            <w:r>
              <w:rPr>
                <w:rFonts w:hint="eastAsia" w:ascii="宋体" w:hAnsi="宋体" w:cs="宋体"/>
                <w:color w:val="auto"/>
                <w:kern w:val="0"/>
                <w:sz w:val="22"/>
                <w:highlight w:val="none"/>
              </w:rPr>
              <w:t>项目预算资金是否按照计划执行，用以反映或考核项目预算执行情况。</w:t>
            </w:r>
          </w:p>
        </w:tc>
        <w:tc>
          <w:tcPr>
            <w:tcW w:w="777" w:type="dxa"/>
            <w:shd w:val="clear" w:color="auto" w:fill="FFFFFF"/>
            <w:vAlign w:val="center"/>
          </w:tcPr>
          <w:p>
            <w:pPr>
              <w:widowControl/>
              <w:spacing w:line="0" w:lineRule="atLeast"/>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1.93</w:t>
            </w:r>
          </w:p>
        </w:tc>
        <w:tc>
          <w:tcPr>
            <w:tcW w:w="1483" w:type="dxa"/>
            <w:shd w:val="clear" w:color="auto" w:fill="FFFFFF"/>
            <w:vAlign w:val="center"/>
          </w:tcPr>
          <w:p>
            <w:pPr>
              <w:widowControl/>
              <w:spacing w:line="0" w:lineRule="atLeast"/>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rPr>
              <w:t>防疫用品经费未支出，交回区财政局</w:t>
            </w:r>
            <w:r>
              <w:rPr>
                <w:rFonts w:hint="eastAsia" w:ascii="宋体" w:hAnsi="宋体" w:cs="宋体"/>
                <w:color w:val="auto"/>
                <w:kern w:val="0"/>
                <w:sz w:val="22"/>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04" w:hRule="atLeast"/>
          <w:jc w:val="center"/>
        </w:trPr>
        <w:tc>
          <w:tcPr>
            <w:tcW w:w="737" w:type="dxa"/>
            <w:vMerge w:val="continue"/>
            <w:shd w:val="clear" w:color="auto" w:fill="FFFFFF"/>
            <w:vAlign w:val="center"/>
          </w:tcPr>
          <w:p>
            <w:pPr>
              <w:spacing w:line="0" w:lineRule="atLeast"/>
              <w:jc w:val="center"/>
              <w:rPr>
                <w:rFonts w:ascii="宋体" w:hAnsi="宋体" w:cs="宋体"/>
                <w:color w:val="auto"/>
                <w:kern w:val="0"/>
                <w:sz w:val="22"/>
                <w:highlight w:val="none"/>
              </w:rPr>
            </w:pPr>
          </w:p>
        </w:tc>
        <w:tc>
          <w:tcPr>
            <w:tcW w:w="720" w:type="dxa"/>
            <w:vMerge w:val="continue"/>
            <w:shd w:val="clear" w:color="auto" w:fill="FFFFFF"/>
            <w:vAlign w:val="center"/>
          </w:tcPr>
          <w:p>
            <w:pPr>
              <w:widowControl/>
              <w:spacing w:line="0" w:lineRule="atLeast"/>
              <w:jc w:val="center"/>
              <w:rPr>
                <w:rFonts w:ascii="宋体" w:hAnsi="宋体" w:cs="宋体"/>
                <w:color w:val="auto"/>
                <w:kern w:val="0"/>
                <w:sz w:val="22"/>
                <w:highlight w:val="none"/>
              </w:rPr>
            </w:pPr>
          </w:p>
        </w:tc>
        <w:tc>
          <w:tcPr>
            <w:tcW w:w="1794" w:type="dxa"/>
            <w:shd w:val="clear" w:color="auto" w:fill="FFFFFF"/>
            <w:vAlign w:val="center"/>
          </w:tcPr>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资金使用合规性</w:t>
            </w:r>
          </w:p>
          <w:p>
            <w:pPr>
              <w:widowControl/>
              <w:spacing w:line="0" w:lineRule="atLeas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4分</w:t>
            </w:r>
          </w:p>
        </w:tc>
        <w:tc>
          <w:tcPr>
            <w:tcW w:w="5208" w:type="dxa"/>
            <w:shd w:val="clear" w:color="000000" w:fill="FFFFFF"/>
            <w:vAlign w:val="center"/>
          </w:tcPr>
          <w:p>
            <w:pPr>
              <w:widowControl/>
              <w:spacing w:line="0" w:lineRule="atLeast"/>
              <w:rPr>
                <w:rFonts w:ascii="宋体" w:hAnsi="宋体" w:cs="宋体"/>
                <w:color w:val="auto"/>
                <w:kern w:val="0"/>
                <w:sz w:val="22"/>
                <w:highlight w:val="none"/>
              </w:rPr>
            </w:pPr>
            <w:r>
              <w:rPr>
                <w:rFonts w:hint="eastAsia" w:ascii="宋体" w:hAnsi="宋体" w:cs="宋体"/>
                <w:color w:val="auto"/>
                <w:kern w:val="0"/>
                <w:sz w:val="22"/>
                <w:highlight w:val="none"/>
              </w:rPr>
              <w:t>项目资金使用是否符合相关的财务管理制度规定，用以反映和考核项目资金的规范运行情况。</w:t>
            </w:r>
          </w:p>
        </w:tc>
        <w:tc>
          <w:tcPr>
            <w:tcW w:w="777" w:type="dxa"/>
            <w:shd w:val="clear" w:color="000000" w:fill="FFFFFF"/>
            <w:vAlign w:val="center"/>
          </w:tcPr>
          <w:p>
            <w:pPr>
              <w:widowControl/>
              <w:spacing w:line="0" w:lineRule="atLeas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4</w:t>
            </w:r>
          </w:p>
        </w:tc>
        <w:tc>
          <w:tcPr>
            <w:tcW w:w="1483" w:type="dxa"/>
            <w:shd w:val="clear" w:color="000000" w:fill="FFFFFF"/>
            <w:vAlign w:val="center"/>
          </w:tcPr>
          <w:p>
            <w:pPr>
              <w:widowControl/>
              <w:spacing w:line="0" w:lineRule="atLeast"/>
              <w:rPr>
                <w:rFonts w:hint="eastAsia" w:ascii="宋体" w:hAnsi="宋体" w:cs="宋体"/>
                <w:color w:val="auto"/>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1" w:hRule="atLeast"/>
          <w:jc w:val="center"/>
        </w:trPr>
        <w:tc>
          <w:tcPr>
            <w:tcW w:w="737" w:type="dxa"/>
            <w:vMerge w:val="continue"/>
            <w:shd w:val="clear" w:color="auto" w:fill="FFFFFF"/>
            <w:vAlign w:val="center"/>
          </w:tcPr>
          <w:p>
            <w:pPr>
              <w:spacing w:line="0" w:lineRule="atLeast"/>
              <w:jc w:val="center"/>
              <w:rPr>
                <w:rFonts w:ascii="宋体" w:hAnsi="宋体" w:cs="宋体"/>
                <w:color w:val="auto"/>
                <w:kern w:val="0"/>
                <w:sz w:val="22"/>
                <w:highlight w:val="none"/>
              </w:rPr>
            </w:pPr>
          </w:p>
        </w:tc>
        <w:tc>
          <w:tcPr>
            <w:tcW w:w="720" w:type="dxa"/>
            <w:vMerge w:val="restart"/>
            <w:shd w:val="clear" w:color="auto" w:fill="FFFFFF"/>
            <w:vAlign w:val="center"/>
          </w:tcPr>
          <w:p>
            <w:pPr>
              <w:widowControl/>
              <w:spacing w:line="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组织实施</w:t>
            </w:r>
          </w:p>
          <w:p>
            <w:pPr>
              <w:spacing w:line="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1794" w:type="dxa"/>
            <w:shd w:val="clear" w:color="auto" w:fill="FFFFFF"/>
            <w:vAlign w:val="center"/>
          </w:tcPr>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管理制度健全性</w:t>
            </w:r>
          </w:p>
          <w:p>
            <w:pPr>
              <w:widowControl/>
              <w:spacing w:line="0" w:lineRule="atLeas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4分</w:t>
            </w:r>
          </w:p>
        </w:tc>
        <w:tc>
          <w:tcPr>
            <w:tcW w:w="5208" w:type="dxa"/>
            <w:shd w:val="clear" w:color="000000" w:fill="FFFFFF"/>
            <w:vAlign w:val="center"/>
          </w:tcPr>
          <w:p>
            <w:pPr>
              <w:widowControl/>
              <w:spacing w:line="0" w:lineRule="atLeast"/>
              <w:rPr>
                <w:rFonts w:ascii="宋体" w:hAnsi="宋体" w:cs="宋体"/>
                <w:color w:val="auto"/>
                <w:kern w:val="0"/>
                <w:sz w:val="22"/>
                <w:highlight w:val="none"/>
              </w:rPr>
            </w:pPr>
            <w:r>
              <w:rPr>
                <w:rFonts w:hint="eastAsia" w:ascii="宋体" w:hAnsi="宋体" w:cs="宋体"/>
                <w:color w:val="auto"/>
                <w:kern w:val="0"/>
                <w:sz w:val="22"/>
                <w:highlight w:val="none"/>
              </w:rPr>
              <w:t>项目实施单位的财务和业务管理制度是否健全，用以反映和考核财务和业务管理制度对项目顺利实施的保障情况。</w:t>
            </w:r>
          </w:p>
        </w:tc>
        <w:tc>
          <w:tcPr>
            <w:tcW w:w="777" w:type="dxa"/>
            <w:shd w:val="clear" w:color="000000" w:fill="FFFFFF"/>
            <w:vAlign w:val="center"/>
          </w:tcPr>
          <w:p>
            <w:pPr>
              <w:widowControl/>
              <w:spacing w:line="0" w:lineRule="atLeas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4</w:t>
            </w:r>
          </w:p>
        </w:tc>
        <w:tc>
          <w:tcPr>
            <w:tcW w:w="1483" w:type="dxa"/>
            <w:shd w:val="clear" w:color="000000" w:fill="FFFFFF"/>
            <w:vAlign w:val="center"/>
          </w:tcPr>
          <w:p>
            <w:pPr>
              <w:widowControl/>
              <w:spacing w:line="0" w:lineRule="atLeast"/>
              <w:rPr>
                <w:rFonts w:hint="eastAsia" w:ascii="宋体" w:hAnsi="宋体" w:cs="宋体"/>
                <w:color w:val="auto"/>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09" w:hRule="atLeast"/>
          <w:jc w:val="center"/>
        </w:trPr>
        <w:tc>
          <w:tcPr>
            <w:tcW w:w="737" w:type="dxa"/>
            <w:vMerge w:val="continue"/>
            <w:shd w:val="clear" w:color="auto" w:fill="FFFFFF"/>
            <w:vAlign w:val="center"/>
          </w:tcPr>
          <w:p>
            <w:pPr>
              <w:widowControl/>
              <w:spacing w:line="0" w:lineRule="atLeast"/>
              <w:jc w:val="center"/>
              <w:rPr>
                <w:rFonts w:ascii="宋体" w:hAnsi="宋体" w:cs="宋体"/>
                <w:color w:val="auto"/>
                <w:kern w:val="0"/>
                <w:sz w:val="22"/>
                <w:highlight w:val="none"/>
              </w:rPr>
            </w:pPr>
          </w:p>
        </w:tc>
        <w:tc>
          <w:tcPr>
            <w:tcW w:w="720" w:type="dxa"/>
            <w:vMerge w:val="continue"/>
            <w:shd w:val="clear" w:color="auto" w:fill="FFFFFF"/>
            <w:vAlign w:val="center"/>
          </w:tcPr>
          <w:p>
            <w:pPr>
              <w:widowControl/>
              <w:spacing w:line="0" w:lineRule="atLeast"/>
              <w:jc w:val="center"/>
              <w:rPr>
                <w:rFonts w:ascii="宋体" w:hAnsi="宋体" w:cs="宋体"/>
                <w:color w:val="auto"/>
                <w:kern w:val="0"/>
                <w:sz w:val="22"/>
                <w:highlight w:val="none"/>
              </w:rPr>
            </w:pPr>
          </w:p>
        </w:tc>
        <w:tc>
          <w:tcPr>
            <w:tcW w:w="1794" w:type="dxa"/>
            <w:shd w:val="clear" w:color="auto" w:fill="FFFFFF"/>
            <w:vAlign w:val="center"/>
          </w:tcPr>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制度执行有效性</w:t>
            </w:r>
          </w:p>
          <w:p>
            <w:pPr>
              <w:widowControl/>
              <w:spacing w:line="0" w:lineRule="atLeas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8分</w:t>
            </w:r>
          </w:p>
        </w:tc>
        <w:tc>
          <w:tcPr>
            <w:tcW w:w="5208" w:type="dxa"/>
            <w:shd w:val="clear" w:color="000000" w:fill="FFFFFF"/>
            <w:vAlign w:val="center"/>
          </w:tcPr>
          <w:p>
            <w:pPr>
              <w:widowControl/>
              <w:spacing w:line="0" w:lineRule="atLeast"/>
              <w:rPr>
                <w:rFonts w:ascii="宋体" w:hAnsi="宋体" w:cs="宋体"/>
                <w:color w:val="auto"/>
                <w:kern w:val="0"/>
                <w:sz w:val="22"/>
                <w:highlight w:val="none"/>
              </w:rPr>
            </w:pPr>
            <w:r>
              <w:rPr>
                <w:rFonts w:hint="eastAsia" w:ascii="宋体" w:hAnsi="宋体" w:cs="宋体"/>
                <w:color w:val="auto"/>
                <w:kern w:val="0"/>
                <w:sz w:val="22"/>
                <w:highlight w:val="none"/>
              </w:rPr>
              <w:t>项目实施是否符合相关管理规定，用以反映和考核相关管理制度的有效执行情况。</w:t>
            </w:r>
          </w:p>
        </w:tc>
        <w:tc>
          <w:tcPr>
            <w:tcW w:w="777" w:type="dxa"/>
            <w:shd w:val="clear" w:color="000000" w:fill="FFFFFF"/>
            <w:vAlign w:val="center"/>
          </w:tcPr>
          <w:p>
            <w:pPr>
              <w:widowControl/>
              <w:spacing w:line="0" w:lineRule="atLeas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8</w:t>
            </w:r>
          </w:p>
        </w:tc>
        <w:tc>
          <w:tcPr>
            <w:tcW w:w="1483" w:type="dxa"/>
            <w:shd w:val="clear" w:color="000000" w:fill="FFFFFF"/>
            <w:vAlign w:val="center"/>
          </w:tcPr>
          <w:p>
            <w:pPr>
              <w:widowControl/>
              <w:spacing w:line="0" w:lineRule="atLeast"/>
              <w:rPr>
                <w:rFonts w:hint="eastAsia" w:ascii="宋体" w:hAnsi="宋体" w:cs="宋体"/>
                <w:color w:val="auto"/>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9" w:hRule="atLeast"/>
          <w:jc w:val="center"/>
        </w:trPr>
        <w:tc>
          <w:tcPr>
            <w:tcW w:w="737" w:type="dxa"/>
            <w:vMerge w:val="restart"/>
            <w:shd w:val="clear" w:color="auto" w:fill="FFFFFF"/>
            <w:vAlign w:val="center"/>
          </w:tcPr>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产出</w:t>
            </w:r>
          </w:p>
          <w:p>
            <w:pPr>
              <w:widowControl/>
              <w:spacing w:line="0" w:lineRule="atLeast"/>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40分</w:t>
            </w:r>
          </w:p>
        </w:tc>
        <w:tc>
          <w:tcPr>
            <w:tcW w:w="720" w:type="dxa"/>
            <w:shd w:val="clear" w:color="auto" w:fill="FFFFFF"/>
            <w:vAlign w:val="center"/>
          </w:tcPr>
          <w:p>
            <w:pPr>
              <w:widowControl/>
              <w:spacing w:line="0" w:lineRule="atLeast"/>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rPr>
              <w:t>产出数量</w:t>
            </w:r>
          </w:p>
        </w:tc>
        <w:tc>
          <w:tcPr>
            <w:tcW w:w="1794" w:type="dxa"/>
            <w:shd w:val="clear" w:color="auto" w:fill="FFFFFF"/>
            <w:vAlign w:val="center"/>
          </w:tcPr>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实际完成率</w:t>
            </w:r>
          </w:p>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val="en-US" w:eastAsia="zh-CN"/>
              </w:rPr>
              <w:t>10分</w:t>
            </w:r>
          </w:p>
        </w:tc>
        <w:tc>
          <w:tcPr>
            <w:tcW w:w="5208" w:type="dxa"/>
            <w:shd w:val="clear" w:color="000000" w:fill="FFFFFF"/>
            <w:vAlign w:val="center"/>
          </w:tcPr>
          <w:p>
            <w:pPr>
              <w:widowControl/>
              <w:spacing w:line="0" w:lineRule="atLeast"/>
              <w:rPr>
                <w:rFonts w:ascii="宋体" w:hAnsi="宋体" w:cs="宋体"/>
                <w:color w:val="auto"/>
                <w:kern w:val="0"/>
                <w:sz w:val="22"/>
                <w:highlight w:val="none"/>
              </w:rPr>
            </w:pPr>
            <w:r>
              <w:rPr>
                <w:rFonts w:hint="eastAsia" w:ascii="宋体" w:hAnsi="宋体" w:cs="宋体"/>
                <w:color w:val="auto"/>
                <w:kern w:val="0"/>
                <w:sz w:val="22"/>
                <w:highlight w:val="none"/>
              </w:rPr>
              <w:t>项目实施的实际产出数与计划产出数的比率，用以反映和考核项目产出数量目标的实现程度。</w:t>
            </w:r>
          </w:p>
        </w:tc>
        <w:tc>
          <w:tcPr>
            <w:tcW w:w="777" w:type="dxa"/>
            <w:shd w:val="clear" w:color="000000" w:fill="FFFFFF"/>
            <w:vAlign w:val="center"/>
          </w:tcPr>
          <w:p>
            <w:pPr>
              <w:widowControl/>
              <w:spacing w:line="0" w:lineRule="atLeast"/>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10</w:t>
            </w:r>
          </w:p>
        </w:tc>
        <w:tc>
          <w:tcPr>
            <w:tcW w:w="1483" w:type="dxa"/>
            <w:shd w:val="clear" w:color="000000" w:fill="FFFFFF"/>
            <w:vAlign w:val="center"/>
          </w:tcPr>
          <w:p>
            <w:pPr>
              <w:widowControl/>
              <w:spacing w:line="0" w:lineRule="atLeast"/>
              <w:rPr>
                <w:rFonts w:hint="eastAsia" w:ascii="宋体" w:hAnsi="宋体" w:cs="宋体"/>
                <w:color w:val="auto"/>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30" w:hRule="atLeast"/>
          <w:jc w:val="center"/>
        </w:trPr>
        <w:tc>
          <w:tcPr>
            <w:tcW w:w="737" w:type="dxa"/>
            <w:vMerge w:val="continue"/>
            <w:shd w:val="clear" w:color="auto" w:fill="FFFFFF"/>
            <w:vAlign w:val="center"/>
          </w:tcPr>
          <w:p>
            <w:pPr>
              <w:widowControl/>
              <w:spacing w:line="0" w:lineRule="atLeast"/>
              <w:jc w:val="center"/>
              <w:rPr>
                <w:rFonts w:ascii="宋体" w:hAnsi="宋体" w:cs="宋体"/>
                <w:color w:val="auto"/>
                <w:kern w:val="0"/>
                <w:sz w:val="22"/>
                <w:highlight w:val="none"/>
              </w:rPr>
            </w:pPr>
          </w:p>
        </w:tc>
        <w:tc>
          <w:tcPr>
            <w:tcW w:w="720" w:type="dxa"/>
            <w:shd w:val="clear" w:color="auto" w:fill="FFFFFF"/>
            <w:vAlign w:val="center"/>
          </w:tcPr>
          <w:p>
            <w:pPr>
              <w:widowControl/>
              <w:spacing w:line="0" w:lineRule="atLeast"/>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rPr>
              <w:t>产出质量</w:t>
            </w:r>
          </w:p>
        </w:tc>
        <w:tc>
          <w:tcPr>
            <w:tcW w:w="1794" w:type="dxa"/>
            <w:shd w:val="clear" w:color="auto" w:fill="FFFFFF"/>
            <w:vAlign w:val="center"/>
          </w:tcPr>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质量达标率</w:t>
            </w:r>
          </w:p>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val="en-US" w:eastAsia="zh-CN"/>
              </w:rPr>
              <w:t>10分</w:t>
            </w:r>
          </w:p>
        </w:tc>
        <w:tc>
          <w:tcPr>
            <w:tcW w:w="5208" w:type="dxa"/>
            <w:shd w:val="clear" w:color="000000" w:fill="FFFFFF"/>
            <w:vAlign w:val="center"/>
          </w:tcPr>
          <w:p>
            <w:pPr>
              <w:widowControl/>
              <w:spacing w:line="0" w:lineRule="atLeast"/>
              <w:rPr>
                <w:rFonts w:ascii="宋体" w:hAnsi="宋体" w:cs="宋体"/>
                <w:color w:val="auto"/>
                <w:kern w:val="0"/>
                <w:sz w:val="22"/>
                <w:highlight w:val="none"/>
              </w:rPr>
            </w:pPr>
            <w:r>
              <w:rPr>
                <w:rFonts w:hint="eastAsia" w:ascii="宋体" w:hAnsi="宋体" w:cs="宋体"/>
                <w:color w:val="auto"/>
                <w:kern w:val="0"/>
                <w:sz w:val="22"/>
                <w:highlight w:val="none"/>
              </w:rPr>
              <w:t>项目完成的质量达标产出数与实际产出数的比率，用以反映和考核项目产出质量目标的实现程度。</w:t>
            </w:r>
          </w:p>
        </w:tc>
        <w:tc>
          <w:tcPr>
            <w:tcW w:w="777" w:type="dxa"/>
            <w:shd w:val="clear" w:color="000000" w:fill="FFFFFF"/>
            <w:vAlign w:val="center"/>
          </w:tcPr>
          <w:p>
            <w:pPr>
              <w:widowControl/>
              <w:spacing w:line="0" w:lineRule="atLeast"/>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10</w:t>
            </w:r>
          </w:p>
        </w:tc>
        <w:tc>
          <w:tcPr>
            <w:tcW w:w="1483" w:type="dxa"/>
            <w:shd w:val="clear" w:color="000000" w:fill="FFFFFF"/>
            <w:vAlign w:val="center"/>
          </w:tcPr>
          <w:p>
            <w:pPr>
              <w:widowControl/>
              <w:spacing w:line="0" w:lineRule="atLeast"/>
              <w:rPr>
                <w:rFonts w:hint="eastAsia" w:ascii="宋体" w:hAnsi="宋体" w:cs="宋体"/>
                <w:color w:val="auto"/>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8" w:hRule="atLeast"/>
          <w:jc w:val="center"/>
        </w:trPr>
        <w:tc>
          <w:tcPr>
            <w:tcW w:w="737" w:type="dxa"/>
            <w:vMerge w:val="continue"/>
            <w:shd w:val="clear" w:color="auto" w:fill="FFFFFF"/>
            <w:vAlign w:val="center"/>
          </w:tcPr>
          <w:p>
            <w:pPr>
              <w:spacing w:line="0" w:lineRule="atLeast"/>
              <w:jc w:val="center"/>
              <w:rPr>
                <w:rFonts w:ascii="宋体" w:hAnsi="宋体" w:cs="宋体"/>
                <w:color w:val="auto"/>
                <w:kern w:val="0"/>
                <w:sz w:val="22"/>
                <w:highlight w:val="none"/>
              </w:rPr>
            </w:pPr>
          </w:p>
        </w:tc>
        <w:tc>
          <w:tcPr>
            <w:tcW w:w="720" w:type="dxa"/>
            <w:shd w:val="clear" w:color="auto" w:fill="FFFFFF"/>
            <w:vAlign w:val="center"/>
          </w:tcPr>
          <w:p>
            <w:pPr>
              <w:spacing w:line="0" w:lineRule="atLeast"/>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rPr>
              <w:t>产出时效</w:t>
            </w:r>
          </w:p>
        </w:tc>
        <w:tc>
          <w:tcPr>
            <w:tcW w:w="1794" w:type="dxa"/>
            <w:shd w:val="clear" w:color="auto" w:fill="FFFFFF"/>
            <w:vAlign w:val="center"/>
          </w:tcPr>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完成及时性</w:t>
            </w:r>
          </w:p>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val="en-US" w:eastAsia="zh-CN"/>
              </w:rPr>
              <w:t>10分</w:t>
            </w:r>
          </w:p>
        </w:tc>
        <w:tc>
          <w:tcPr>
            <w:tcW w:w="5208" w:type="dxa"/>
            <w:shd w:val="clear" w:color="000000" w:fill="FFFFFF"/>
            <w:vAlign w:val="center"/>
          </w:tcPr>
          <w:p>
            <w:pPr>
              <w:widowControl/>
              <w:spacing w:line="0" w:lineRule="atLeast"/>
              <w:rPr>
                <w:rFonts w:ascii="宋体" w:hAnsi="宋体" w:cs="宋体"/>
                <w:color w:val="auto"/>
                <w:kern w:val="0"/>
                <w:sz w:val="22"/>
                <w:highlight w:val="none"/>
              </w:rPr>
            </w:pPr>
            <w:r>
              <w:rPr>
                <w:rFonts w:hint="eastAsia" w:ascii="宋体" w:hAnsi="宋体" w:cs="宋体"/>
                <w:color w:val="auto"/>
                <w:kern w:val="0"/>
                <w:sz w:val="22"/>
                <w:highlight w:val="none"/>
              </w:rPr>
              <w:t>项目实际完成时间与计划完成时间的比较，用以反映和考核项目产出时效目标的实现程度。</w:t>
            </w:r>
          </w:p>
        </w:tc>
        <w:tc>
          <w:tcPr>
            <w:tcW w:w="777" w:type="dxa"/>
            <w:shd w:val="clear" w:color="000000" w:fill="FFFFFF"/>
            <w:vAlign w:val="center"/>
          </w:tcPr>
          <w:p>
            <w:pPr>
              <w:widowControl/>
              <w:spacing w:line="0" w:lineRule="atLeast"/>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10</w:t>
            </w:r>
          </w:p>
        </w:tc>
        <w:tc>
          <w:tcPr>
            <w:tcW w:w="1483" w:type="dxa"/>
            <w:shd w:val="clear" w:color="000000" w:fill="FFFFFF"/>
            <w:vAlign w:val="center"/>
          </w:tcPr>
          <w:p>
            <w:pPr>
              <w:widowControl/>
              <w:spacing w:line="0" w:lineRule="atLeast"/>
              <w:rPr>
                <w:rFonts w:hint="eastAsia" w:ascii="宋体" w:hAnsi="宋体" w:cs="宋体"/>
                <w:color w:val="auto"/>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6" w:hRule="atLeast"/>
          <w:jc w:val="center"/>
        </w:trPr>
        <w:tc>
          <w:tcPr>
            <w:tcW w:w="737" w:type="dxa"/>
            <w:vMerge w:val="continue"/>
            <w:shd w:val="clear" w:color="auto" w:fill="FFFFFF"/>
            <w:vAlign w:val="center"/>
          </w:tcPr>
          <w:p>
            <w:pPr>
              <w:widowControl/>
              <w:spacing w:line="0" w:lineRule="atLeast"/>
              <w:jc w:val="center"/>
              <w:rPr>
                <w:rFonts w:ascii="宋体" w:hAnsi="宋体" w:cs="宋体"/>
                <w:color w:val="auto"/>
                <w:kern w:val="0"/>
                <w:sz w:val="22"/>
                <w:highlight w:val="none"/>
              </w:rPr>
            </w:pPr>
          </w:p>
        </w:tc>
        <w:tc>
          <w:tcPr>
            <w:tcW w:w="720" w:type="dxa"/>
            <w:shd w:val="clear" w:color="auto" w:fill="FFFFFF"/>
            <w:vAlign w:val="center"/>
          </w:tcPr>
          <w:p>
            <w:pPr>
              <w:widowControl/>
              <w:spacing w:line="0" w:lineRule="atLeast"/>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rPr>
              <w:t>产出成本</w:t>
            </w:r>
          </w:p>
        </w:tc>
        <w:tc>
          <w:tcPr>
            <w:tcW w:w="1794" w:type="dxa"/>
            <w:shd w:val="clear" w:color="auto" w:fill="FFFFFF"/>
            <w:vAlign w:val="center"/>
          </w:tcPr>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成本节约率</w:t>
            </w:r>
          </w:p>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val="en-US" w:eastAsia="zh-CN"/>
              </w:rPr>
              <w:t>10分</w:t>
            </w:r>
          </w:p>
        </w:tc>
        <w:tc>
          <w:tcPr>
            <w:tcW w:w="5208" w:type="dxa"/>
            <w:shd w:val="clear" w:color="000000" w:fill="FFFFFF"/>
            <w:vAlign w:val="center"/>
          </w:tcPr>
          <w:p>
            <w:pPr>
              <w:widowControl/>
              <w:spacing w:line="0" w:lineRule="atLeast"/>
              <w:rPr>
                <w:rFonts w:ascii="宋体" w:hAnsi="宋体" w:cs="宋体"/>
                <w:color w:val="auto"/>
                <w:kern w:val="0"/>
                <w:sz w:val="22"/>
                <w:highlight w:val="none"/>
              </w:rPr>
            </w:pPr>
            <w:r>
              <w:rPr>
                <w:rFonts w:hint="eastAsia" w:ascii="宋体" w:hAnsi="宋体" w:cs="宋体"/>
                <w:color w:val="auto"/>
                <w:kern w:val="0"/>
                <w:sz w:val="22"/>
                <w:highlight w:val="none"/>
              </w:rPr>
              <w:t>完成项目计划工作目标的实际节约成本与计划成本的比率，用以反映和考核项目的成本节约程度。</w:t>
            </w:r>
          </w:p>
        </w:tc>
        <w:tc>
          <w:tcPr>
            <w:tcW w:w="777" w:type="dxa"/>
            <w:shd w:val="clear" w:color="000000" w:fill="FFFFFF"/>
            <w:vAlign w:val="center"/>
          </w:tcPr>
          <w:p>
            <w:pPr>
              <w:widowControl/>
              <w:spacing w:line="0" w:lineRule="atLeast"/>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10</w:t>
            </w:r>
          </w:p>
        </w:tc>
        <w:tc>
          <w:tcPr>
            <w:tcW w:w="1483" w:type="dxa"/>
            <w:shd w:val="clear" w:color="000000" w:fill="FFFFFF"/>
            <w:vAlign w:val="center"/>
          </w:tcPr>
          <w:p>
            <w:pPr>
              <w:widowControl/>
              <w:spacing w:line="0" w:lineRule="atLeast"/>
              <w:rPr>
                <w:rFonts w:hint="eastAsia" w:ascii="宋体" w:hAnsi="宋体" w:cs="宋体"/>
                <w:color w:val="auto"/>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0" w:hRule="atLeast"/>
          <w:jc w:val="center"/>
        </w:trPr>
        <w:tc>
          <w:tcPr>
            <w:tcW w:w="737" w:type="dxa"/>
            <w:vMerge w:val="restart"/>
            <w:shd w:val="clear" w:color="auto" w:fill="FFFFFF"/>
            <w:vAlign w:val="center"/>
          </w:tcPr>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效益</w:t>
            </w:r>
          </w:p>
          <w:p>
            <w:pPr>
              <w:widowControl/>
              <w:spacing w:line="0" w:lineRule="atLeast"/>
              <w:jc w:val="center"/>
              <w:rPr>
                <w:rFonts w:ascii="宋体" w:hAnsi="宋体" w:cs="宋体"/>
                <w:color w:val="auto"/>
                <w:kern w:val="0"/>
                <w:sz w:val="22"/>
                <w:highlight w:val="none"/>
              </w:rPr>
            </w:pPr>
            <w:r>
              <w:rPr>
                <w:rFonts w:hint="eastAsia" w:ascii="宋体" w:hAnsi="宋体" w:cs="宋体"/>
                <w:color w:val="auto"/>
                <w:kern w:val="0"/>
                <w:sz w:val="22"/>
                <w:highlight w:val="none"/>
                <w:lang w:val="en-US" w:eastAsia="zh-CN"/>
              </w:rPr>
              <w:t>30分</w:t>
            </w:r>
            <w:r>
              <w:rPr>
                <w:rFonts w:hint="eastAsia" w:ascii="宋体" w:hAnsi="宋体" w:cs="宋体"/>
                <w:color w:val="auto"/>
                <w:kern w:val="0"/>
                <w:sz w:val="22"/>
                <w:highlight w:val="none"/>
              </w:rPr>
              <w:t>　</w:t>
            </w:r>
          </w:p>
        </w:tc>
        <w:tc>
          <w:tcPr>
            <w:tcW w:w="720" w:type="dxa"/>
            <w:vMerge w:val="restart"/>
            <w:shd w:val="clear" w:color="auto" w:fill="FFFFFF"/>
            <w:vAlign w:val="center"/>
          </w:tcPr>
          <w:p>
            <w:pPr>
              <w:widowControl/>
              <w:spacing w:line="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项目效益　</w:t>
            </w:r>
          </w:p>
        </w:tc>
        <w:tc>
          <w:tcPr>
            <w:tcW w:w="1794" w:type="dxa"/>
            <w:shd w:val="clear" w:color="auto" w:fill="FFFFFF"/>
            <w:vAlign w:val="center"/>
          </w:tcPr>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eastAsia="zh-CN"/>
              </w:rPr>
              <w:t>社会</w:t>
            </w:r>
            <w:r>
              <w:rPr>
                <w:rFonts w:hint="eastAsia" w:ascii="宋体" w:hAnsi="宋体" w:cs="宋体"/>
                <w:color w:val="auto"/>
                <w:kern w:val="0"/>
                <w:sz w:val="22"/>
                <w:highlight w:val="none"/>
              </w:rPr>
              <w:t>效益</w:t>
            </w:r>
          </w:p>
          <w:p>
            <w:pPr>
              <w:widowControl/>
              <w:spacing w:line="0" w:lineRule="atLeast"/>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20分</w:t>
            </w:r>
          </w:p>
        </w:tc>
        <w:tc>
          <w:tcPr>
            <w:tcW w:w="5208" w:type="dxa"/>
            <w:shd w:val="clear" w:color="auto" w:fill="FFFFFF"/>
            <w:vAlign w:val="center"/>
          </w:tcPr>
          <w:p>
            <w:pPr>
              <w:widowControl/>
              <w:spacing w:line="0" w:lineRule="atLeast"/>
              <w:jc w:val="left"/>
              <w:rPr>
                <w:rFonts w:ascii="宋体" w:hAnsi="宋体" w:cs="宋体"/>
                <w:color w:val="auto"/>
                <w:kern w:val="0"/>
                <w:sz w:val="22"/>
                <w:highlight w:val="none"/>
              </w:rPr>
            </w:pPr>
            <w:r>
              <w:rPr>
                <w:rFonts w:hint="eastAsia" w:ascii="宋体" w:hAnsi="宋体" w:cs="宋体"/>
                <w:color w:val="auto"/>
                <w:kern w:val="0"/>
                <w:sz w:val="22"/>
                <w:highlight w:val="none"/>
              </w:rPr>
              <w:t>项目实施所产生的</w:t>
            </w:r>
            <w:r>
              <w:rPr>
                <w:rFonts w:hint="eastAsia" w:ascii="宋体" w:hAnsi="宋体" w:cs="宋体"/>
                <w:color w:val="auto"/>
                <w:kern w:val="0"/>
                <w:sz w:val="22"/>
                <w:highlight w:val="none"/>
                <w:lang w:eastAsia="zh-CN"/>
              </w:rPr>
              <w:t>社会</w:t>
            </w:r>
            <w:r>
              <w:rPr>
                <w:rFonts w:hint="eastAsia" w:ascii="宋体" w:hAnsi="宋体" w:cs="宋体"/>
                <w:color w:val="auto"/>
                <w:kern w:val="0"/>
                <w:sz w:val="22"/>
                <w:highlight w:val="none"/>
              </w:rPr>
              <w:t>效益。</w:t>
            </w:r>
          </w:p>
        </w:tc>
        <w:tc>
          <w:tcPr>
            <w:tcW w:w="777" w:type="dxa"/>
            <w:shd w:val="clear" w:color="auto" w:fill="FFFFFF"/>
            <w:vAlign w:val="center"/>
          </w:tcPr>
          <w:p>
            <w:pPr>
              <w:widowControl/>
              <w:spacing w:line="0" w:lineRule="atLeast"/>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20</w:t>
            </w:r>
          </w:p>
        </w:tc>
        <w:tc>
          <w:tcPr>
            <w:tcW w:w="1483" w:type="dxa"/>
            <w:shd w:val="clear" w:color="auto" w:fill="FFFFFF"/>
            <w:vAlign w:val="center"/>
          </w:tcPr>
          <w:p>
            <w:pPr>
              <w:widowControl/>
              <w:spacing w:line="0" w:lineRule="atLeast"/>
              <w:jc w:val="left"/>
              <w:rPr>
                <w:rFonts w:hint="eastAsia" w:ascii="宋体" w:hAnsi="宋体" w:cs="宋体"/>
                <w:color w:val="auto"/>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30" w:hRule="atLeast"/>
          <w:jc w:val="center"/>
        </w:trPr>
        <w:tc>
          <w:tcPr>
            <w:tcW w:w="737" w:type="dxa"/>
            <w:vMerge w:val="continue"/>
            <w:shd w:val="clear" w:color="auto" w:fill="FFFFFF"/>
            <w:vAlign w:val="center"/>
          </w:tcPr>
          <w:p>
            <w:pPr>
              <w:widowControl/>
              <w:spacing w:line="0" w:lineRule="atLeast"/>
              <w:jc w:val="center"/>
              <w:rPr>
                <w:rFonts w:ascii="宋体" w:hAnsi="宋体" w:cs="宋体"/>
                <w:color w:val="auto"/>
                <w:kern w:val="0"/>
                <w:sz w:val="22"/>
                <w:highlight w:val="none"/>
              </w:rPr>
            </w:pPr>
          </w:p>
        </w:tc>
        <w:tc>
          <w:tcPr>
            <w:tcW w:w="720" w:type="dxa"/>
            <w:vMerge w:val="continue"/>
            <w:shd w:val="clear" w:color="auto" w:fill="FFFFFF"/>
            <w:vAlign w:val="center"/>
          </w:tcPr>
          <w:p>
            <w:pPr>
              <w:widowControl/>
              <w:spacing w:line="0" w:lineRule="atLeast"/>
              <w:jc w:val="center"/>
              <w:rPr>
                <w:rFonts w:ascii="宋体" w:hAnsi="宋体" w:cs="宋体"/>
                <w:color w:val="auto"/>
                <w:kern w:val="0"/>
                <w:sz w:val="22"/>
                <w:highlight w:val="none"/>
              </w:rPr>
            </w:pPr>
          </w:p>
        </w:tc>
        <w:tc>
          <w:tcPr>
            <w:tcW w:w="1794" w:type="dxa"/>
            <w:shd w:val="clear" w:color="auto" w:fill="FFFFFF"/>
            <w:vAlign w:val="center"/>
          </w:tcPr>
          <w:p>
            <w:pPr>
              <w:widowControl/>
              <w:spacing w:line="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满意度</w:t>
            </w:r>
          </w:p>
          <w:p>
            <w:pPr>
              <w:widowControl/>
              <w:spacing w:line="0" w:lineRule="atLeast"/>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10分</w:t>
            </w:r>
          </w:p>
        </w:tc>
        <w:tc>
          <w:tcPr>
            <w:tcW w:w="5208" w:type="dxa"/>
            <w:shd w:val="clear" w:color="000000" w:fill="FFFFFF"/>
            <w:vAlign w:val="center"/>
          </w:tcPr>
          <w:p>
            <w:pPr>
              <w:widowControl/>
              <w:spacing w:line="0" w:lineRule="atLeast"/>
              <w:rPr>
                <w:rFonts w:ascii="宋体" w:hAnsi="宋体" w:cs="宋体"/>
                <w:color w:val="auto"/>
                <w:kern w:val="0"/>
                <w:sz w:val="22"/>
                <w:highlight w:val="none"/>
              </w:rPr>
            </w:pPr>
            <w:r>
              <w:rPr>
                <w:rFonts w:hint="eastAsia" w:ascii="宋体" w:hAnsi="宋体" w:cs="宋体"/>
                <w:color w:val="auto"/>
                <w:kern w:val="0"/>
                <w:sz w:val="22"/>
                <w:highlight w:val="none"/>
              </w:rPr>
              <w:t>社会公众或服务对象对项目实施效果的满意程度。</w:t>
            </w:r>
          </w:p>
        </w:tc>
        <w:tc>
          <w:tcPr>
            <w:tcW w:w="777" w:type="dxa"/>
            <w:shd w:val="clear" w:color="000000" w:fill="FFFFFF"/>
            <w:vAlign w:val="center"/>
          </w:tcPr>
          <w:p>
            <w:pPr>
              <w:widowControl/>
              <w:spacing w:line="0" w:lineRule="atLeast"/>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10</w:t>
            </w:r>
          </w:p>
        </w:tc>
        <w:tc>
          <w:tcPr>
            <w:tcW w:w="1483" w:type="dxa"/>
            <w:shd w:val="clear" w:color="000000" w:fill="FFFFFF"/>
            <w:vAlign w:val="center"/>
          </w:tcPr>
          <w:p>
            <w:pPr>
              <w:widowControl/>
              <w:spacing w:line="0" w:lineRule="atLeast"/>
              <w:rPr>
                <w:rFonts w:hint="eastAsia" w:ascii="宋体" w:hAnsi="宋体" w:cs="宋体"/>
                <w:color w:val="auto"/>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1" w:hRule="atLeast"/>
          <w:jc w:val="center"/>
        </w:trPr>
        <w:tc>
          <w:tcPr>
            <w:tcW w:w="8459" w:type="dxa"/>
            <w:gridSpan w:val="4"/>
            <w:shd w:val="clear" w:color="auto" w:fill="FFFFFF"/>
            <w:vAlign w:val="center"/>
          </w:tcPr>
          <w:p>
            <w:pPr>
              <w:widowControl/>
              <w:spacing w:line="0" w:lineRule="atLeast"/>
              <w:jc w:val="center"/>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综合得分</w:t>
            </w:r>
          </w:p>
        </w:tc>
        <w:tc>
          <w:tcPr>
            <w:tcW w:w="777" w:type="dxa"/>
            <w:shd w:val="clear" w:color="000000" w:fill="FFFFFF"/>
            <w:vAlign w:val="center"/>
          </w:tcPr>
          <w:p>
            <w:pPr>
              <w:widowControl/>
              <w:spacing w:line="0" w:lineRule="atLeast"/>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99.93</w:t>
            </w:r>
          </w:p>
        </w:tc>
        <w:tc>
          <w:tcPr>
            <w:tcW w:w="1483" w:type="dxa"/>
            <w:shd w:val="clear" w:color="000000" w:fill="FFFFFF"/>
            <w:vAlign w:val="center"/>
          </w:tcPr>
          <w:p>
            <w:pPr>
              <w:widowControl/>
              <w:spacing w:line="0" w:lineRule="atLeast"/>
              <w:rPr>
                <w:rFonts w:hint="eastAsia" w:ascii="宋体" w:hAnsi="宋体" w:cs="宋体"/>
                <w:color w:val="auto"/>
                <w:kern w:val="0"/>
                <w:sz w:val="22"/>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4"/>
          <w:szCs w:val="24"/>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BE83F"/>
    <w:multiLevelType w:val="singleLevel"/>
    <w:tmpl w:val="963BE83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00A27AF"/>
    <w:rsid w:val="00161C76"/>
    <w:rsid w:val="00261C03"/>
    <w:rsid w:val="005678A8"/>
    <w:rsid w:val="00B40A65"/>
    <w:rsid w:val="00BB3BDA"/>
    <w:rsid w:val="00C16CBD"/>
    <w:rsid w:val="00D33560"/>
    <w:rsid w:val="00D54668"/>
    <w:rsid w:val="00F84B2A"/>
    <w:rsid w:val="01A83123"/>
    <w:rsid w:val="04202EC9"/>
    <w:rsid w:val="0420341C"/>
    <w:rsid w:val="09BA1698"/>
    <w:rsid w:val="0CC235D1"/>
    <w:rsid w:val="0D2072BE"/>
    <w:rsid w:val="0D7803F5"/>
    <w:rsid w:val="1195375F"/>
    <w:rsid w:val="12326A43"/>
    <w:rsid w:val="137A6A3D"/>
    <w:rsid w:val="17BE23DA"/>
    <w:rsid w:val="18D2527D"/>
    <w:rsid w:val="1BC911E1"/>
    <w:rsid w:val="1BCB319F"/>
    <w:rsid w:val="1E7360AF"/>
    <w:rsid w:val="1FE31E83"/>
    <w:rsid w:val="200827A8"/>
    <w:rsid w:val="219E75CB"/>
    <w:rsid w:val="22976D18"/>
    <w:rsid w:val="23D069E7"/>
    <w:rsid w:val="257F10F3"/>
    <w:rsid w:val="29BC4E8E"/>
    <w:rsid w:val="29E119DE"/>
    <w:rsid w:val="2B156ECA"/>
    <w:rsid w:val="2B1902C8"/>
    <w:rsid w:val="2BB873F6"/>
    <w:rsid w:val="2EB25ECC"/>
    <w:rsid w:val="2F452E4B"/>
    <w:rsid w:val="37173543"/>
    <w:rsid w:val="39884415"/>
    <w:rsid w:val="39E97BDC"/>
    <w:rsid w:val="3A275AFB"/>
    <w:rsid w:val="3E4C581A"/>
    <w:rsid w:val="3FD2403A"/>
    <w:rsid w:val="3FF76880"/>
    <w:rsid w:val="420033AB"/>
    <w:rsid w:val="43541444"/>
    <w:rsid w:val="43744EF9"/>
    <w:rsid w:val="45D34445"/>
    <w:rsid w:val="4712006D"/>
    <w:rsid w:val="47F95E4B"/>
    <w:rsid w:val="488B60F0"/>
    <w:rsid w:val="4A3219A9"/>
    <w:rsid w:val="4AC60285"/>
    <w:rsid w:val="4B2B6B25"/>
    <w:rsid w:val="4DD343C7"/>
    <w:rsid w:val="4E39342D"/>
    <w:rsid w:val="4E6E28B2"/>
    <w:rsid w:val="4F1073A4"/>
    <w:rsid w:val="50290C58"/>
    <w:rsid w:val="50332C07"/>
    <w:rsid w:val="524B5D2B"/>
    <w:rsid w:val="52B32773"/>
    <w:rsid w:val="55AB5D24"/>
    <w:rsid w:val="5627289B"/>
    <w:rsid w:val="57162888"/>
    <w:rsid w:val="577971F9"/>
    <w:rsid w:val="580343E0"/>
    <w:rsid w:val="58E13CFB"/>
    <w:rsid w:val="5AB5379D"/>
    <w:rsid w:val="5C073259"/>
    <w:rsid w:val="5DCF2EF2"/>
    <w:rsid w:val="5E4C4440"/>
    <w:rsid w:val="5E4F1D39"/>
    <w:rsid w:val="5F430367"/>
    <w:rsid w:val="625D02CE"/>
    <w:rsid w:val="64C12295"/>
    <w:rsid w:val="663E1240"/>
    <w:rsid w:val="67FF7DFC"/>
    <w:rsid w:val="68200D00"/>
    <w:rsid w:val="68E233FF"/>
    <w:rsid w:val="695A4F36"/>
    <w:rsid w:val="6A011060"/>
    <w:rsid w:val="6A5B6CC9"/>
    <w:rsid w:val="6BCA3DC6"/>
    <w:rsid w:val="6C486363"/>
    <w:rsid w:val="6CD17BA2"/>
    <w:rsid w:val="6DE60668"/>
    <w:rsid w:val="6E7A5BAD"/>
    <w:rsid w:val="6ED60E14"/>
    <w:rsid w:val="70227A73"/>
    <w:rsid w:val="71AE6998"/>
    <w:rsid w:val="73BD6240"/>
    <w:rsid w:val="77075D49"/>
    <w:rsid w:val="77EF1EAC"/>
    <w:rsid w:val="79A304E1"/>
    <w:rsid w:val="7AB7FF50"/>
    <w:rsid w:val="7BDC1A26"/>
    <w:rsid w:val="7BFEB0DB"/>
    <w:rsid w:val="7E4A6FF6"/>
    <w:rsid w:val="7E81764E"/>
    <w:rsid w:val="7F0C78AF"/>
    <w:rsid w:val="7F3B2528"/>
    <w:rsid w:val="CEFD3F3D"/>
    <w:rsid w:val="EA3F77F2"/>
    <w:rsid w:val="EEFE5989"/>
    <w:rsid w:val="EFCF3EAE"/>
    <w:rsid w:val="F5B764A2"/>
    <w:rsid w:val="F77F09F4"/>
    <w:rsid w:val="FFD7BFFC"/>
    <w:rsid w:val="FFFA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257</Characters>
  <Lines>2</Lines>
  <Paragraphs>1</Paragraphs>
  <ScaleCrop>false</ScaleCrop>
  <LinksUpToDate>false</LinksUpToDate>
  <CharactersWithSpaces>300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工会</cp:lastModifiedBy>
  <cp:lastPrinted>2024-02-27T08:26:00Z</cp:lastPrinted>
  <dcterms:modified xsi:type="dcterms:W3CDTF">2024-03-21T06:33:24Z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