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72" w:lineRule="exact"/>
        <w:ind w:left="399" w:right="856"/>
        <w:jc w:val="center"/>
        <w:rPr>
          <w:rFonts w:ascii="Times New Roman" w:hAnsi="Times New Roman"/>
          <w:b/>
          <w:color w:val="auto"/>
          <w:sz w:val="32"/>
          <w:szCs w:val="32"/>
          <w:lang w:eastAsia="zh-CN"/>
        </w:rPr>
      </w:pPr>
      <w:bookmarkStart w:id="440" w:name="_GoBack"/>
      <w:bookmarkEnd w:id="440"/>
    </w:p>
    <w:p>
      <w:pPr>
        <w:spacing w:line="372" w:lineRule="exact"/>
        <w:ind w:left="399" w:right="856"/>
        <w:jc w:val="center"/>
        <w:rPr>
          <w:rFonts w:ascii="Times New Roman" w:hAnsi="Times New Roman"/>
          <w:b/>
          <w:color w:val="auto"/>
          <w:sz w:val="32"/>
          <w:szCs w:val="32"/>
          <w:lang w:eastAsia="zh-CN"/>
        </w:rPr>
      </w:pPr>
    </w:p>
    <w:p>
      <w:pPr>
        <w:spacing w:line="372" w:lineRule="exact"/>
        <w:ind w:left="399" w:right="856"/>
        <w:jc w:val="center"/>
        <w:rPr>
          <w:rFonts w:ascii="Times New Roman" w:hAnsi="Times New Roman"/>
          <w:b/>
          <w:color w:val="auto"/>
          <w:sz w:val="32"/>
          <w:szCs w:val="32"/>
          <w:lang w:eastAsia="zh-CN"/>
        </w:rPr>
      </w:pPr>
      <w:r>
        <w:rPr>
          <w:rFonts w:hint="eastAsia" w:ascii="Times New Roman" w:hAnsi="Times New Roman"/>
          <w:b/>
          <w:color w:val="auto"/>
          <w:sz w:val="32"/>
          <w:szCs w:val="32"/>
          <w:lang w:eastAsia="zh-CN"/>
        </w:rPr>
        <w:t>目  录</w:t>
      </w:r>
    </w:p>
    <w:p>
      <w:pPr>
        <w:spacing w:line="372" w:lineRule="exact"/>
        <w:ind w:left="399" w:right="856"/>
        <w:jc w:val="center"/>
        <w:rPr>
          <w:rFonts w:ascii="Times New Roman" w:hAnsi="Times New Roman"/>
          <w:b/>
          <w:color w:val="auto"/>
          <w:sz w:val="24"/>
          <w:szCs w:val="24"/>
          <w:lang w:eastAsia="zh-CN"/>
        </w:rPr>
      </w:pPr>
    </w:p>
    <w:p>
      <w:pPr>
        <w:pStyle w:val="24"/>
        <w:tabs>
          <w:tab w:val="left" w:pos="880"/>
          <w:tab w:val="right" w:leader="dot" w:pos="8498"/>
        </w:tabs>
        <w:spacing w:line="600" w:lineRule="auto"/>
        <w:rPr>
          <w:rFonts w:asciiTheme="minorEastAsia" w:hAnsiTheme="minorEastAsia" w:eastAsiaTheme="minorEastAsia" w:cstheme="minorBidi"/>
          <w:b w:val="0"/>
          <w:bCs w:val="0"/>
          <w:caps w:val="0"/>
          <w:color w:val="auto"/>
          <w:kern w:val="2"/>
          <w:sz w:val="32"/>
          <w:szCs w:val="22"/>
          <w:lang w:eastAsia="zh-CN"/>
        </w:rPr>
      </w:pPr>
      <w:r>
        <w:rPr>
          <w:rFonts w:ascii="Times New Roman" w:hAnsi="Times New Roman"/>
          <w:b w:val="0"/>
          <w:color w:val="auto"/>
          <w:sz w:val="48"/>
          <w:szCs w:val="24"/>
          <w:lang w:eastAsia="zh-CN"/>
        </w:rPr>
        <w:fldChar w:fldCharType="begin"/>
      </w:r>
      <w:r>
        <w:rPr>
          <w:rFonts w:ascii="Times New Roman" w:hAnsi="Times New Roman"/>
          <w:b w:val="0"/>
          <w:color w:val="auto"/>
          <w:sz w:val="48"/>
          <w:szCs w:val="24"/>
          <w:lang w:eastAsia="zh-CN"/>
        </w:rPr>
        <w:instrText xml:space="preserve"> TOC \o "1-1" \h \z \u </w:instrText>
      </w:r>
      <w:r>
        <w:rPr>
          <w:rFonts w:ascii="Times New Roman" w:hAnsi="Times New Roman"/>
          <w:b w:val="0"/>
          <w:color w:val="auto"/>
          <w:sz w:val="48"/>
          <w:szCs w:val="24"/>
          <w:lang w:eastAsia="zh-CN"/>
        </w:rPr>
        <w:fldChar w:fldCharType="separate"/>
      </w:r>
      <w:r>
        <w:rPr>
          <w:color w:val="auto"/>
        </w:rPr>
        <w:fldChar w:fldCharType="begin"/>
      </w:r>
      <w:r>
        <w:rPr>
          <w:color w:val="auto"/>
        </w:rPr>
        <w:instrText xml:space="preserve"> HYPERLINK \l "_Toc42528020" </w:instrText>
      </w:r>
      <w:r>
        <w:rPr>
          <w:color w:val="auto"/>
        </w:rPr>
        <w:fldChar w:fldCharType="separate"/>
      </w:r>
      <w:r>
        <w:rPr>
          <w:rStyle w:val="42"/>
          <w:rFonts w:hint="eastAsia" w:asciiTheme="minorEastAsia" w:hAnsiTheme="minorEastAsia" w:eastAsiaTheme="minorEastAsia"/>
          <w:b w:val="0"/>
          <w:color w:val="auto"/>
          <w:sz w:val="28"/>
          <w:lang w:eastAsia="zh-CN"/>
        </w:rPr>
        <w:t>第一章</w:t>
      </w:r>
      <w:r>
        <w:rPr>
          <w:rFonts w:asciiTheme="minorEastAsia" w:hAnsiTheme="minorEastAsia" w:eastAsiaTheme="minorEastAsia" w:cstheme="minorBidi"/>
          <w:b w:val="0"/>
          <w:bCs w:val="0"/>
          <w:caps w:val="0"/>
          <w:color w:val="auto"/>
          <w:kern w:val="2"/>
          <w:sz w:val="32"/>
          <w:szCs w:val="22"/>
          <w:lang w:eastAsia="zh-CN"/>
        </w:rPr>
        <w:tab/>
      </w:r>
      <w:r>
        <w:rPr>
          <w:rStyle w:val="42"/>
          <w:rFonts w:hint="eastAsia" w:asciiTheme="minorEastAsia" w:hAnsiTheme="minorEastAsia" w:eastAsiaTheme="minorEastAsia"/>
          <w:b w:val="0"/>
          <w:color w:val="auto"/>
          <w:sz w:val="28"/>
          <w:lang w:eastAsia="zh-CN"/>
        </w:rPr>
        <w:t>招标公告</w:t>
      </w:r>
      <w:r>
        <w:rPr>
          <w:rFonts w:asciiTheme="minorEastAsia" w:hAnsiTheme="minorEastAsia" w:eastAsiaTheme="minorEastAsia"/>
          <w:b w:val="0"/>
          <w:color w:val="auto"/>
          <w:sz w:val="28"/>
        </w:rPr>
        <w:tab/>
      </w:r>
      <w:r>
        <w:rPr>
          <w:rFonts w:asciiTheme="minorEastAsia" w:hAnsiTheme="minorEastAsia" w:eastAsiaTheme="minorEastAsia"/>
          <w:b w:val="0"/>
          <w:color w:val="auto"/>
          <w:sz w:val="28"/>
        </w:rPr>
        <w:fldChar w:fldCharType="begin"/>
      </w:r>
      <w:r>
        <w:rPr>
          <w:rFonts w:asciiTheme="minorEastAsia" w:hAnsiTheme="minorEastAsia" w:eastAsiaTheme="minorEastAsia"/>
          <w:b w:val="0"/>
          <w:color w:val="auto"/>
          <w:sz w:val="28"/>
        </w:rPr>
        <w:instrText xml:space="preserve"> PAGEREF _Toc42528020 \h </w:instrText>
      </w:r>
      <w:r>
        <w:rPr>
          <w:rFonts w:asciiTheme="minorEastAsia" w:hAnsiTheme="minorEastAsia" w:eastAsiaTheme="minorEastAsia"/>
          <w:b w:val="0"/>
          <w:color w:val="auto"/>
          <w:sz w:val="28"/>
        </w:rPr>
        <w:fldChar w:fldCharType="separate"/>
      </w:r>
      <w:r>
        <w:rPr>
          <w:rFonts w:asciiTheme="minorEastAsia" w:hAnsiTheme="minorEastAsia" w:eastAsiaTheme="minorEastAsia"/>
          <w:b w:val="0"/>
          <w:color w:val="auto"/>
          <w:sz w:val="28"/>
        </w:rPr>
        <w:t>1</w:t>
      </w:r>
      <w:r>
        <w:rPr>
          <w:rFonts w:asciiTheme="minorEastAsia" w:hAnsiTheme="minorEastAsia" w:eastAsiaTheme="minorEastAsia"/>
          <w:b w:val="0"/>
          <w:color w:val="auto"/>
          <w:sz w:val="28"/>
        </w:rPr>
        <w:fldChar w:fldCharType="end"/>
      </w:r>
      <w:r>
        <w:rPr>
          <w:rFonts w:asciiTheme="minorEastAsia" w:hAnsiTheme="minorEastAsia" w:eastAsiaTheme="minorEastAsia"/>
          <w:b w:val="0"/>
          <w:color w:val="auto"/>
          <w:sz w:val="28"/>
        </w:rPr>
        <w:fldChar w:fldCharType="end"/>
      </w:r>
    </w:p>
    <w:p>
      <w:pPr>
        <w:pStyle w:val="24"/>
        <w:tabs>
          <w:tab w:val="left" w:pos="880"/>
          <w:tab w:val="right" w:leader="dot" w:pos="8498"/>
        </w:tabs>
        <w:spacing w:line="600" w:lineRule="auto"/>
        <w:rPr>
          <w:rFonts w:asciiTheme="minorEastAsia" w:hAnsiTheme="minorEastAsia" w:eastAsiaTheme="minorEastAsia" w:cstheme="minorBidi"/>
          <w:b w:val="0"/>
          <w:bCs w:val="0"/>
          <w:caps w:val="0"/>
          <w:color w:val="auto"/>
          <w:kern w:val="2"/>
          <w:sz w:val="32"/>
          <w:szCs w:val="22"/>
          <w:lang w:eastAsia="zh-CN"/>
        </w:rPr>
      </w:pPr>
      <w:r>
        <w:rPr>
          <w:color w:val="auto"/>
        </w:rPr>
        <w:fldChar w:fldCharType="begin"/>
      </w:r>
      <w:r>
        <w:rPr>
          <w:color w:val="auto"/>
        </w:rPr>
        <w:instrText xml:space="preserve"> HYPERLINK \l "_Toc42528021" </w:instrText>
      </w:r>
      <w:r>
        <w:rPr>
          <w:color w:val="auto"/>
        </w:rPr>
        <w:fldChar w:fldCharType="separate"/>
      </w:r>
      <w:r>
        <w:rPr>
          <w:rStyle w:val="42"/>
          <w:rFonts w:hint="eastAsia" w:asciiTheme="minorEastAsia" w:hAnsiTheme="minorEastAsia" w:eastAsiaTheme="minorEastAsia"/>
          <w:b w:val="0"/>
          <w:color w:val="auto"/>
          <w:sz w:val="28"/>
          <w:lang w:eastAsia="zh-CN"/>
        </w:rPr>
        <w:t>第二章</w:t>
      </w:r>
      <w:r>
        <w:rPr>
          <w:rFonts w:asciiTheme="minorEastAsia" w:hAnsiTheme="minorEastAsia" w:eastAsiaTheme="minorEastAsia" w:cstheme="minorBidi"/>
          <w:b w:val="0"/>
          <w:bCs w:val="0"/>
          <w:caps w:val="0"/>
          <w:color w:val="auto"/>
          <w:kern w:val="2"/>
          <w:sz w:val="32"/>
          <w:szCs w:val="22"/>
          <w:lang w:eastAsia="zh-CN"/>
        </w:rPr>
        <w:tab/>
      </w:r>
      <w:r>
        <w:rPr>
          <w:rStyle w:val="42"/>
          <w:rFonts w:hint="eastAsia" w:asciiTheme="minorEastAsia" w:hAnsiTheme="minorEastAsia" w:eastAsiaTheme="minorEastAsia"/>
          <w:b w:val="0"/>
          <w:color w:val="auto"/>
          <w:sz w:val="28"/>
          <w:lang w:eastAsia="zh-CN"/>
        </w:rPr>
        <w:t>投标人须知</w:t>
      </w:r>
      <w:r>
        <w:rPr>
          <w:rFonts w:asciiTheme="minorEastAsia" w:hAnsiTheme="minorEastAsia" w:eastAsiaTheme="minorEastAsia"/>
          <w:b w:val="0"/>
          <w:color w:val="auto"/>
          <w:sz w:val="28"/>
        </w:rPr>
        <w:tab/>
      </w:r>
      <w:r>
        <w:rPr>
          <w:rFonts w:asciiTheme="minorEastAsia" w:hAnsiTheme="minorEastAsia" w:eastAsiaTheme="minorEastAsia"/>
          <w:b w:val="0"/>
          <w:color w:val="auto"/>
          <w:sz w:val="28"/>
        </w:rPr>
        <w:fldChar w:fldCharType="begin"/>
      </w:r>
      <w:r>
        <w:rPr>
          <w:rFonts w:asciiTheme="minorEastAsia" w:hAnsiTheme="minorEastAsia" w:eastAsiaTheme="minorEastAsia"/>
          <w:b w:val="0"/>
          <w:color w:val="auto"/>
          <w:sz w:val="28"/>
        </w:rPr>
        <w:instrText xml:space="preserve"> PAGEREF _Toc42528021 \h </w:instrText>
      </w:r>
      <w:r>
        <w:rPr>
          <w:rFonts w:asciiTheme="minorEastAsia" w:hAnsiTheme="minorEastAsia" w:eastAsiaTheme="minorEastAsia"/>
          <w:b w:val="0"/>
          <w:color w:val="auto"/>
          <w:sz w:val="28"/>
        </w:rPr>
        <w:fldChar w:fldCharType="separate"/>
      </w:r>
      <w:r>
        <w:rPr>
          <w:rFonts w:asciiTheme="minorEastAsia" w:hAnsiTheme="minorEastAsia" w:eastAsiaTheme="minorEastAsia"/>
          <w:b w:val="0"/>
          <w:color w:val="auto"/>
          <w:sz w:val="28"/>
        </w:rPr>
        <w:t>4</w:t>
      </w:r>
      <w:r>
        <w:rPr>
          <w:rFonts w:asciiTheme="minorEastAsia" w:hAnsiTheme="minorEastAsia" w:eastAsiaTheme="minorEastAsia"/>
          <w:b w:val="0"/>
          <w:color w:val="auto"/>
          <w:sz w:val="28"/>
        </w:rPr>
        <w:fldChar w:fldCharType="end"/>
      </w:r>
      <w:r>
        <w:rPr>
          <w:rFonts w:asciiTheme="minorEastAsia" w:hAnsiTheme="minorEastAsia" w:eastAsiaTheme="minorEastAsia"/>
          <w:b w:val="0"/>
          <w:color w:val="auto"/>
          <w:sz w:val="28"/>
        </w:rPr>
        <w:fldChar w:fldCharType="end"/>
      </w:r>
    </w:p>
    <w:p>
      <w:pPr>
        <w:pStyle w:val="24"/>
        <w:tabs>
          <w:tab w:val="right" w:leader="dot" w:pos="8498"/>
        </w:tabs>
        <w:spacing w:line="600" w:lineRule="auto"/>
        <w:rPr>
          <w:rFonts w:asciiTheme="minorEastAsia" w:hAnsiTheme="minorEastAsia" w:eastAsiaTheme="minorEastAsia" w:cstheme="minorBidi"/>
          <w:b w:val="0"/>
          <w:bCs w:val="0"/>
          <w:caps w:val="0"/>
          <w:color w:val="auto"/>
          <w:kern w:val="2"/>
          <w:sz w:val="32"/>
          <w:szCs w:val="22"/>
          <w:lang w:eastAsia="zh-CN"/>
        </w:rPr>
      </w:pPr>
      <w:r>
        <w:rPr>
          <w:color w:val="auto"/>
        </w:rPr>
        <w:fldChar w:fldCharType="begin"/>
      </w:r>
      <w:r>
        <w:rPr>
          <w:color w:val="auto"/>
        </w:rPr>
        <w:instrText xml:space="preserve"> HYPERLINK \l "_Toc42528022" </w:instrText>
      </w:r>
      <w:r>
        <w:rPr>
          <w:color w:val="auto"/>
        </w:rPr>
        <w:fldChar w:fldCharType="separate"/>
      </w:r>
      <w:r>
        <w:rPr>
          <w:rStyle w:val="42"/>
          <w:rFonts w:hint="eastAsia" w:asciiTheme="minorEastAsia" w:hAnsiTheme="minorEastAsia" w:eastAsiaTheme="minorEastAsia"/>
          <w:b w:val="0"/>
          <w:color w:val="auto"/>
          <w:sz w:val="28"/>
          <w:lang w:eastAsia="zh-CN"/>
        </w:rPr>
        <w:t>第三章</w:t>
      </w:r>
      <w:r>
        <w:rPr>
          <w:rStyle w:val="42"/>
          <w:rFonts w:asciiTheme="minorEastAsia" w:hAnsiTheme="minorEastAsia" w:eastAsiaTheme="minorEastAsia"/>
          <w:b w:val="0"/>
          <w:color w:val="auto"/>
          <w:sz w:val="28"/>
          <w:lang w:eastAsia="zh-CN"/>
        </w:rPr>
        <w:t xml:space="preserve"> </w:t>
      </w:r>
      <w:r>
        <w:rPr>
          <w:rStyle w:val="42"/>
          <w:rFonts w:hint="eastAsia" w:asciiTheme="minorEastAsia" w:hAnsiTheme="minorEastAsia" w:eastAsiaTheme="minorEastAsia"/>
          <w:b w:val="0"/>
          <w:color w:val="auto"/>
          <w:sz w:val="28"/>
          <w:lang w:eastAsia="zh-CN"/>
        </w:rPr>
        <w:t>采购需求</w:t>
      </w:r>
      <w:r>
        <w:rPr>
          <w:rFonts w:asciiTheme="minorEastAsia" w:hAnsiTheme="minorEastAsia" w:eastAsiaTheme="minorEastAsia"/>
          <w:b w:val="0"/>
          <w:color w:val="auto"/>
          <w:sz w:val="28"/>
        </w:rPr>
        <w:tab/>
      </w:r>
      <w:r>
        <w:rPr>
          <w:rFonts w:asciiTheme="minorEastAsia" w:hAnsiTheme="minorEastAsia" w:eastAsiaTheme="minorEastAsia"/>
          <w:b w:val="0"/>
          <w:color w:val="auto"/>
          <w:sz w:val="28"/>
        </w:rPr>
        <w:fldChar w:fldCharType="begin"/>
      </w:r>
      <w:r>
        <w:rPr>
          <w:rFonts w:asciiTheme="minorEastAsia" w:hAnsiTheme="minorEastAsia" w:eastAsiaTheme="minorEastAsia"/>
          <w:b w:val="0"/>
          <w:color w:val="auto"/>
          <w:sz w:val="28"/>
        </w:rPr>
        <w:instrText xml:space="preserve"> PAGEREF _Toc42528022 \h </w:instrText>
      </w:r>
      <w:r>
        <w:rPr>
          <w:rFonts w:asciiTheme="minorEastAsia" w:hAnsiTheme="minorEastAsia" w:eastAsiaTheme="minorEastAsia"/>
          <w:b w:val="0"/>
          <w:color w:val="auto"/>
          <w:sz w:val="28"/>
        </w:rPr>
        <w:fldChar w:fldCharType="separate"/>
      </w:r>
      <w:r>
        <w:rPr>
          <w:rFonts w:asciiTheme="minorEastAsia" w:hAnsiTheme="minorEastAsia" w:eastAsiaTheme="minorEastAsia"/>
          <w:b w:val="0"/>
          <w:color w:val="auto"/>
          <w:sz w:val="28"/>
        </w:rPr>
        <w:t>22</w:t>
      </w:r>
      <w:r>
        <w:rPr>
          <w:rFonts w:asciiTheme="minorEastAsia" w:hAnsiTheme="minorEastAsia" w:eastAsiaTheme="minorEastAsia"/>
          <w:b w:val="0"/>
          <w:color w:val="auto"/>
          <w:sz w:val="28"/>
        </w:rPr>
        <w:fldChar w:fldCharType="end"/>
      </w:r>
      <w:r>
        <w:rPr>
          <w:rFonts w:asciiTheme="minorEastAsia" w:hAnsiTheme="minorEastAsia" w:eastAsiaTheme="minorEastAsia"/>
          <w:b w:val="0"/>
          <w:color w:val="auto"/>
          <w:sz w:val="28"/>
        </w:rPr>
        <w:fldChar w:fldCharType="end"/>
      </w:r>
    </w:p>
    <w:p>
      <w:pPr>
        <w:pStyle w:val="24"/>
        <w:tabs>
          <w:tab w:val="left" w:pos="880"/>
          <w:tab w:val="right" w:leader="dot" w:pos="8498"/>
        </w:tabs>
        <w:spacing w:line="600" w:lineRule="auto"/>
        <w:rPr>
          <w:rFonts w:asciiTheme="minorEastAsia" w:hAnsiTheme="minorEastAsia" w:eastAsiaTheme="minorEastAsia" w:cstheme="minorBidi"/>
          <w:b w:val="0"/>
          <w:bCs w:val="0"/>
          <w:caps w:val="0"/>
          <w:color w:val="auto"/>
          <w:kern w:val="2"/>
          <w:sz w:val="32"/>
          <w:szCs w:val="22"/>
          <w:lang w:eastAsia="zh-CN"/>
        </w:rPr>
      </w:pPr>
      <w:r>
        <w:rPr>
          <w:color w:val="auto"/>
        </w:rPr>
        <w:fldChar w:fldCharType="begin"/>
      </w:r>
      <w:r>
        <w:rPr>
          <w:color w:val="auto"/>
        </w:rPr>
        <w:instrText xml:space="preserve"> HYPERLINK \l "_Toc42528023" </w:instrText>
      </w:r>
      <w:r>
        <w:rPr>
          <w:color w:val="auto"/>
        </w:rPr>
        <w:fldChar w:fldCharType="separate"/>
      </w:r>
      <w:r>
        <w:rPr>
          <w:rStyle w:val="42"/>
          <w:rFonts w:hint="eastAsia" w:asciiTheme="minorEastAsia" w:hAnsiTheme="minorEastAsia" w:eastAsiaTheme="minorEastAsia"/>
          <w:b w:val="0"/>
          <w:color w:val="auto"/>
          <w:sz w:val="28"/>
          <w:lang w:eastAsia="zh-CN"/>
        </w:rPr>
        <w:t>第四章</w:t>
      </w:r>
      <w:r>
        <w:rPr>
          <w:rFonts w:asciiTheme="minorEastAsia" w:hAnsiTheme="minorEastAsia" w:eastAsiaTheme="minorEastAsia" w:cstheme="minorBidi"/>
          <w:b w:val="0"/>
          <w:bCs w:val="0"/>
          <w:caps w:val="0"/>
          <w:color w:val="auto"/>
          <w:kern w:val="2"/>
          <w:sz w:val="32"/>
          <w:szCs w:val="22"/>
          <w:lang w:eastAsia="zh-CN"/>
        </w:rPr>
        <w:tab/>
      </w:r>
      <w:r>
        <w:rPr>
          <w:rStyle w:val="42"/>
          <w:rFonts w:hint="eastAsia" w:asciiTheme="minorEastAsia" w:hAnsiTheme="minorEastAsia" w:eastAsiaTheme="minorEastAsia"/>
          <w:b w:val="0"/>
          <w:color w:val="auto"/>
          <w:sz w:val="28"/>
          <w:lang w:eastAsia="zh-CN"/>
        </w:rPr>
        <w:t>资格审查及评标标准和方法</w:t>
      </w:r>
      <w:r>
        <w:rPr>
          <w:rFonts w:asciiTheme="minorEastAsia" w:hAnsiTheme="minorEastAsia" w:eastAsiaTheme="minorEastAsia"/>
          <w:b w:val="0"/>
          <w:color w:val="auto"/>
          <w:sz w:val="28"/>
        </w:rPr>
        <w:tab/>
      </w:r>
      <w:r>
        <w:rPr>
          <w:rFonts w:asciiTheme="minorEastAsia" w:hAnsiTheme="minorEastAsia" w:eastAsiaTheme="minorEastAsia"/>
          <w:b w:val="0"/>
          <w:color w:val="auto"/>
          <w:sz w:val="28"/>
        </w:rPr>
        <w:fldChar w:fldCharType="begin"/>
      </w:r>
      <w:r>
        <w:rPr>
          <w:rFonts w:asciiTheme="minorEastAsia" w:hAnsiTheme="minorEastAsia" w:eastAsiaTheme="minorEastAsia"/>
          <w:b w:val="0"/>
          <w:color w:val="auto"/>
          <w:sz w:val="28"/>
        </w:rPr>
        <w:instrText xml:space="preserve"> PAGEREF _Toc42528023 \h </w:instrText>
      </w:r>
      <w:r>
        <w:rPr>
          <w:rFonts w:asciiTheme="minorEastAsia" w:hAnsiTheme="minorEastAsia" w:eastAsiaTheme="minorEastAsia"/>
          <w:b w:val="0"/>
          <w:color w:val="auto"/>
          <w:sz w:val="28"/>
        </w:rPr>
        <w:fldChar w:fldCharType="separate"/>
      </w:r>
      <w:r>
        <w:rPr>
          <w:rFonts w:asciiTheme="minorEastAsia" w:hAnsiTheme="minorEastAsia" w:eastAsiaTheme="minorEastAsia"/>
          <w:b w:val="0"/>
          <w:color w:val="auto"/>
          <w:sz w:val="28"/>
        </w:rPr>
        <w:t>28</w:t>
      </w:r>
      <w:r>
        <w:rPr>
          <w:rFonts w:asciiTheme="minorEastAsia" w:hAnsiTheme="minorEastAsia" w:eastAsiaTheme="minorEastAsia"/>
          <w:b w:val="0"/>
          <w:color w:val="auto"/>
          <w:sz w:val="28"/>
        </w:rPr>
        <w:fldChar w:fldCharType="end"/>
      </w:r>
      <w:r>
        <w:rPr>
          <w:rFonts w:asciiTheme="minorEastAsia" w:hAnsiTheme="minorEastAsia" w:eastAsiaTheme="minorEastAsia"/>
          <w:b w:val="0"/>
          <w:color w:val="auto"/>
          <w:sz w:val="28"/>
        </w:rPr>
        <w:fldChar w:fldCharType="end"/>
      </w:r>
    </w:p>
    <w:p>
      <w:pPr>
        <w:pStyle w:val="24"/>
        <w:tabs>
          <w:tab w:val="left" w:pos="880"/>
          <w:tab w:val="right" w:leader="dot" w:pos="8498"/>
        </w:tabs>
        <w:spacing w:line="600" w:lineRule="auto"/>
        <w:rPr>
          <w:rFonts w:asciiTheme="minorEastAsia" w:hAnsiTheme="minorEastAsia" w:eastAsiaTheme="minorEastAsia" w:cstheme="minorBidi"/>
          <w:b w:val="0"/>
          <w:bCs w:val="0"/>
          <w:caps w:val="0"/>
          <w:color w:val="auto"/>
          <w:kern w:val="2"/>
          <w:sz w:val="32"/>
          <w:szCs w:val="22"/>
          <w:lang w:eastAsia="zh-CN"/>
        </w:rPr>
      </w:pPr>
      <w:r>
        <w:rPr>
          <w:color w:val="auto"/>
        </w:rPr>
        <w:fldChar w:fldCharType="begin"/>
      </w:r>
      <w:r>
        <w:rPr>
          <w:color w:val="auto"/>
        </w:rPr>
        <w:instrText xml:space="preserve"> HYPERLINK \l "_Toc42528024" </w:instrText>
      </w:r>
      <w:r>
        <w:rPr>
          <w:color w:val="auto"/>
        </w:rPr>
        <w:fldChar w:fldCharType="separate"/>
      </w:r>
      <w:r>
        <w:rPr>
          <w:rStyle w:val="42"/>
          <w:rFonts w:hint="eastAsia" w:asciiTheme="minorEastAsia" w:hAnsiTheme="minorEastAsia" w:eastAsiaTheme="minorEastAsia"/>
          <w:b w:val="0"/>
          <w:color w:val="auto"/>
          <w:sz w:val="28"/>
          <w:lang w:eastAsia="zh-CN"/>
        </w:rPr>
        <w:t>第五章</w:t>
      </w:r>
      <w:r>
        <w:rPr>
          <w:rFonts w:asciiTheme="minorEastAsia" w:hAnsiTheme="minorEastAsia" w:eastAsiaTheme="minorEastAsia" w:cstheme="minorBidi"/>
          <w:b w:val="0"/>
          <w:bCs w:val="0"/>
          <w:caps w:val="0"/>
          <w:color w:val="auto"/>
          <w:kern w:val="2"/>
          <w:sz w:val="32"/>
          <w:szCs w:val="22"/>
          <w:lang w:eastAsia="zh-CN"/>
        </w:rPr>
        <w:tab/>
      </w:r>
      <w:r>
        <w:rPr>
          <w:rStyle w:val="42"/>
          <w:rFonts w:hint="eastAsia" w:asciiTheme="minorEastAsia" w:hAnsiTheme="minorEastAsia" w:eastAsiaTheme="minorEastAsia"/>
          <w:b w:val="0"/>
          <w:color w:val="auto"/>
          <w:sz w:val="28"/>
          <w:lang w:eastAsia="zh-CN"/>
        </w:rPr>
        <w:t>合同</w:t>
      </w:r>
      <w:r>
        <w:rPr>
          <w:rFonts w:asciiTheme="minorEastAsia" w:hAnsiTheme="minorEastAsia" w:eastAsiaTheme="minorEastAsia"/>
          <w:b w:val="0"/>
          <w:color w:val="auto"/>
          <w:sz w:val="28"/>
        </w:rPr>
        <w:tab/>
      </w:r>
      <w:r>
        <w:rPr>
          <w:rFonts w:asciiTheme="minorEastAsia" w:hAnsiTheme="minorEastAsia" w:eastAsiaTheme="minorEastAsia"/>
          <w:b w:val="0"/>
          <w:color w:val="auto"/>
          <w:sz w:val="28"/>
        </w:rPr>
        <w:fldChar w:fldCharType="begin"/>
      </w:r>
      <w:r>
        <w:rPr>
          <w:rFonts w:asciiTheme="minorEastAsia" w:hAnsiTheme="minorEastAsia" w:eastAsiaTheme="minorEastAsia"/>
          <w:b w:val="0"/>
          <w:color w:val="auto"/>
          <w:sz w:val="28"/>
        </w:rPr>
        <w:instrText xml:space="preserve"> PAGEREF _Toc42528024 \h </w:instrText>
      </w:r>
      <w:r>
        <w:rPr>
          <w:rFonts w:asciiTheme="minorEastAsia" w:hAnsiTheme="minorEastAsia" w:eastAsiaTheme="minorEastAsia"/>
          <w:b w:val="0"/>
          <w:color w:val="auto"/>
          <w:sz w:val="28"/>
        </w:rPr>
        <w:fldChar w:fldCharType="separate"/>
      </w:r>
      <w:r>
        <w:rPr>
          <w:rFonts w:asciiTheme="minorEastAsia" w:hAnsiTheme="minorEastAsia" w:eastAsiaTheme="minorEastAsia"/>
          <w:b w:val="0"/>
          <w:color w:val="auto"/>
          <w:sz w:val="28"/>
        </w:rPr>
        <w:t>45</w:t>
      </w:r>
      <w:r>
        <w:rPr>
          <w:rFonts w:asciiTheme="minorEastAsia" w:hAnsiTheme="minorEastAsia" w:eastAsiaTheme="minorEastAsia"/>
          <w:b w:val="0"/>
          <w:color w:val="auto"/>
          <w:sz w:val="28"/>
        </w:rPr>
        <w:fldChar w:fldCharType="end"/>
      </w:r>
      <w:r>
        <w:rPr>
          <w:rFonts w:asciiTheme="minorEastAsia" w:hAnsiTheme="minorEastAsia" w:eastAsiaTheme="minorEastAsia"/>
          <w:b w:val="0"/>
          <w:color w:val="auto"/>
          <w:sz w:val="28"/>
        </w:rPr>
        <w:fldChar w:fldCharType="end"/>
      </w:r>
    </w:p>
    <w:p>
      <w:pPr>
        <w:pStyle w:val="24"/>
        <w:tabs>
          <w:tab w:val="left" w:pos="880"/>
          <w:tab w:val="right" w:leader="dot" w:pos="8498"/>
        </w:tabs>
        <w:spacing w:line="600" w:lineRule="auto"/>
        <w:rPr>
          <w:rFonts w:asciiTheme="minorEastAsia" w:hAnsiTheme="minorEastAsia" w:eastAsiaTheme="minorEastAsia" w:cstheme="minorBidi"/>
          <w:b w:val="0"/>
          <w:bCs w:val="0"/>
          <w:caps w:val="0"/>
          <w:color w:val="auto"/>
          <w:kern w:val="2"/>
          <w:sz w:val="32"/>
          <w:szCs w:val="22"/>
          <w:lang w:eastAsia="zh-CN"/>
        </w:rPr>
      </w:pPr>
      <w:r>
        <w:rPr>
          <w:color w:val="auto"/>
        </w:rPr>
        <w:fldChar w:fldCharType="begin"/>
      </w:r>
      <w:r>
        <w:rPr>
          <w:color w:val="auto"/>
        </w:rPr>
        <w:instrText xml:space="preserve"> HYPERLINK \l "_Toc42528025" </w:instrText>
      </w:r>
      <w:r>
        <w:rPr>
          <w:color w:val="auto"/>
        </w:rPr>
        <w:fldChar w:fldCharType="separate"/>
      </w:r>
      <w:r>
        <w:rPr>
          <w:rStyle w:val="42"/>
          <w:rFonts w:hint="eastAsia" w:asciiTheme="minorEastAsia" w:hAnsiTheme="minorEastAsia" w:eastAsiaTheme="minorEastAsia"/>
          <w:b w:val="0"/>
          <w:color w:val="auto"/>
          <w:sz w:val="28"/>
          <w:lang w:eastAsia="zh-CN"/>
        </w:rPr>
        <w:t>第六章</w:t>
      </w:r>
      <w:r>
        <w:rPr>
          <w:rFonts w:asciiTheme="minorEastAsia" w:hAnsiTheme="minorEastAsia" w:eastAsiaTheme="minorEastAsia" w:cstheme="minorBidi"/>
          <w:b w:val="0"/>
          <w:bCs w:val="0"/>
          <w:caps w:val="0"/>
          <w:color w:val="auto"/>
          <w:kern w:val="2"/>
          <w:sz w:val="32"/>
          <w:szCs w:val="22"/>
          <w:lang w:eastAsia="zh-CN"/>
        </w:rPr>
        <w:tab/>
      </w:r>
      <w:r>
        <w:rPr>
          <w:rStyle w:val="42"/>
          <w:rFonts w:hint="eastAsia" w:asciiTheme="minorEastAsia" w:hAnsiTheme="minorEastAsia" w:eastAsiaTheme="minorEastAsia"/>
          <w:b w:val="0"/>
          <w:color w:val="auto"/>
          <w:sz w:val="28"/>
          <w:lang w:eastAsia="zh-CN"/>
        </w:rPr>
        <w:t>投标文件格式</w:t>
      </w:r>
      <w:r>
        <w:rPr>
          <w:rFonts w:asciiTheme="minorEastAsia" w:hAnsiTheme="minorEastAsia" w:eastAsiaTheme="minorEastAsia"/>
          <w:b w:val="0"/>
          <w:color w:val="auto"/>
          <w:sz w:val="28"/>
        </w:rPr>
        <w:tab/>
      </w:r>
      <w:r>
        <w:rPr>
          <w:rFonts w:asciiTheme="minorEastAsia" w:hAnsiTheme="minorEastAsia" w:eastAsiaTheme="minorEastAsia"/>
          <w:b w:val="0"/>
          <w:color w:val="auto"/>
          <w:sz w:val="28"/>
        </w:rPr>
        <w:fldChar w:fldCharType="begin"/>
      </w:r>
      <w:r>
        <w:rPr>
          <w:rFonts w:asciiTheme="minorEastAsia" w:hAnsiTheme="minorEastAsia" w:eastAsiaTheme="minorEastAsia"/>
          <w:b w:val="0"/>
          <w:color w:val="auto"/>
          <w:sz w:val="28"/>
        </w:rPr>
        <w:instrText xml:space="preserve"> PAGEREF _Toc42528025 \h </w:instrText>
      </w:r>
      <w:r>
        <w:rPr>
          <w:rFonts w:asciiTheme="minorEastAsia" w:hAnsiTheme="minorEastAsia" w:eastAsiaTheme="minorEastAsia"/>
          <w:b w:val="0"/>
          <w:color w:val="auto"/>
          <w:sz w:val="28"/>
        </w:rPr>
        <w:fldChar w:fldCharType="separate"/>
      </w:r>
      <w:r>
        <w:rPr>
          <w:rFonts w:asciiTheme="minorEastAsia" w:hAnsiTheme="minorEastAsia" w:eastAsiaTheme="minorEastAsia"/>
          <w:b w:val="0"/>
          <w:color w:val="auto"/>
          <w:sz w:val="28"/>
        </w:rPr>
        <w:t>63</w:t>
      </w:r>
      <w:r>
        <w:rPr>
          <w:rFonts w:asciiTheme="minorEastAsia" w:hAnsiTheme="minorEastAsia" w:eastAsiaTheme="minorEastAsia"/>
          <w:b w:val="0"/>
          <w:color w:val="auto"/>
          <w:sz w:val="28"/>
        </w:rPr>
        <w:fldChar w:fldCharType="end"/>
      </w:r>
      <w:r>
        <w:rPr>
          <w:rFonts w:asciiTheme="minorEastAsia" w:hAnsiTheme="minorEastAsia" w:eastAsiaTheme="minorEastAsia"/>
          <w:b w:val="0"/>
          <w:color w:val="auto"/>
          <w:sz w:val="28"/>
        </w:rPr>
        <w:fldChar w:fldCharType="end"/>
      </w:r>
    </w:p>
    <w:p>
      <w:pPr>
        <w:spacing w:line="600" w:lineRule="auto"/>
        <w:ind w:left="399" w:right="856"/>
        <w:jc w:val="center"/>
        <w:rPr>
          <w:rFonts w:ascii="Times New Roman" w:hAnsi="Times New Roman"/>
          <w:b/>
          <w:color w:val="auto"/>
          <w:sz w:val="24"/>
          <w:szCs w:val="24"/>
          <w:lang w:eastAsia="zh-CN"/>
        </w:rPr>
      </w:pPr>
      <w:r>
        <w:rPr>
          <w:rFonts w:ascii="Times New Roman" w:hAnsi="Times New Roman"/>
          <w:b/>
          <w:color w:val="auto"/>
          <w:sz w:val="48"/>
          <w:szCs w:val="24"/>
          <w:lang w:eastAsia="zh-CN"/>
        </w:rPr>
        <w:fldChar w:fldCharType="end"/>
      </w:r>
    </w:p>
    <w:p>
      <w:pPr>
        <w:spacing w:line="372" w:lineRule="exact"/>
        <w:ind w:left="399" w:right="856"/>
        <w:jc w:val="center"/>
        <w:rPr>
          <w:rFonts w:ascii="Times New Roman" w:hAnsi="Times New Roman"/>
          <w:b/>
          <w:color w:val="auto"/>
          <w:sz w:val="24"/>
          <w:szCs w:val="24"/>
          <w:lang w:eastAsia="zh-CN"/>
        </w:rPr>
      </w:pPr>
    </w:p>
    <w:p>
      <w:pPr>
        <w:rPr>
          <w:rFonts w:ascii="Times New Roman" w:hAnsi="Times New Roman"/>
          <w:color w:val="auto"/>
          <w:sz w:val="24"/>
          <w:szCs w:val="24"/>
          <w:lang w:eastAsia="zh-CN"/>
        </w:rPr>
        <w:sectPr>
          <w:footerReference r:id="rId3" w:type="default"/>
          <w:pgSz w:w="11910" w:h="16840"/>
          <w:pgMar w:top="1588" w:right="1588" w:bottom="1418" w:left="1814" w:header="731" w:footer="992" w:gutter="0"/>
          <w:pgNumType w:start="1"/>
          <w:cols w:space="720" w:num="1"/>
        </w:sectPr>
      </w:pPr>
      <w:r>
        <w:rPr>
          <w:rFonts w:ascii="Times New Roman" w:hAnsi="Times New Roman"/>
          <w:color w:val="auto"/>
          <w:sz w:val="24"/>
          <w:szCs w:val="24"/>
          <w:lang w:eastAsia="zh-CN"/>
        </w:rPr>
        <w:br w:type="page"/>
      </w:r>
    </w:p>
    <w:p>
      <w:pPr>
        <w:pStyle w:val="34"/>
        <w:spacing w:before="120" w:after="120"/>
        <w:rPr>
          <w:rStyle w:val="64"/>
          <w:rFonts w:ascii="Times New Roman" w:hAnsi="Times New Roman" w:cstheme="minorBidi"/>
          <w:b/>
          <w:bCs/>
          <w:color w:val="auto"/>
          <w:sz w:val="32"/>
        </w:rPr>
      </w:pPr>
      <w:bookmarkStart w:id="0" w:name="_Toc519721480"/>
      <w:bookmarkStart w:id="1" w:name="_Toc42528020"/>
      <w:bookmarkStart w:id="2" w:name="_Toc522883937"/>
      <w:r>
        <w:rPr>
          <w:rFonts w:ascii="Times New Roman" w:hAnsi="Times New Roman" w:eastAsia="宋体"/>
          <w:color w:val="auto"/>
          <w:lang w:eastAsia="zh-CN"/>
        </w:rPr>
        <w:t>第一章</w:t>
      </w:r>
      <w:r>
        <w:rPr>
          <w:rFonts w:ascii="Times New Roman" w:hAnsi="Times New Roman" w:eastAsia="宋体"/>
          <w:color w:val="auto"/>
          <w:lang w:eastAsia="zh-CN"/>
        </w:rPr>
        <w:tab/>
      </w:r>
      <w:bookmarkEnd w:id="0"/>
      <w:r>
        <w:rPr>
          <w:rFonts w:ascii="Times New Roman" w:hAnsi="Times New Roman" w:eastAsia="宋体"/>
          <w:color w:val="auto"/>
          <w:lang w:eastAsia="zh-CN"/>
        </w:rPr>
        <w:t>招标公告</w:t>
      </w:r>
      <w:bookmarkEnd w:id="1"/>
      <w:bookmarkEnd w:id="2"/>
    </w:p>
    <w:p>
      <w:pPr>
        <w:pBdr>
          <w:top w:val="single" w:color="auto" w:sz="4" w:space="1"/>
          <w:left w:val="single" w:color="auto" w:sz="4" w:space="4"/>
          <w:bottom w:val="single" w:color="auto" w:sz="4" w:space="1"/>
          <w:right w:val="single" w:color="auto" w:sz="4" w:space="4"/>
        </w:pBd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项目概况</w:t>
      </w:r>
    </w:p>
    <w:p>
      <w:pPr>
        <w:pBdr>
          <w:top w:val="single" w:color="auto" w:sz="4" w:space="1"/>
          <w:left w:val="single" w:color="auto" w:sz="4" w:space="4"/>
          <w:bottom w:val="single" w:color="auto" w:sz="4" w:space="1"/>
          <w:right w:val="single" w:color="auto" w:sz="4" w:space="4"/>
        </w:pBdr>
        <w:spacing w:line="24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u w:val="single"/>
        </w:rPr>
        <w:t xml:space="preserve"> 2020年管庄乡平原生态林、自管绿化片林养护项目</w:t>
      </w:r>
      <w:r>
        <w:rPr>
          <w:rFonts w:hint="eastAsia" w:ascii="宋体" w:hAnsi="宋体" w:eastAsia="宋体" w:cs="宋体"/>
          <w:color w:val="auto"/>
          <w:sz w:val="21"/>
          <w:szCs w:val="21"/>
        </w:rPr>
        <w:t>招标项目的潜在投标人应在</w:t>
      </w:r>
      <w:r>
        <w:rPr>
          <w:rFonts w:hint="eastAsia" w:ascii="宋体" w:hAnsi="宋体" w:eastAsia="宋体" w:cs="宋体"/>
          <w:bCs/>
          <w:color w:val="auto"/>
          <w:sz w:val="21"/>
          <w:szCs w:val="21"/>
          <w:u w:val="single"/>
          <w:lang w:val="en-US" w:eastAsia="zh-CN"/>
        </w:rPr>
        <w:t>北京市朝阳区驼房营南路新华科技大厦11层1109</w:t>
      </w:r>
      <w:r>
        <w:rPr>
          <w:rFonts w:hint="eastAsia" w:ascii="宋体" w:hAnsi="宋体" w:eastAsia="宋体" w:cs="宋体"/>
          <w:color w:val="auto"/>
          <w:sz w:val="21"/>
          <w:szCs w:val="21"/>
        </w:rPr>
        <w:t>获取招标文件，并于</w:t>
      </w:r>
      <w:r>
        <w:rPr>
          <w:rFonts w:hint="eastAsia" w:ascii="宋体" w:hAnsi="宋体" w:eastAsia="宋体" w:cs="宋体"/>
          <w:color w:val="auto"/>
          <w:sz w:val="21"/>
          <w:szCs w:val="21"/>
          <w:u w:val="single"/>
          <w:lang w:val="en-US" w:eastAsia="zh-CN"/>
        </w:rPr>
        <w:t>2020</w:t>
      </w:r>
      <w:r>
        <w:rPr>
          <w:rFonts w:hint="eastAsia" w:ascii="宋体" w:hAnsi="宋体" w:eastAsia="宋体" w:cs="宋体"/>
          <w:bCs/>
          <w:color w:val="auto"/>
          <w:sz w:val="21"/>
          <w:szCs w:val="21"/>
          <w:u w:val="single"/>
        </w:rPr>
        <w:t>年</w:t>
      </w:r>
      <w:r>
        <w:rPr>
          <w:rFonts w:hint="eastAsia" w:cs="宋体"/>
          <w:bCs/>
          <w:color w:val="auto"/>
          <w:sz w:val="21"/>
          <w:szCs w:val="21"/>
          <w:u w:val="single"/>
          <w:lang w:val="en-US" w:eastAsia="zh-CN"/>
        </w:rPr>
        <w:t>7</w:t>
      </w:r>
      <w:r>
        <w:rPr>
          <w:rFonts w:hint="eastAsia" w:ascii="宋体" w:hAnsi="宋体" w:eastAsia="宋体" w:cs="宋体"/>
          <w:bCs/>
          <w:color w:val="auto"/>
          <w:sz w:val="21"/>
          <w:szCs w:val="21"/>
          <w:u w:val="single"/>
        </w:rPr>
        <w:t>月</w:t>
      </w:r>
      <w:r>
        <w:rPr>
          <w:rFonts w:hint="eastAsia" w:cs="宋体"/>
          <w:bCs/>
          <w:color w:val="auto"/>
          <w:sz w:val="21"/>
          <w:szCs w:val="21"/>
          <w:u w:val="single"/>
          <w:lang w:val="en-US" w:eastAsia="zh-CN"/>
        </w:rPr>
        <w:t>8</w:t>
      </w:r>
      <w:r>
        <w:rPr>
          <w:rFonts w:hint="eastAsia" w:ascii="宋体" w:hAnsi="宋体" w:eastAsia="宋体" w:cs="宋体"/>
          <w:bCs/>
          <w:color w:val="auto"/>
          <w:sz w:val="21"/>
          <w:szCs w:val="21"/>
          <w:u w:val="single"/>
        </w:rPr>
        <w:t>日</w:t>
      </w:r>
      <w:r>
        <w:rPr>
          <w:rFonts w:hint="eastAsia" w:ascii="宋体" w:hAnsi="宋体" w:eastAsia="宋体" w:cs="宋体"/>
          <w:bCs/>
          <w:color w:val="auto"/>
          <w:sz w:val="21"/>
          <w:szCs w:val="21"/>
          <w:u w:val="single"/>
          <w:lang w:val="en-US" w:eastAsia="zh-CN"/>
        </w:rPr>
        <w:t>9</w:t>
      </w:r>
      <w:r>
        <w:rPr>
          <w:rFonts w:hint="eastAsia" w:ascii="宋体" w:hAnsi="宋体" w:eastAsia="宋体" w:cs="宋体"/>
          <w:bCs/>
          <w:color w:val="auto"/>
          <w:sz w:val="21"/>
          <w:szCs w:val="21"/>
          <w:u w:val="single"/>
        </w:rPr>
        <w:t>点</w:t>
      </w:r>
      <w:r>
        <w:rPr>
          <w:rFonts w:hint="eastAsia" w:ascii="宋体" w:hAnsi="宋体" w:eastAsia="宋体" w:cs="宋体"/>
          <w:bCs/>
          <w:color w:val="auto"/>
          <w:sz w:val="21"/>
          <w:szCs w:val="21"/>
          <w:u w:val="single"/>
          <w:lang w:val="en-US" w:eastAsia="zh-CN"/>
        </w:rPr>
        <w:t>30</w:t>
      </w:r>
      <w:r>
        <w:rPr>
          <w:rFonts w:hint="eastAsia" w:ascii="宋体" w:hAnsi="宋体" w:eastAsia="宋体" w:cs="宋体"/>
          <w:bCs/>
          <w:color w:val="auto"/>
          <w:sz w:val="21"/>
          <w:szCs w:val="21"/>
          <w:u w:val="single"/>
        </w:rPr>
        <w:t>分（</w:t>
      </w:r>
      <w:r>
        <w:rPr>
          <w:rFonts w:hint="eastAsia" w:ascii="宋体" w:hAnsi="宋体" w:eastAsia="宋体" w:cs="宋体"/>
          <w:bCs/>
          <w:color w:val="auto"/>
          <w:sz w:val="21"/>
          <w:szCs w:val="21"/>
        </w:rPr>
        <w:t>北京时间）前递交投标文件</w:t>
      </w:r>
      <w:r>
        <w:rPr>
          <w:rFonts w:hint="eastAsia" w:ascii="宋体" w:hAnsi="宋体" w:eastAsia="宋体" w:cs="宋体"/>
          <w:color w:val="auto"/>
          <w:sz w:val="21"/>
          <w:szCs w:val="21"/>
        </w:rPr>
        <w:t>。</w:t>
      </w:r>
    </w:p>
    <w:p>
      <w:pPr>
        <w:bidi w:val="0"/>
        <w:spacing w:line="360" w:lineRule="auto"/>
        <w:rPr>
          <w:rFonts w:hint="eastAsia"/>
          <w:b/>
          <w:bCs/>
        </w:rPr>
      </w:pPr>
      <w:bookmarkStart w:id="3" w:name="_Toc28359002"/>
      <w:bookmarkStart w:id="4" w:name="_Toc28359079"/>
      <w:bookmarkStart w:id="5" w:name="_Toc35393790"/>
      <w:bookmarkStart w:id="6" w:name="_Toc35393621"/>
      <w:bookmarkStart w:id="7" w:name="_Hlk24379207"/>
      <w:r>
        <w:rPr>
          <w:rFonts w:hint="eastAsia"/>
          <w:b/>
          <w:bCs/>
        </w:rPr>
        <w:t>一、项目基本情况</w:t>
      </w:r>
      <w:bookmarkEnd w:id="3"/>
      <w:bookmarkEnd w:id="4"/>
      <w:bookmarkEnd w:id="5"/>
      <w:bookmarkEnd w:id="6"/>
    </w:p>
    <w:p>
      <w:pPr>
        <w:bidi w:val="0"/>
        <w:spacing w:line="360" w:lineRule="auto"/>
        <w:rPr>
          <w:rFonts w:hint="eastAsia"/>
        </w:rPr>
      </w:pPr>
      <w:r>
        <w:rPr>
          <w:rFonts w:hint="eastAsia"/>
        </w:rPr>
        <w:t>项目编号：CYCG_20_1209</w:t>
      </w:r>
    </w:p>
    <w:p>
      <w:pPr>
        <w:bidi w:val="0"/>
        <w:spacing w:line="360" w:lineRule="auto"/>
        <w:rPr>
          <w:rFonts w:hint="eastAsia"/>
        </w:rPr>
      </w:pPr>
      <w:r>
        <w:rPr>
          <w:rFonts w:hint="eastAsia"/>
        </w:rPr>
        <w:t>项目名称：2020年管庄乡平原生态林、自管绿化片林养护项目</w:t>
      </w:r>
    </w:p>
    <w:bookmarkEnd w:id="7"/>
    <w:p>
      <w:pPr>
        <w:bidi w:val="0"/>
        <w:spacing w:line="360" w:lineRule="auto"/>
        <w:rPr>
          <w:rFonts w:hint="eastAsia"/>
          <w:lang w:val="en-US" w:eastAsia="zh-CN"/>
        </w:rPr>
      </w:pPr>
      <w:r>
        <w:rPr>
          <w:rFonts w:hint="eastAsia"/>
        </w:rPr>
        <w:t>预算金额：1335.3664</w:t>
      </w:r>
      <w:r>
        <w:rPr>
          <w:rFonts w:hint="eastAsia"/>
          <w:lang w:val="en-US" w:eastAsia="zh-CN"/>
        </w:rPr>
        <w:t>万元</w:t>
      </w:r>
    </w:p>
    <w:p>
      <w:pPr>
        <w:bidi w:val="0"/>
        <w:spacing w:line="360" w:lineRule="auto"/>
        <w:rPr>
          <w:rFonts w:hint="eastAsia"/>
        </w:rPr>
      </w:pPr>
      <w:r>
        <w:rPr>
          <w:rFonts w:hint="eastAsia"/>
        </w:rPr>
        <w:t>最高限价：1335.3664</w:t>
      </w:r>
      <w:r>
        <w:rPr>
          <w:rFonts w:hint="eastAsia"/>
          <w:lang w:val="en-US" w:eastAsia="zh-CN"/>
        </w:rPr>
        <w:t>万元</w:t>
      </w:r>
    </w:p>
    <w:p>
      <w:pPr>
        <w:bidi w:val="0"/>
        <w:spacing w:line="360" w:lineRule="auto"/>
        <w:rPr>
          <w:rFonts w:hint="eastAsia"/>
          <w:lang w:val="en-US" w:eastAsia="zh-CN"/>
        </w:rPr>
      </w:pPr>
      <w:r>
        <w:rPr>
          <w:rFonts w:hint="eastAsia"/>
        </w:rPr>
        <w:t>采购需求：</w:t>
      </w:r>
      <w:r>
        <w:rPr>
          <w:rFonts w:hint="eastAsia"/>
          <w:lang w:val="en-US" w:eastAsia="zh-CN"/>
        </w:rPr>
        <w:t>园林养护能力的</w:t>
      </w:r>
      <w:r>
        <w:rPr>
          <w:rFonts w:hint="eastAsia"/>
        </w:rPr>
        <w:t>服务</w:t>
      </w:r>
      <w:r>
        <w:rPr>
          <w:rFonts w:hint="eastAsia"/>
          <w:lang w:val="en-US" w:eastAsia="zh-CN"/>
        </w:rPr>
        <w:t>供应商一家</w:t>
      </w:r>
    </w:p>
    <w:p>
      <w:pPr>
        <w:bidi w:val="0"/>
        <w:spacing w:line="360" w:lineRule="auto"/>
        <w:rPr>
          <w:rFonts w:hint="eastAsia"/>
        </w:rPr>
      </w:pPr>
      <w:r>
        <w:rPr>
          <w:rFonts w:hint="eastAsia"/>
          <w:lang w:val="en-US" w:eastAsia="zh-CN"/>
        </w:rPr>
        <w:t>服务期（</w:t>
      </w:r>
      <w:r>
        <w:rPr>
          <w:rFonts w:hint="eastAsia"/>
        </w:rPr>
        <w:t>合同履行期限</w:t>
      </w:r>
      <w:r>
        <w:rPr>
          <w:rFonts w:hint="eastAsia"/>
          <w:lang w:val="en-US" w:eastAsia="zh-CN"/>
        </w:rPr>
        <w:t>）：365日历天，计划履约期2020年7月15日至2021年7月14日（实际以合同签订为准）</w:t>
      </w:r>
    </w:p>
    <w:p>
      <w:pPr>
        <w:bidi w:val="0"/>
        <w:spacing w:line="360" w:lineRule="auto"/>
        <w:rPr>
          <w:rFonts w:hint="eastAsia"/>
        </w:rPr>
      </w:pPr>
      <w:r>
        <w:rPr>
          <w:rFonts w:hint="eastAsia"/>
        </w:rPr>
        <w:t>本项目</w:t>
      </w:r>
      <w:r>
        <w:rPr>
          <w:rFonts w:hint="eastAsia"/>
          <w:lang w:val="en-US" w:eastAsia="zh-CN"/>
        </w:rPr>
        <w:t>不</w:t>
      </w:r>
      <w:r>
        <w:rPr>
          <w:rFonts w:hint="eastAsia"/>
        </w:rPr>
        <w:t>接受联合体投标。</w:t>
      </w:r>
    </w:p>
    <w:p>
      <w:pPr>
        <w:bidi w:val="0"/>
        <w:spacing w:line="360" w:lineRule="auto"/>
        <w:rPr>
          <w:rFonts w:hint="eastAsia"/>
          <w:b/>
          <w:bCs/>
        </w:rPr>
      </w:pPr>
      <w:bookmarkStart w:id="8" w:name="_Toc35393791"/>
      <w:bookmarkStart w:id="9" w:name="_Toc28359080"/>
      <w:bookmarkStart w:id="10" w:name="_Toc28359003"/>
      <w:bookmarkStart w:id="11" w:name="_Toc35393622"/>
      <w:r>
        <w:rPr>
          <w:rFonts w:hint="eastAsia"/>
          <w:b/>
          <w:bCs/>
        </w:rPr>
        <w:t>二、申请人的资格要求</w:t>
      </w:r>
      <w:bookmarkEnd w:id="8"/>
      <w:bookmarkEnd w:id="9"/>
      <w:bookmarkEnd w:id="10"/>
      <w:bookmarkEnd w:id="11"/>
    </w:p>
    <w:p>
      <w:pPr>
        <w:bidi w:val="0"/>
        <w:spacing w:line="360" w:lineRule="auto"/>
        <w:rPr>
          <w:rFonts w:hint="eastAsia"/>
        </w:rPr>
      </w:pPr>
      <w:r>
        <w:rPr>
          <w:rFonts w:hint="eastAsia"/>
        </w:rPr>
        <w:t>1.满足《中华人民共和国政府采购法》第二十二条规定；</w:t>
      </w:r>
    </w:p>
    <w:p>
      <w:pPr>
        <w:bidi w:val="0"/>
        <w:spacing w:line="360" w:lineRule="auto"/>
        <w:rPr>
          <w:rFonts w:hint="eastAsia"/>
        </w:rPr>
      </w:pPr>
      <w:bookmarkStart w:id="12" w:name="_Toc28359081"/>
      <w:bookmarkStart w:id="13" w:name="_Toc28359004"/>
      <w:r>
        <w:rPr>
          <w:rFonts w:hint="eastAsia"/>
        </w:rPr>
        <w:t>2.落实政府采购政策需满足的资格要求：</w:t>
      </w:r>
    </w:p>
    <w:p>
      <w:pPr>
        <w:bidi w:val="0"/>
        <w:spacing w:line="360" w:lineRule="auto"/>
        <w:rPr>
          <w:rFonts w:hint="eastAsia"/>
        </w:rPr>
      </w:pPr>
      <w:r>
        <w:rPr>
          <w:rFonts w:hint="eastAsia"/>
        </w:rPr>
        <w:t>①根据财政部、工业和信息化部关于印发《政府采购促进中小企业发展暂行办法》的通知（财库〔2011〕181号），</w:t>
      </w:r>
      <w:r>
        <w:rPr>
          <w:rFonts w:hint="eastAsia"/>
          <w:lang w:eastAsia="zh-CN"/>
        </w:rPr>
        <w:t>供应商</w:t>
      </w:r>
      <w:r>
        <w:rPr>
          <w:rFonts w:hint="eastAsia"/>
        </w:rPr>
        <w:t>及其所投产品的制造商均属于《工业和信息化部、国家统计局、国家发展和改革委员会、财政部关于印发中小企业划型标准规定的通知》（工信部联企业〔2011〕300号）中规定的小型、微型企业标准的，按</w:t>
      </w:r>
      <w:r>
        <w:rPr>
          <w:rFonts w:hint="eastAsia"/>
          <w:lang w:eastAsia="zh-CN"/>
        </w:rPr>
        <w:t>招标文件</w:t>
      </w:r>
      <w:r>
        <w:rPr>
          <w:rFonts w:hint="eastAsia"/>
        </w:rPr>
        <w:t>格式提供《中小企业声明函》。</w:t>
      </w:r>
    </w:p>
    <w:p>
      <w:pPr>
        <w:bidi w:val="0"/>
        <w:spacing w:line="360" w:lineRule="auto"/>
        <w:rPr>
          <w:rFonts w:hint="eastAsia"/>
        </w:rPr>
      </w:pPr>
      <w:r>
        <w:rPr>
          <w:rFonts w:hint="eastAsia"/>
        </w:rPr>
        <w:t>②根据财政部、司法部《关于政府采购支持监狱企业发展有关问题》的通知（财库〔2014〕68号），监狱企业参加本项目投标时，应当提供由省级以上监狱管理局、戒毒管理局（新疆生产建设兵团）出具的属于监狱企业的证明文件。监狱企业视同小型、微型企业。</w:t>
      </w:r>
    </w:p>
    <w:p>
      <w:pPr>
        <w:bidi w:val="0"/>
        <w:spacing w:line="360" w:lineRule="auto"/>
        <w:rPr>
          <w:rFonts w:hint="eastAsia"/>
        </w:rPr>
      </w:pPr>
      <w:r>
        <w:rPr>
          <w:rFonts w:hint="eastAsia"/>
        </w:rPr>
        <w:t>③根据财政部、民政部、中国残疾人联合会《关于促进残疾人就业政府采购政策的通知》（财库〔2017〕141号），在政府采购活动中，残疾人福利性单位视同小型、微型企业。</w:t>
      </w:r>
      <w:r>
        <w:rPr>
          <w:rFonts w:hint="eastAsia"/>
          <w:lang w:eastAsia="zh-CN"/>
        </w:rPr>
        <w:t>供应商</w:t>
      </w:r>
      <w:r>
        <w:rPr>
          <w:rFonts w:hint="eastAsia"/>
        </w:rPr>
        <w:t>属于残疾人福利性单位的，按照</w:t>
      </w:r>
      <w:r>
        <w:rPr>
          <w:rFonts w:hint="eastAsia"/>
          <w:lang w:eastAsia="zh-CN"/>
        </w:rPr>
        <w:t>招标文件</w:t>
      </w:r>
      <w:r>
        <w:rPr>
          <w:rFonts w:hint="eastAsia"/>
        </w:rPr>
        <w:t>格式提供《残疾人福利性单位声明函》。</w:t>
      </w:r>
    </w:p>
    <w:p>
      <w:pPr>
        <w:bidi w:val="0"/>
        <w:spacing w:line="360" w:lineRule="auto"/>
        <w:rPr>
          <w:rFonts w:hint="eastAsia"/>
        </w:rPr>
      </w:pPr>
      <w:r>
        <w:rPr>
          <w:rFonts w:hint="eastAsia"/>
        </w:rPr>
        <w:t>④《财政部 国家发展改革委关于印发&lt;节能产品政府采购实施意见&gt;的通知》）（财库【2004】185号）</w:t>
      </w:r>
    </w:p>
    <w:p>
      <w:pPr>
        <w:bidi w:val="0"/>
        <w:spacing w:line="360" w:lineRule="auto"/>
        <w:rPr>
          <w:rFonts w:hint="eastAsia"/>
        </w:rPr>
      </w:pPr>
      <w:r>
        <w:rPr>
          <w:rFonts w:hint="eastAsia"/>
        </w:rPr>
        <w:t>⑤《财政部环保总局关于环境标志产品政府采购实施的意见》（财库【2006】90号）</w:t>
      </w:r>
    </w:p>
    <w:p>
      <w:pPr>
        <w:bidi w:val="0"/>
        <w:spacing w:line="360" w:lineRule="auto"/>
        <w:rPr>
          <w:rFonts w:hint="eastAsia"/>
        </w:rPr>
      </w:pPr>
      <w:r>
        <w:rPr>
          <w:rFonts w:hint="eastAsia"/>
        </w:rPr>
        <w:t>⑥  扶持不发达地区和少数民族地区等政策</w:t>
      </w:r>
    </w:p>
    <w:p>
      <w:pPr>
        <w:bidi w:val="0"/>
        <w:spacing w:line="360" w:lineRule="auto"/>
        <w:rPr>
          <w:rFonts w:hint="eastAsia"/>
        </w:rPr>
      </w:pPr>
      <w:r>
        <w:rPr>
          <w:rFonts w:hint="eastAsia"/>
        </w:rPr>
        <w:t>⑦《关于新型冠状病毒感染肺炎疫情防控期间加大政府采购支持中小微企业力度的通知》（京财采购【2020】195号）规定：“对小型和微型企业产品价格给予10%的扣除，用扣除后的价格参与评审”。监狱企业视同小型、微型企业（财库[2011]181号、财库〔2014〕68号）享受评审中价格扣除等政府采购促进中小企业发展的政府采购政策；残疾人福利性单位视同小型、微型企业，残疾人福利性单位属于小型、微型企业的，不重复享受政策（财库〔2017〕141号）</w:t>
      </w:r>
    </w:p>
    <w:p>
      <w:pPr>
        <w:bidi w:val="0"/>
        <w:spacing w:line="360" w:lineRule="auto"/>
        <w:rPr>
          <w:rFonts w:hint="eastAsia"/>
          <w:lang w:val="en-US" w:eastAsia="zh-CN"/>
        </w:rPr>
      </w:pPr>
      <w:r>
        <w:rPr>
          <w:rFonts w:hint="eastAsia"/>
        </w:rPr>
        <w:t>本项目的特定资格要求：</w:t>
      </w:r>
      <w:r>
        <w:rPr>
          <w:rFonts w:hint="eastAsia"/>
          <w:lang w:val="en-US" w:eastAsia="zh-CN"/>
        </w:rPr>
        <w:t>无</w:t>
      </w:r>
      <w:bookmarkStart w:id="14" w:name="_Toc35393792"/>
      <w:bookmarkStart w:id="15" w:name="_Toc35393623"/>
    </w:p>
    <w:p>
      <w:pPr>
        <w:bidi w:val="0"/>
        <w:spacing w:line="360" w:lineRule="auto"/>
        <w:rPr>
          <w:rFonts w:hint="eastAsia"/>
          <w:b/>
          <w:bCs/>
        </w:rPr>
      </w:pPr>
      <w:r>
        <w:rPr>
          <w:rFonts w:hint="eastAsia"/>
          <w:b/>
          <w:bCs/>
        </w:rPr>
        <w:t>三、获取招标文件</w:t>
      </w:r>
      <w:bookmarkEnd w:id="12"/>
      <w:bookmarkEnd w:id="13"/>
      <w:bookmarkEnd w:id="14"/>
      <w:bookmarkEnd w:id="15"/>
    </w:p>
    <w:p>
      <w:pPr>
        <w:bidi w:val="0"/>
        <w:spacing w:line="360" w:lineRule="auto"/>
        <w:rPr>
          <w:rFonts w:hint="eastAsia"/>
        </w:rPr>
      </w:pPr>
      <w:r>
        <w:rPr>
          <w:rFonts w:hint="eastAsia"/>
        </w:rPr>
        <w:t>时间：</w:t>
      </w:r>
      <w:r>
        <w:rPr>
          <w:rFonts w:hint="eastAsia"/>
          <w:lang w:val="en-US" w:eastAsia="zh-CN"/>
        </w:rPr>
        <w:t>2020</w:t>
      </w:r>
      <w:r>
        <w:rPr>
          <w:rFonts w:hint="eastAsia"/>
        </w:rPr>
        <w:t>年</w:t>
      </w:r>
      <w:r>
        <w:rPr>
          <w:rFonts w:hint="eastAsia"/>
          <w:lang w:val="en-US" w:eastAsia="zh-CN"/>
        </w:rPr>
        <w:t>6</w:t>
      </w:r>
      <w:r>
        <w:rPr>
          <w:rFonts w:hint="eastAsia"/>
        </w:rPr>
        <w:t>月</w:t>
      </w:r>
      <w:r>
        <w:rPr>
          <w:rFonts w:hint="eastAsia"/>
          <w:lang w:val="en-US" w:eastAsia="zh-CN"/>
        </w:rPr>
        <w:t>18</w:t>
      </w:r>
      <w:r>
        <w:rPr>
          <w:rFonts w:hint="eastAsia"/>
        </w:rPr>
        <w:t>日至</w:t>
      </w:r>
      <w:r>
        <w:rPr>
          <w:rFonts w:hint="eastAsia"/>
          <w:lang w:val="en-US" w:eastAsia="zh-CN"/>
        </w:rPr>
        <w:t>2020</w:t>
      </w:r>
      <w:r>
        <w:rPr>
          <w:rFonts w:hint="eastAsia"/>
        </w:rPr>
        <w:t>年</w:t>
      </w:r>
      <w:r>
        <w:rPr>
          <w:rFonts w:hint="eastAsia"/>
          <w:lang w:val="en-US" w:eastAsia="zh-CN"/>
        </w:rPr>
        <w:t>6</w:t>
      </w:r>
      <w:r>
        <w:rPr>
          <w:rFonts w:hint="eastAsia"/>
        </w:rPr>
        <w:t>月</w:t>
      </w:r>
      <w:r>
        <w:rPr>
          <w:rFonts w:hint="eastAsia"/>
          <w:lang w:val="en-US" w:eastAsia="zh-CN"/>
        </w:rPr>
        <w:t>24</w:t>
      </w:r>
      <w:r>
        <w:rPr>
          <w:rFonts w:hint="eastAsia"/>
        </w:rPr>
        <w:t>日（提供期限自本公告发布之日起不得少于5个工作日），每天上午</w:t>
      </w:r>
      <w:r>
        <w:rPr>
          <w:rFonts w:hint="eastAsia"/>
          <w:lang w:val="en-US" w:eastAsia="zh-CN"/>
        </w:rPr>
        <w:t>9:00</w:t>
      </w:r>
      <w:r>
        <w:rPr>
          <w:rFonts w:hint="eastAsia"/>
        </w:rPr>
        <w:t>至</w:t>
      </w:r>
      <w:r>
        <w:rPr>
          <w:rFonts w:hint="eastAsia"/>
          <w:lang w:val="en-US" w:eastAsia="zh-CN"/>
        </w:rPr>
        <w:t>11:30</w:t>
      </w:r>
      <w:r>
        <w:rPr>
          <w:rFonts w:hint="eastAsia"/>
        </w:rPr>
        <w:t>，下午</w:t>
      </w:r>
      <w:r>
        <w:rPr>
          <w:rFonts w:hint="eastAsia"/>
          <w:lang w:val="en-US" w:eastAsia="zh-CN"/>
        </w:rPr>
        <w:t>14:00</w:t>
      </w:r>
      <w:r>
        <w:rPr>
          <w:rFonts w:hint="eastAsia"/>
        </w:rPr>
        <w:t>至</w:t>
      </w:r>
      <w:r>
        <w:rPr>
          <w:rFonts w:hint="eastAsia"/>
          <w:lang w:val="en-US" w:eastAsia="zh-CN"/>
        </w:rPr>
        <w:t>16:00</w:t>
      </w:r>
      <w:r>
        <w:rPr>
          <w:rFonts w:hint="eastAsia"/>
        </w:rPr>
        <w:t>（北京时间，法定节假日除外）</w:t>
      </w:r>
    </w:p>
    <w:p>
      <w:pPr>
        <w:bidi w:val="0"/>
        <w:spacing w:line="360" w:lineRule="auto"/>
        <w:rPr>
          <w:rFonts w:hint="eastAsia"/>
        </w:rPr>
      </w:pPr>
      <w:r>
        <w:rPr>
          <w:rFonts w:hint="eastAsia"/>
        </w:rPr>
        <w:t>地点：</w:t>
      </w:r>
      <w:r>
        <w:rPr>
          <w:rFonts w:hint="eastAsia"/>
          <w:lang w:val="en-US" w:eastAsia="zh-CN"/>
        </w:rPr>
        <w:t>北京市朝阳区驼房营南路新华科技大厦11层1109</w:t>
      </w:r>
    </w:p>
    <w:p>
      <w:pPr>
        <w:bidi w:val="0"/>
        <w:spacing w:line="360" w:lineRule="auto"/>
        <w:rPr>
          <w:rFonts w:hint="eastAsia"/>
          <w:lang w:val="en-US" w:eastAsia="zh-CN"/>
        </w:rPr>
      </w:pPr>
      <w:r>
        <w:rPr>
          <w:rFonts w:hint="eastAsia"/>
        </w:rPr>
        <w:t>方式：</w:t>
      </w:r>
      <w:r>
        <w:rPr>
          <w:rFonts w:hint="eastAsia"/>
          <w:lang w:val="en-US" w:eastAsia="zh-CN"/>
        </w:rPr>
        <w:t>第一步：线上关注下载采购文件</w:t>
      </w:r>
    </w:p>
    <w:p>
      <w:pPr>
        <w:bidi w:val="0"/>
        <w:spacing w:line="360" w:lineRule="auto"/>
        <w:rPr>
          <w:rFonts w:hint="eastAsia"/>
          <w:lang w:val="en-US" w:eastAsia="zh-CN"/>
        </w:rPr>
      </w:pPr>
      <w:r>
        <w:rPr>
          <w:rFonts w:hint="eastAsia"/>
          <w:lang w:val="en-US" w:eastAsia="zh-CN"/>
        </w:rPr>
        <w:t>在北京市朝阳区公共资源交易系统（http://zfcg.bjchy.gov.cn/cyzfcg/project/login.do?systemId=8a8b80075948a5ce015948cd77300063）进行主体注册，并按照操作提示关注招标项目及下载采购文件。</w:t>
      </w:r>
    </w:p>
    <w:p>
      <w:pPr>
        <w:bidi w:val="0"/>
        <w:spacing w:line="360" w:lineRule="auto"/>
        <w:rPr>
          <w:rFonts w:hint="eastAsia"/>
        </w:rPr>
      </w:pPr>
      <w:r>
        <w:rPr>
          <w:rFonts w:hint="eastAsia"/>
          <w:lang w:val="en-US" w:eastAsia="zh-CN"/>
        </w:rPr>
        <w:t>第二步：</w:t>
      </w:r>
      <w:r>
        <w:rPr>
          <w:rFonts w:hint="eastAsia"/>
        </w:rPr>
        <w:t>现场确认</w:t>
      </w:r>
    </w:p>
    <w:p>
      <w:pPr>
        <w:bidi w:val="0"/>
        <w:spacing w:line="360" w:lineRule="auto"/>
        <w:rPr>
          <w:rFonts w:hint="eastAsia"/>
        </w:rPr>
      </w:pPr>
      <w:r>
        <w:rPr>
          <w:rFonts w:hint="eastAsia"/>
          <w:lang w:val="en-US" w:eastAsia="zh-CN"/>
        </w:rPr>
        <w:t>现场确认</w:t>
      </w:r>
      <w:r>
        <w:rPr>
          <w:rFonts w:hint="eastAsia"/>
        </w:rPr>
        <w:t>须携带资料有：</w:t>
      </w:r>
    </w:p>
    <w:p>
      <w:pPr>
        <w:bidi w:val="0"/>
        <w:spacing w:line="360" w:lineRule="auto"/>
        <w:rPr>
          <w:rFonts w:hint="eastAsia"/>
          <w:lang w:val="en-US" w:eastAsia="zh-CN"/>
        </w:rPr>
      </w:pPr>
      <w:r>
        <w:rPr>
          <w:rFonts w:hint="eastAsia"/>
          <w:lang w:val="en-US" w:eastAsia="zh-CN"/>
        </w:rPr>
        <w:t>（1）打印系统线上操作成功截图复印件；</w:t>
      </w:r>
    </w:p>
    <w:p>
      <w:pPr>
        <w:bidi w:val="0"/>
        <w:spacing w:line="360" w:lineRule="auto"/>
        <w:rPr>
          <w:rFonts w:hint="eastAsia"/>
          <w:lang w:val="en-US" w:eastAsia="zh-CN"/>
        </w:rPr>
      </w:pPr>
      <w:r>
        <w:rPr>
          <w:rFonts w:hint="eastAsia"/>
          <w:lang w:val="en-US" w:eastAsia="zh-CN"/>
        </w:rPr>
        <w:t>（2）法人代表授权委托书原件；</w:t>
      </w:r>
    </w:p>
    <w:p>
      <w:pPr>
        <w:bidi w:val="0"/>
        <w:spacing w:line="360" w:lineRule="auto"/>
        <w:rPr>
          <w:rFonts w:hint="eastAsia"/>
          <w:lang w:val="en-US" w:eastAsia="zh-CN"/>
        </w:rPr>
      </w:pPr>
      <w:r>
        <w:rPr>
          <w:rFonts w:hint="eastAsia"/>
          <w:lang w:val="en-US" w:eastAsia="zh-CN"/>
        </w:rPr>
        <w:t>（3）经办人身份证原件和复印件（法定代表人办理提供法人证明书原件和法人有效身份证原件和复印件）。</w:t>
      </w:r>
    </w:p>
    <w:p>
      <w:pPr>
        <w:bidi w:val="0"/>
        <w:spacing w:line="360" w:lineRule="auto"/>
        <w:rPr>
          <w:rFonts w:hint="eastAsia"/>
          <w:lang w:val="en-US" w:eastAsia="zh-CN"/>
        </w:rPr>
      </w:pPr>
      <w:r>
        <w:rPr>
          <w:rFonts w:hint="eastAsia"/>
        </w:rPr>
        <w:t>售价：</w:t>
      </w:r>
      <w:r>
        <w:rPr>
          <w:rFonts w:hint="eastAsia"/>
          <w:lang w:val="en-US" w:eastAsia="zh-CN"/>
        </w:rPr>
        <w:t>200元</w:t>
      </w:r>
    </w:p>
    <w:p>
      <w:pPr>
        <w:bidi w:val="0"/>
        <w:spacing w:line="360" w:lineRule="auto"/>
        <w:rPr>
          <w:rFonts w:hint="eastAsia"/>
          <w:b/>
          <w:bCs/>
        </w:rPr>
      </w:pPr>
      <w:bookmarkStart w:id="16" w:name="_Toc28359005"/>
      <w:bookmarkStart w:id="17" w:name="_Toc28359082"/>
      <w:bookmarkStart w:id="18" w:name="_Toc35393624"/>
      <w:bookmarkStart w:id="19" w:name="_Toc35393793"/>
      <w:r>
        <w:rPr>
          <w:rFonts w:hint="eastAsia"/>
          <w:b/>
          <w:bCs/>
        </w:rPr>
        <w:t>四、提交投标文件</w:t>
      </w:r>
      <w:bookmarkEnd w:id="16"/>
      <w:bookmarkEnd w:id="17"/>
      <w:r>
        <w:rPr>
          <w:rFonts w:hint="eastAsia"/>
          <w:b/>
          <w:bCs/>
        </w:rPr>
        <w:t>截止时间、开标时间和地点</w:t>
      </w:r>
      <w:bookmarkEnd w:id="18"/>
      <w:bookmarkEnd w:id="19"/>
    </w:p>
    <w:p>
      <w:pPr>
        <w:bidi w:val="0"/>
        <w:spacing w:line="360" w:lineRule="auto"/>
        <w:rPr>
          <w:rFonts w:hint="eastAsia"/>
        </w:rPr>
      </w:pPr>
      <w:r>
        <w:rPr>
          <w:rFonts w:hint="eastAsia"/>
          <w:lang w:val="en-US" w:eastAsia="zh-CN"/>
        </w:rPr>
        <w:t>时间：2020</w:t>
      </w:r>
      <w:r>
        <w:rPr>
          <w:rFonts w:hint="eastAsia"/>
        </w:rPr>
        <w:t>年</w:t>
      </w:r>
      <w:r>
        <w:rPr>
          <w:rFonts w:hint="eastAsia"/>
          <w:lang w:val="en-US" w:eastAsia="zh-CN"/>
        </w:rPr>
        <w:t>7</w:t>
      </w:r>
      <w:r>
        <w:rPr>
          <w:rFonts w:hint="eastAsia"/>
        </w:rPr>
        <w:t>月</w:t>
      </w:r>
      <w:r>
        <w:rPr>
          <w:rFonts w:hint="eastAsia"/>
          <w:lang w:val="en-US" w:eastAsia="zh-CN"/>
        </w:rPr>
        <w:t>8</w:t>
      </w:r>
      <w:r>
        <w:rPr>
          <w:rFonts w:hint="eastAsia"/>
        </w:rPr>
        <w:t>日</w:t>
      </w:r>
      <w:r>
        <w:rPr>
          <w:rFonts w:hint="eastAsia"/>
          <w:lang w:val="en-US" w:eastAsia="zh-CN"/>
        </w:rPr>
        <w:t>9</w:t>
      </w:r>
      <w:r>
        <w:rPr>
          <w:rFonts w:hint="eastAsia"/>
        </w:rPr>
        <w:t>点</w:t>
      </w:r>
      <w:r>
        <w:rPr>
          <w:rFonts w:hint="eastAsia"/>
          <w:lang w:val="en-US" w:eastAsia="zh-CN"/>
        </w:rPr>
        <w:t>30</w:t>
      </w:r>
      <w:r>
        <w:rPr>
          <w:rFonts w:hint="eastAsia"/>
        </w:rPr>
        <w:t>分（北京时间）</w:t>
      </w:r>
    </w:p>
    <w:p>
      <w:pPr>
        <w:bidi w:val="0"/>
        <w:spacing w:line="360" w:lineRule="auto"/>
        <w:rPr>
          <w:rFonts w:hint="eastAsia"/>
          <w:lang w:val="en-US"/>
        </w:rPr>
      </w:pPr>
      <w:r>
        <w:rPr>
          <w:rFonts w:hint="eastAsia"/>
        </w:rPr>
        <w:t>地点：</w:t>
      </w:r>
      <w:r>
        <w:rPr>
          <w:rFonts w:hint="eastAsia"/>
          <w:lang w:val="en-US" w:eastAsia="zh-CN"/>
        </w:rPr>
        <w:t>北京市朝阳区驼房营南路新华科技大厦11层1109会议室</w:t>
      </w:r>
    </w:p>
    <w:p>
      <w:pPr>
        <w:bidi w:val="0"/>
        <w:spacing w:line="360" w:lineRule="auto"/>
        <w:rPr>
          <w:rFonts w:hint="eastAsia"/>
          <w:b/>
          <w:bCs/>
        </w:rPr>
      </w:pPr>
      <w:bookmarkStart w:id="20" w:name="_Toc28359007"/>
      <w:bookmarkStart w:id="21" w:name="_Toc35393794"/>
      <w:bookmarkStart w:id="22" w:name="_Toc35393625"/>
      <w:bookmarkStart w:id="23" w:name="_Toc28359084"/>
      <w:r>
        <w:rPr>
          <w:rFonts w:hint="eastAsia"/>
          <w:b/>
          <w:bCs/>
        </w:rPr>
        <w:t>五、公告期限</w:t>
      </w:r>
      <w:bookmarkEnd w:id="20"/>
      <w:bookmarkEnd w:id="21"/>
      <w:bookmarkEnd w:id="22"/>
      <w:bookmarkEnd w:id="23"/>
    </w:p>
    <w:p>
      <w:pPr>
        <w:bidi w:val="0"/>
        <w:spacing w:line="360" w:lineRule="auto"/>
        <w:rPr>
          <w:rFonts w:hint="eastAsia"/>
        </w:rPr>
      </w:pPr>
      <w:r>
        <w:rPr>
          <w:rFonts w:hint="eastAsia"/>
        </w:rPr>
        <w:t>自本公告发布之日起5个工作日。</w:t>
      </w:r>
    </w:p>
    <w:p>
      <w:pPr>
        <w:bidi w:val="0"/>
        <w:spacing w:line="360" w:lineRule="auto"/>
        <w:rPr>
          <w:rFonts w:hint="eastAsia"/>
          <w:b/>
          <w:bCs/>
        </w:rPr>
      </w:pPr>
      <w:bookmarkStart w:id="24" w:name="_Toc35393626"/>
      <w:bookmarkStart w:id="25" w:name="_Toc35393795"/>
      <w:r>
        <w:rPr>
          <w:rFonts w:hint="eastAsia"/>
          <w:b/>
          <w:bCs/>
        </w:rPr>
        <w:t>六、其他补充事宜</w:t>
      </w:r>
      <w:bookmarkEnd w:id="24"/>
      <w:bookmarkEnd w:id="25"/>
    </w:p>
    <w:p>
      <w:pPr>
        <w:bidi w:val="0"/>
        <w:spacing w:line="360" w:lineRule="auto"/>
        <w:rPr>
          <w:rFonts w:hint="eastAsia"/>
          <w:lang w:val="en-US" w:eastAsia="zh-CN"/>
        </w:rPr>
      </w:pPr>
      <w:r>
        <w:rPr>
          <w:rFonts w:hint="eastAsia"/>
          <w:lang w:val="en-US" w:eastAsia="zh-CN"/>
        </w:rPr>
        <w:t>1、资金来源：财政拨款</w:t>
      </w:r>
    </w:p>
    <w:p>
      <w:pPr>
        <w:bidi w:val="0"/>
        <w:spacing w:line="360" w:lineRule="auto"/>
        <w:rPr>
          <w:rFonts w:hint="eastAsia"/>
          <w:lang w:val="en-US" w:eastAsia="zh-CN"/>
        </w:rPr>
      </w:pPr>
      <w:r>
        <w:rPr>
          <w:rFonts w:hint="eastAsia"/>
          <w:lang w:val="en-US" w:eastAsia="zh-CN"/>
        </w:rPr>
        <w:t>2、是否专门面向中小企业或小型、微型企业、监狱企业或残疾人福利性单位采购：否</w:t>
      </w:r>
    </w:p>
    <w:p>
      <w:pPr>
        <w:bidi w:val="0"/>
        <w:spacing w:line="360" w:lineRule="auto"/>
        <w:rPr>
          <w:rFonts w:hint="eastAsia"/>
          <w:lang w:val="en-US" w:eastAsia="zh-CN"/>
        </w:rPr>
      </w:pPr>
      <w:r>
        <w:rPr>
          <w:rFonts w:hint="eastAsia"/>
          <w:lang w:val="en-US" w:eastAsia="zh-CN"/>
        </w:rPr>
        <w:t>3、评标方法：综合评分法。</w:t>
      </w:r>
    </w:p>
    <w:p>
      <w:pPr>
        <w:bidi w:val="0"/>
        <w:spacing w:line="360" w:lineRule="auto"/>
        <w:rPr>
          <w:rFonts w:hint="eastAsia"/>
        </w:rPr>
      </w:pPr>
      <w:r>
        <w:rPr>
          <w:rFonts w:hint="eastAsia"/>
          <w:lang w:val="en-US" w:eastAsia="zh-CN"/>
        </w:rPr>
        <w:t>4、凡对本次招标提出询问及质疑，请与北京合信恒盛咨询有限公司联系（质疑函请采用政府采购供应商质疑函范本格式，以书面形式一次性提交）。</w:t>
      </w:r>
    </w:p>
    <w:p>
      <w:pPr>
        <w:bidi w:val="0"/>
        <w:spacing w:line="360" w:lineRule="auto"/>
        <w:rPr>
          <w:rFonts w:hint="eastAsia"/>
          <w:b/>
          <w:bCs/>
        </w:rPr>
      </w:pPr>
      <w:bookmarkStart w:id="26" w:name="_Toc28359085"/>
      <w:bookmarkStart w:id="27" w:name="_Toc35393627"/>
      <w:bookmarkStart w:id="28" w:name="_Toc35393796"/>
      <w:bookmarkStart w:id="29" w:name="_Toc28359008"/>
      <w:r>
        <w:rPr>
          <w:rFonts w:hint="eastAsia"/>
          <w:b/>
          <w:bCs/>
        </w:rPr>
        <w:t>七、对本次招标提出询问，请按以下方式联系</w:t>
      </w:r>
      <w:bookmarkEnd w:id="26"/>
      <w:bookmarkEnd w:id="27"/>
      <w:bookmarkEnd w:id="28"/>
      <w:bookmarkEnd w:id="29"/>
    </w:p>
    <w:p>
      <w:pPr>
        <w:bidi w:val="0"/>
        <w:spacing w:line="360" w:lineRule="auto"/>
        <w:rPr>
          <w:rFonts w:hint="eastAsia"/>
        </w:rPr>
      </w:pPr>
      <w:r>
        <w:rPr>
          <w:rFonts w:hint="eastAsia"/>
        </w:rPr>
        <w:t>1.采购人信息</w:t>
      </w:r>
    </w:p>
    <w:p>
      <w:pPr>
        <w:bidi w:val="0"/>
        <w:spacing w:line="360" w:lineRule="auto"/>
        <w:rPr>
          <w:rFonts w:hint="eastAsia"/>
          <w:lang w:val="en-US" w:eastAsia="zh-CN"/>
        </w:rPr>
      </w:pPr>
      <w:r>
        <w:rPr>
          <w:rFonts w:hint="eastAsia"/>
        </w:rPr>
        <w:t>名 称：</w:t>
      </w:r>
      <w:r>
        <w:rPr>
          <w:rFonts w:hint="eastAsia"/>
          <w:lang w:val="en-US" w:eastAsia="zh-CN"/>
        </w:rPr>
        <w:t>北京市朝阳区管庄乡人民政府</w:t>
      </w:r>
    </w:p>
    <w:p>
      <w:pPr>
        <w:bidi w:val="0"/>
        <w:spacing w:line="360" w:lineRule="auto"/>
        <w:rPr>
          <w:rFonts w:hint="eastAsia"/>
          <w:lang w:val="en-US" w:eastAsia="zh-CN"/>
        </w:rPr>
      </w:pPr>
      <w:r>
        <w:rPr>
          <w:rFonts w:hint="eastAsia"/>
        </w:rPr>
        <w:t>地址：</w:t>
      </w:r>
      <w:r>
        <w:rPr>
          <w:rFonts w:hint="eastAsia"/>
          <w:lang w:val="en-US" w:eastAsia="zh-CN"/>
        </w:rPr>
        <w:t>北京市朝阳区管庄乡1号人民政府</w:t>
      </w:r>
    </w:p>
    <w:p>
      <w:pPr>
        <w:bidi w:val="0"/>
        <w:spacing w:line="360" w:lineRule="auto"/>
        <w:rPr>
          <w:rFonts w:hint="eastAsia"/>
        </w:rPr>
      </w:pPr>
      <w:r>
        <w:rPr>
          <w:rFonts w:hint="eastAsia"/>
        </w:rPr>
        <w:t>联系方式：</w:t>
      </w:r>
      <w:r>
        <w:rPr>
          <w:rFonts w:hint="eastAsia"/>
          <w:lang w:val="en-US" w:eastAsia="zh-CN"/>
        </w:rPr>
        <w:t>董雪  010-65716210</w:t>
      </w:r>
      <w:r>
        <w:rPr>
          <w:rFonts w:hint="eastAsia"/>
        </w:rPr>
        <w:t xml:space="preserve">　　 </w:t>
      </w:r>
      <w:bookmarkStart w:id="30" w:name="_Toc28359086"/>
      <w:bookmarkStart w:id="31" w:name="_Toc28359009"/>
    </w:p>
    <w:p>
      <w:pPr>
        <w:bidi w:val="0"/>
        <w:spacing w:line="360" w:lineRule="auto"/>
        <w:rPr>
          <w:rFonts w:hint="eastAsia"/>
        </w:rPr>
      </w:pPr>
      <w:r>
        <w:rPr>
          <w:rFonts w:hint="eastAsia"/>
        </w:rPr>
        <w:t>2.采购代理机构信息</w:t>
      </w:r>
      <w:bookmarkEnd w:id="30"/>
      <w:bookmarkEnd w:id="31"/>
    </w:p>
    <w:p>
      <w:pPr>
        <w:bidi w:val="0"/>
        <w:spacing w:line="360" w:lineRule="auto"/>
        <w:rPr>
          <w:rFonts w:hint="eastAsia"/>
          <w:lang w:val="en-US" w:eastAsia="zh-CN"/>
        </w:rPr>
      </w:pPr>
      <w:r>
        <w:rPr>
          <w:rFonts w:hint="eastAsia"/>
        </w:rPr>
        <w:t>名 称：</w:t>
      </w:r>
      <w:r>
        <w:rPr>
          <w:rFonts w:hint="eastAsia"/>
          <w:lang w:val="en-US" w:eastAsia="zh-CN"/>
        </w:rPr>
        <w:t>北京合信恒盛咨询有限公司</w:t>
      </w:r>
    </w:p>
    <w:p>
      <w:pPr>
        <w:bidi w:val="0"/>
        <w:spacing w:line="360" w:lineRule="auto"/>
        <w:rPr>
          <w:rFonts w:hint="eastAsia"/>
        </w:rPr>
      </w:pPr>
      <w:r>
        <w:rPr>
          <w:rFonts w:hint="eastAsia"/>
        </w:rPr>
        <w:t>地　址：</w:t>
      </w:r>
      <w:r>
        <w:rPr>
          <w:rFonts w:hint="eastAsia"/>
          <w:lang w:val="en-US" w:eastAsia="zh-CN"/>
        </w:rPr>
        <w:t>北京市朝阳区驼房营南路新华科技大厦11层1109</w:t>
      </w:r>
    </w:p>
    <w:p>
      <w:pPr>
        <w:bidi w:val="0"/>
        <w:spacing w:line="360" w:lineRule="auto"/>
        <w:rPr>
          <w:rFonts w:hint="eastAsia"/>
        </w:rPr>
      </w:pPr>
      <w:r>
        <w:rPr>
          <w:rFonts w:hint="eastAsia"/>
        </w:rPr>
        <w:t>联系方式：</w:t>
      </w:r>
      <w:bookmarkStart w:id="32" w:name="_Toc28359087"/>
      <w:bookmarkStart w:id="33" w:name="_Toc28359010"/>
      <w:r>
        <w:rPr>
          <w:rFonts w:hint="eastAsia"/>
          <w:lang w:val="en-US" w:eastAsia="zh-CN"/>
        </w:rPr>
        <w:t>李冬13241821898</w:t>
      </w:r>
    </w:p>
    <w:p>
      <w:pPr>
        <w:bidi w:val="0"/>
        <w:spacing w:line="360" w:lineRule="auto"/>
        <w:rPr>
          <w:rFonts w:hint="eastAsia"/>
        </w:rPr>
      </w:pPr>
      <w:r>
        <w:rPr>
          <w:rFonts w:hint="eastAsia"/>
        </w:rPr>
        <w:t>3.项目联系方式</w:t>
      </w:r>
      <w:bookmarkEnd w:id="32"/>
      <w:bookmarkEnd w:id="33"/>
    </w:p>
    <w:p>
      <w:pPr>
        <w:bidi w:val="0"/>
        <w:spacing w:line="360" w:lineRule="auto"/>
        <w:rPr>
          <w:rFonts w:hint="eastAsia"/>
          <w:lang w:eastAsia="zh-CN"/>
        </w:rPr>
      </w:pPr>
      <w:r>
        <w:rPr>
          <w:rFonts w:hint="eastAsia"/>
        </w:rPr>
        <w:t>项目联系人：</w:t>
      </w:r>
      <w:r>
        <w:rPr>
          <w:rFonts w:hint="eastAsia"/>
          <w:lang w:val="en-US" w:eastAsia="zh-CN"/>
        </w:rPr>
        <w:t>李冬</w:t>
      </w:r>
    </w:p>
    <w:p>
      <w:pPr>
        <w:bidi w:val="0"/>
        <w:spacing w:line="360" w:lineRule="auto"/>
        <w:rPr>
          <w:rFonts w:hint="eastAsia"/>
          <w:lang w:val="en-US" w:eastAsia="zh-CN"/>
        </w:rPr>
      </w:pPr>
      <w:r>
        <w:rPr>
          <w:rFonts w:hint="eastAsia"/>
        </w:rPr>
        <w:t>电　话：</w:t>
      </w:r>
      <w:r>
        <w:rPr>
          <w:rFonts w:hint="eastAsia"/>
          <w:lang w:val="en-US" w:eastAsia="zh-CN"/>
        </w:rPr>
        <w:t>13241821898</w:t>
      </w:r>
    </w:p>
    <w:p>
      <w:pPr>
        <w:pStyle w:val="12"/>
        <w:snapToGrid w:val="0"/>
        <w:spacing w:line="360" w:lineRule="auto"/>
        <w:ind w:right="690"/>
        <w:jc w:val="both"/>
        <w:rPr>
          <w:rFonts w:ascii="Times New Roman" w:hAnsi="Times New Roman"/>
          <w:color w:val="auto"/>
          <w:lang w:eastAsia="zh-CN"/>
        </w:rPr>
      </w:pPr>
    </w:p>
    <w:p>
      <w:pPr>
        <w:snapToGrid w:val="0"/>
        <w:spacing w:line="360" w:lineRule="auto"/>
        <w:ind w:left="4395"/>
        <w:jc w:val="center"/>
        <w:rPr>
          <w:rFonts w:ascii="Times New Roman" w:hAnsi="Times New Roman"/>
          <w:color w:val="auto"/>
          <w:sz w:val="24"/>
          <w:szCs w:val="24"/>
          <w:lang w:eastAsia="zh-CN"/>
        </w:rPr>
        <w:sectPr>
          <w:footerReference r:id="rId4" w:type="default"/>
          <w:pgSz w:w="11910" w:h="16840"/>
          <w:pgMar w:top="1588" w:right="1418" w:bottom="1418" w:left="1814" w:header="731" w:footer="992" w:gutter="0"/>
          <w:pgNumType w:start="1"/>
          <w:cols w:space="720" w:num="1"/>
        </w:sectPr>
      </w:pPr>
    </w:p>
    <w:p>
      <w:pPr>
        <w:pStyle w:val="34"/>
        <w:spacing w:before="120" w:after="120"/>
        <w:rPr>
          <w:rFonts w:ascii="Times New Roman" w:hAnsi="Times New Roman" w:eastAsia="宋体"/>
          <w:color w:val="auto"/>
          <w:lang w:eastAsia="zh-CN"/>
        </w:rPr>
      </w:pPr>
      <w:bookmarkStart w:id="34" w:name="_Toc42528021"/>
      <w:bookmarkStart w:id="35" w:name="_Toc522883948"/>
      <w:bookmarkStart w:id="36" w:name="_Toc519721491"/>
      <w:r>
        <w:rPr>
          <w:rFonts w:ascii="Times New Roman" w:hAnsi="Times New Roman" w:eastAsia="宋体"/>
          <w:color w:val="auto"/>
          <w:lang w:eastAsia="zh-CN"/>
        </w:rPr>
        <w:t>第二章</w:t>
      </w:r>
      <w:r>
        <w:rPr>
          <w:rFonts w:ascii="Times New Roman" w:hAnsi="Times New Roman" w:eastAsia="宋体"/>
          <w:color w:val="auto"/>
          <w:lang w:eastAsia="zh-CN"/>
        </w:rPr>
        <w:tab/>
      </w:r>
      <w:r>
        <w:rPr>
          <w:rFonts w:ascii="Times New Roman" w:hAnsi="Times New Roman" w:eastAsia="宋体"/>
          <w:color w:val="auto"/>
          <w:lang w:eastAsia="zh-CN"/>
        </w:rPr>
        <w:t>投标人须知</w:t>
      </w:r>
      <w:bookmarkEnd w:id="34"/>
      <w:bookmarkEnd w:id="35"/>
      <w:bookmarkEnd w:id="36"/>
    </w:p>
    <w:p>
      <w:pPr>
        <w:pStyle w:val="4"/>
        <w:keepNext w:val="0"/>
        <w:keepLines w:val="0"/>
        <w:jc w:val="center"/>
        <w:rPr>
          <w:rFonts w:ascii="Times New Roman" w:hAnsi="Times New Roman"/>
          <w:color w:val="auto"/>
        </w:rPr>
      </w:pPr>
      <w:bookmarkStart w:id="37" w:name="_Toc519721492"/>
      <w:bookmarkStart w:id="38" w:name="_Toc522883949"/>
      <w:r>
        <w:rPr>
          <w:rFonts w:ascii="Times New Roman" w:hAnsi="Times New Roman"/>
          <w:color w:val="auto"/>
        </w:rPr>
        <w:t>投标人须知前附表</w:t>
      </w:r>
      <w:bookmarkEnd w:id="37"/>
      <w:bookmarkEnd w:id="38"/>
    </w:p>
    <w:p>
      <w:pPr>
        <w:pStyle w:val="12"/>
        <w:spacing w:before="122" w:line="364" w:lineRule="auto"/>
        <w:ind w:right="666" w:firstLine="480" w:firstLineChars="200"/>
        <w:rPr>
          <w:rFonts w:ascii="Times New Roman" w:hAnsi="Times New Roman"/>
          <w:color w:val="auto"/>
          <w:lang w:eastAsia="zh-CN"/>
        </w:rPr>
      </w:pPr>
      <w:r>
        <w:rPr>
          <w:rFonts w:ascii="Times New Roman" w:hAnsi="Times New Roman"/>
          <w:color w:val="auto"/>
          <w:lang w:eastAsia="zh-CN"/>
        </w:rPr>
        <w:t>本表是对投标人须知的具体补充和修改，如有矛盾，应以本</w:t>
      </w:r>
      <w:r>
        <w:rPr>
          <w:rFonts w:hint="eastAsia" w:ascii="Times New Roman" w:hAnsi="Times New Roman"/>
          <w:color w:val="auto"/>
          <w:lang w:eastAsia="zh-CN"/>
        </w:rPr>
        <w:t>前</w:t>
      </w:r>
      <w:r>
        <w:rPr>
          <w:rFonts w:ascii="Times New Roman" w:hAnsi="Times New Roman"/>
          <w:color w:val="auto"/>
          <w:lang w:eastAsia="zh-CN"/>
        </w:rPr>
        <w:t>附表为准。</w:t>
      </w:r>
    </w:p>
    <w:tbl>
      <w:tblPr>
        <w:tblStyle w:val="36"/>
        <w:tblW w:w="9438" w:type="dxa"/>
        <w:tblInd w:w="-17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3"/>
        <w:gridCol w:w="1616"/>
        <w:gridCol w:w="917"/>
        <w:gridCol w:w="620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3" w:hRule="atLeast"/>
          <w:tblHeader/>
        </w:trPr>
        <w:tc>
          <w:tcPr>
            <w:tcW w:w="703" w:type="dxa"/>
            <w:vAlign w:val="center"/>
          </w:tcPr>
          <w:p>
            <w:pPr>
              <w:snapToGrid w:val="0"/>
              <w:spacing w:line="300" w:lineRule="auto"/>
              <w:jc w:val="center"/>
              <w:rPr>
                <w:rFonts w:ascii="Times New Roman" w:hAnsi="Times New Roman" w:cs="微软雅黑"/>
                <w:b/>
                <w:color w:val="auto"/>
                <w:sz w:val="24"/>
                <w:szCs w:val="24"/>
              </w:rPr>
            </w:pPr>
            <w:r>
              <w:rPr>
                <w:rFonts w:hint="eastAsia" w:ascii="Times New Roman" w:hAnsi="Times New Roman"/>
                <w:b/>
                <w:color w:val="auto"/>
                <w:sz w:val="24"/>
                <w:szCs w:val="24"/>
              </w:rPr>
              <w:t>序号</w:t>
            </w:r>
          </w:p>
        </w:tc>
        <w:tc>
          <w:tcPr>
            <w:tcW w:w="1616" w:type="dxa"/>
            <w:vAlign w:val="center"/>
          </w:tcPr>
          <w:p>
            <w:pPr>
              <w:snapToGrid w:val="0"/>
              <w:spacing w:line="300" w:lineRule="auto"/>
              <w:jc w:val="center"/>
              <w:rPr>
                <w:rFonts w:ascii="Times New Roman" w:hAnsi="Times New Roman" w:cs="微软雅黑"/>
                <w:b/>
                <w:color w:val="auto"/>
                <w:sz w:val="24"/>
                <w:szCs w:val="24"/>
              </w:rPr>
            </w:pPr>
            <w:r>
              <w:rPr>
                <w:rFonts w:hint="eastAsia" w:ascii="Times New Roman" w:hAnsi="Times New Roman"/>
                <w:b/>
                <w:color w:val="auto"/>
                <w:sz w:val="24"/>
                <w:szCs w:val="24"/>
              </w:rPr>
              <w:t>内容</w:t>
            </w:r>
          </w:p>
        </w:tc>
        <w:tc>
          <w:tcPr>
            <w:tcW w:w="917" w:type="dxa"/>
            <w:vAlign w:val="center"/>
          </w:tcPr>
          <w:p>
            <w:pPr>
              <w:snapToGrid w:val="0"/>
              <w:spacing w:line="300" w:lineRule="auto"/>
              <w:ind w:left="-110" w:leftChars="-50" w:right="-110" w:rightChars="-50"/>
              <w:jc w:val="center"/>
              <w:rPr>
                <w:rFonts w:ascii="Times New Roman" w:hAnsi="Times New Roman"/>
                <w:b/>
                <w:color w:val="auto"/>
                <w:sz w:val="24"/>
                <w:szCs w:val="24"/>
              </w:rPr>
            </w:pPr>
            <w:r>
              <w:rPr>
                <w:rFonts w:hint="eastAsia" w:ascii="Times New Roman" w:hAnsi="Times New Roman"/>
                <w:b/>
                <w:color w:val="auto"/>
                <w:sz w:val="24"/>
                <w:szCs w:val="24"/>
              </w:rPr>
              <w:t>对应条款号</w:t>
            </w:r>
          </w:p>
        </w:tc>
        <w:tc>
          <w:tcPr>
            <w:tcW w:w="6202" w:type="dxa"/>
            <w:vAlign w:val="center"/>
          </w:tcPr>
          <w:p>
            <w:pPr>
              <w:snapToGrid w:val="0"/>
              <w:spacing w:line="300" w:lineRule="auto"/>
              <w:jc w:val="center"/>
              <w:rPr>
                <w:rFonts w:ascii="Times New Roman" w:hAnsi="Times New Roman" w:cs="微软雅黑"/>
                <w:b/>
                <w:color w:val="auto"/>
                <w:sz w:val="24"/>
                <w:szCs w:val="24"/>
              </w:rPr>
            </w:pPr>
            <w:r>
              <w:rPr>
                <w:rFonts w:hint="eastAsia" w:ascii="Times New Roman" w:hAnsi="Times New Roman"/>
                <w:b/>
                <w:color w:val="auto"/>
                <w:sz w:val="24"/>
                <w:szCs w:val="24"/>
              </w:rPr>
              <w:t>说明与要求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rPr>
            </w:pPr>
          </w:p>
        </w:tc>
        <w:tc>
          <w:tcPr>
            <w:tcW w:w="1616" w:type="dxa"/>
            <w:vAlign w:val="center"/>
          </w:tcPr>
          <w:p>
            <w:pPr>
              <w:snapToGrid w:val="0"/>
              <w:spacing w:line="300" w:lineRule="auto"/>
              <w:jc w:val="both"/>
              <w:rPr>
                <w:rFonts w:ascii="Times New Roman" w:hAnsi="Times New Roman" w:cs="微软雅黑"/>
                <w:bCs/>
                <w:color w:val="auto"/>
                <w:sz w:val="24"/>
                <w:szCs w:val="24"/>
                <w:lang w:eastAsia="zh-CN"/>
              </w:rPr>
            </w:pPr>
            <w:r>
              <w:rPr>
                <w:rFonts w:hint="eastAsia" w:ascii="Times New Roman" w:hAnsi="Times New Roman" w:cs="微软雅黑"/>
                <w:color w:val="auto"/>
                <w:sz w:val="24"/>
                <w:szCs w:val="24"/>
                <w:lang w:eastAsia="zh-CN"/>
              </w:rPr>
              <w:t>采购人</w:t>
            </w:r>
          </w:p>
        </w:tc>
        <w:tc>
          <w:tcPr>
            <w:tcW w:w="917" w:type="dxa"/>
            <w:vAlign w:val="center"/>
          </w:tcPr>
          <w:p>
            <w:pPr>
              <w:snapToGrid w:val="0"/>
              <w:spacing w:line="300" w:lineRule="auto"/>
              <w:jc w:val="center"/>
              <w:rPr>
                <w:rFonts w:ascii="Times New Roman" w:hAnsi="Times New Roman" w:cs="微软雅黑"/>
                <w:color w:val="auto"/>
                <w:sz w:val="24"/>
                <w:szCs w:val="24"/>
                <w:lang w:eastAsia="zh-CN"/>
              </w:rPr>
            </w:pPr>
            <w:r>
              <w:rPr>
                <w:rFonts w:hint="eastAsia" w:ascii="Times New Roman" w:hAnsi="Times New Roman" w:cs="微软雅黑"/>
                <w:color w:val="auto"/>
                <w:sz w:val="24"/>
                <w:szCs w:val="24"/>
              </w:rPr>
              <w:t>1</w:t>
            </w:r>
            <w:r>
              <w:rPr>
                <w:rFonts w:hint="eastAsia" w:ascii="Times New Roman" w:hAnsi="Times New Roman" w:cs="微软雅黑"/>
                <w:color w:val="auto"/>
                <w:sz w:val="24"/>
                <w:szCs w:val="24"/>
                <w:lang w:eastAsia="zh-CN"/>
              </w:rPr>
              <w:t>.1</w:t>
            </w:r>
          </w:p>
        </w:tc>
        <w:tc>
          <w:tcPr>
            <w:tcW w:w="6202" w:type="dxa"/>
            <w:vAlign w:val="center"/>
          </w:tcPr>
          <w:p>
            <w:pPr>
              <w:pStyle w:val="52"/>
              <w:snapToGrid w:val="0"/>
              <w:spacing w:line="300" w:lineRule="auto"/>
              <w:jc w:val="both"/>
              <w:rPr>
                <w:rFonts w:ascii="Times New Roman" w:hAnsi="Times New Roman" w:cs="微软雅黑"/>
                <w:color w:val="auto"/>
                <w:sz w:val="24"/>
                <w:szCs w:val="24"/>
                <w:u w:val="single"/>
                <w:lang w:eastAsia="zh-CN"/>
              </w:rPr>
            </w:pPr>
            <w:bookmarkStart w:id="39" w:name="gxebd_purchaseOrgName_2"/>
            <w:r>
              <w:rPr>
                <w:rFonts w:ascii="Times New Roman" w:hAnsi="Times New Roman"/>
                <w:color w:val="auto"/>
                <w:sz w:val="24"/>
                <w:szCs w:val="24"/>
                <w:lang w:eastAsia="zh-CN"/>
              </w:rPr>
              <w:t>采购人名称：</w:t>
            </w:r>
            <w:bookmarkEnd w:id="39"/>
            <w:r>
              <w:rPr>
                <w:rFonts w:hint="eastAsia" w:ascii="Times New Roman" w:hAnsi="Times New Roman"/>
                <w:color w:val="auto"/>
                <w:sz w:val="24"/>
                <w:szCs w:val="24"/>
                <w:lang w:eastAsia="zh-CN"/>
              </w:rPr>
              <w:t>北京市朝阳区管庄乡人民政府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lang w:eastAsia="zh-CN"/>
              </w:rPr>
            </w:pPr>
            <w:r>
              <w:rPr>
                <w:rFonts w:ascii="Times New Roman" w:hAnsi="Times New Roman"/>
                <w:color w:val="auto"/>
                <w:sz w:val="24"/>
                <w:szCs w:val="24"/>
                <w:lang w:eastAsia="zh-CN"/>
              </w:rPr>
              <w:t>采购代理机构</w:t>
            </w:r>
            <w:r>
              <w:rPr>
                <w:rFonts w:hint="eastAsia" w:ascii="Times New Roman" w:hAnsi="Times New Roman" w:cs="微软雅黑"/>
                <w:color w:val="auto"/>
                <w:sz w:val="24"/>
                <w:szCs w:val="24"/>
                <w:lang w:eastAsia="zh-CN"/>
              </w:rPr>
              <w:t>名称</w:t>
            </w:r>
          </w:p>
        </w:tc>
        <w:tc>
          <w:tcPr>
            <w:tcW w:w="917" w:type="dxa"/>
            <w:vAlign w:val="center"/>
          </w:tcPr>
          <w:p>
            <w:pPr>
              <w:snapToGrid w:val="0"/>
              <w:spacing w:line="300" w:lineRule="auto"/>
              <w:jc w:val="center"/>
              <w:rPr>
                <w:rFonts w:ascii="Times New Roman" w:hAnsi="Times New Roman" w:cs="微软雅黑"/>
                <w:color w:val="auto"/>
                <w:sz w:val="24"/>
                <w:szCs w:val="24"/>
                <w:lang w:eastAsia="zh-CN"/>
              </w:rPr>
            </w:pPr>
            <w:r>
              <w:rPr>
                <w:rFonts w:hint="eastAsia" w:ascii="Times New Roman" w:hAnsi="Times New Roman" w:cs="微软雅黑"/>
                <w:color w:val="auto"/>
                <w:sz w:val="24"/>
                <w:szCs w:val="24"/>
                <w:lang w:eastAsia="zh-CN"/>
              </w:rPr>
              <w:t>1.2</w:t>
            </w:r>
          </w:p>
        </w:tc>
        <w:tc>
          <w:tcPr>
            <w:tcW w:w="6202" w:type="dxa"/>
            <w:vAlign w:val="center"/>
          </w:tcPr>
          <w:p>
            <w:pPr>
              <w:pStyle w:val="52"/>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采购代理机构名称：北京合信恒盛咨询有限公司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rPr>
            </w:pPr>
            <w:r>
              <w:rPr>
                <w:rFonts w:hint="eastAsia" w:ascii="Times New Roman" w:hAnsi="Times New Roman" w:cs="微软雅黑"/>
                <w:color w:val="auto"/>
                <w:sz w:val="24"/>
                <w:szCs w:val="24"/>
              </w:rPr>
              <w:t>投标人资格</w:t>
            </w:r>
          </w:p>
        </w:tc>
        <w:tc>
          <w:tcPr>
            <w:tcW w:w="917" w:type="dxa"/>
            <w:vAlign w:val="center"/>
          </w:tcPr>
          <w:p>
            <w:pPr>
              <w:snapToGrid w:val="0"/>
              <w:spacing w:line="300" w:lineRule="auto"/>
              <w:jc w:val="center"/>
              <w:rPr>
                <w:rFonts w:ascii="Times New Roman" w:hAnsi="Times New Roman" w:cs="微软雅黑"/>
                <w:color w:val="auto"/>
                <w:sz w:val="24"/>
                <w:szCs w:val="24"/>
                <w:lang w:eastAsia="zh-CN"/>
              </w:rPr>
            </w:pPr>
            <w:r>
              <w:rPr>
                <w:rFonts w:hint="eastAsia" w:ascii="Times New Roman" w:hAnsi="Times New Roman" w:cs="微软雅黑"/>
                <w:color w:val="auto"/>
                <w:sz w:val="24"/>
                <w:szCs w:val="24"/>
                <w:lang w:eastAsia="zh-CN"/>
              </w:rPr>
              <w:t>1.3</w:t>
            </w:r>
          </w:p>
        </w:tc>
        <w:tc>
          <w:tcPr>
            <w:tcW w:w="6202" w:type="dxa"/>
            <w:vAlign w:val="center"/>
          </w:tcPr>
          <w:p>
            <w:pPr>
              <w:topLinePunct/>
              <w:snapToGrid w:val="0"/>
              <w:spacing w:line="300" w:lineRule="auto"/>
              <w:jc w:val="both"/>
              <w:rPr>
                <w:rFonts w:ascii="Times New Roman" w:hAnsi="Times New Roman" w:cs="MS Mincho"/>
                <w:color w:val="auto"/>
                <w:sz w:val="24"/>
                <w:szCs w:val="24"/>
                <w:lang w:eastAsia="zh-CN"/>
              </w:rPr>
            </w:pPr>
            <w:r>
              <w:rPr>
                <w:rFonts w:hint="eastAsia" w:ascii="Times New Roman" w:hAnsi="Times New Roman"/>
                <w:color w:val="auto"/>
                <w:sz w:val="24"/>
                <w:szCs w:val="24"/>
                <w:lang w:eastAsia="zh-CN"/>
              </w:rPr>
              <w:t>详</w:t>
            </w:r>
            <w:r>
              <w:rPr>
                <w:rFonts w:ascii="Times New Roman" w:hAnsi="Times New Roman"/>
                <w:color w:val="auto"/>
                <w:sz w:val="24"/>
                <w:szCs w:val="24"/>
                <w:lang w:eastAsia="zh-CN"/>
              </w:rPr>
              <w:t>见第一章</w:t>
            </w:r>
            <w:r>
              <w:rPr>
                <w:rFonts w:hint="eastAsia" w:ascii="Times New Roman" w:hAnsi="Times New Roman"/>
                <w:color w:val="auto"/>
                <w:sz w:val="24"/>
                <w:szCs w:val="24"/>
                <w:lang w:eastAsia="zh-CN"/>
              </w:rPr>
              <w:t>“招标公告”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rPr>
            </w:pPr>
            <w:r>
              <w:rPr>
                <w:rFonts w:hint="eastAsia" w:ascii="Times New Roman" w:hAnsi="Times New Roman" w:cs="微软雅黑"/>
                <w:color w:val="auto"/>
                <w:sz w:val="24"/>
                <w:szCs w:val="24"/>
              </w:rPr>
              <w:t>是否接受联合体</w:t>
            </w:r>
          </w:p>
        </w:tc>
        <w:tc>
          <w:tcPr>
            <w:tcW w:w="917" w:type="dxa"/>
            <w:vAlign w:val="center"/>
          </w:tcPr>
          <w:p>
            <w:pPr>
              <w:snapToGrid w:val="0"/>
              <w:spacing w:line="300" w:lineRule="auto"/>
              <w:jc w:val="center"/>
              <w:rPr>
                <w:rFonts w:ascii="Times New Roman" w:hAnsi="Times New Roman" w:cs="微软雅黑"/>
                <w:color w:val="auto"/>
                <w:sz w:val="24"/>
                <w:szCs w:val="24"/>
                <w:lang w:eastAsia="zh-CN"/>
              </w:rPr>
            </w:pPr>
            <w:r>
              <w:rPr>
                <w:rFonts w:hint="eastAsia" w:ascii="Times New Roman" w:hAnsi="Times New Roman" w:cs="微软雅黑"/>
                <w:color w:val="auto"/>
                <w:sz w:val="24"/>
                <w:szCs w:val="24"/>
                <w:lang w:eastAsia="zh-CN"/>
              </w:rPr>
              <w:t>1.4</w:t>
            </w:r>
          </w:p>
        </w:tc>
        <w:tc>
          <w:tcPr>
            <w:tcW w:w="6202" w:type="dxa"/>
            <w:vAlign w:val="center"/>
          </w:tcPr>
          <w:p>
            <w:pPr>
              <w:topLinePunct/>
              <w:snapToGrid w:val="0"/>
              <w:spacing w:line="300" w:lineRule="auto"/>
              <w:jc w:val="both"/>
              <w:rPr>
                <w:rFonts w:ascii="Times New Roman" w:hAnsi="Times New Roman"/>
                <w:color w:val="auto"/>
                <w:sz w:val="24"/>
                <w:szCs w:val="24"/>
                <w:lang w:eastAsia="zh-CN"/>
              </w:rPr>
            </w:pPr>
            <w:r>
              <w:rPr>
                <w:rFonts w:hint="eastAsia" w:ascii="MS Gothic" w:hAnsi="MS Gothic" w:eastAsia="MS Gothic" w:cs="MS Gothic"/>
                <w:color w:val="auto"/>
                <w:sz w:val="24"/>
                <w:szCs w:val="24"/>
                <w:lang w:eastAsia="zh-CN"/>
              </w:rPr>
              <w:t>■</w:t>
            </w:r>
            <w:r>
              <w:rPr>
                <w:rFonts w:ascii="Times New Roman" w:hAnsi="Times New Roman"/>
                <w:color w:val="auto"/>
                <w:sz w:val="24"/>
                <w:szCs w:val="24"/>
                <w:lang w:eastAsia="zh-CN"/>
              </w:rPr>
              <w:t>不接受</w:t>
            </w:r>
          </w:p>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w:t>
            </w:r>
            <w:r>
              <w:rPr>
                <w:rFonts w:ascii="Times New Roman" w:hAnsi="Times New Roman"/>
                <w:color w:val="auto"/>
                <w:sz w:val="24"/>
                <w:szCs w:val="24"/>
                <w:lang w:eastAsia="zh-CN"/>
              </w:rPr>
              <w:t>接受，</w:t>
            </w:r>
            <w:r>
              <w:rPr>
                <w:rFonts w:hint="eastAsia" w:ascii="Times New Roman" w:hAnsi="Times New Roman"/>
                <w:color w:val="auto"/>
                <w:sz w:val="24"/>
                <w:szCs w:val="24"/>
                <w:lang w:eastAsia="zh-CN"/>
              </w:rPr>
              <w:t>联合体</w:t>
            </w:r>
            <w:r>
              <w:rPr>
                <w:rFonts w:ascii="Times New Roman" w:hAnsi="Times New Roman"/>
                <w:color w:val="auto"/>
                <w:sz w:val="24"/>
                <w:szCs w:val="24"/>
                <w:lang w:eastAsia="zh-CN"/>
              </w:rPr>
              <w:t>需满足的其它要求：</w:t>
            </w:r>
          </w:p>
          <w:p>
            <w:p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1）联合体的各成员应共同签署一份联合体协议；</w:t>
            </w:r>
          </w:p>
          <w:p>
            <w:p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2）组成项目联合体的各成员单位不得再以自己的名义单独响应，也不得同时加入本项目其它联合体参加响应。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snapToGrid w:val="0"/>
              <w:spacing w:line="300" w:lineRule="auto"/>
              <w:jc w:val="both"/>
              <w:rPr>
                <w:rFonts w:ascii="Times New Roman" w:hAnsi="Times New Roman" w:cs="微软雅黑"/>
                <w:bCs/>
                <w:color w:val="auto"/>
                <w:sz w:val="24"/>
                <w:szCs w:val="24"/>
              </w:rPr>
            </w:pPr>
            <w:r>
              <w:rPr>
                <w:rFonts w:hint="eastAsia" w:ascii="Times New Roman" w:hAnsi="Times New Roman" w:cs="微软雅黑"/>
                <w:color w:val="auto"/>
                <w:sz w:val="24"/>
                <w:szCs w:val="24"/>
              </w:rPr>
              <w:t>采购预算金额</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rPr>
              <w:t>2</w:t>
            </w:r>
            <w:r>
              <w:rPr>
                <w:rFonts w:hint="eastAsia" w:ascii="Times New Roman" w:hAnsi="Times New Roman"/>
                <w:color w:val="auto"/>
                <w:sz w:val="24"/>
                <w:szCs w:val="24"/>
                <w:lang w:eastAsia="zh-CN"/>
              </w:rPr>
              <w:t>.2</w:t>
            </w:r>
          </w:p>
        </w:tc>
        <w:tc>
          <w:tcPr>
            <w:tcW w:w="6202" w:type="dxa"/>
            <w:vAlign w:val="center"/>
          </w:tcPr>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本项目预算为：人民币</w:t>
            </w:r>
            <w:r>
              <w:rPr>
                <w:rFonts w:hint="eastAsia" w:ascii="Times New Roman" w:hAnsi="Times New Roman"/>
                <w:color w:val="auto"/>
                <w:sz w:val="24"/>
                <w:szCs w:val="24"/>
                <w:u w:val="single"/>
                <w:lang w:eastAsia="zh-CN"/>
              </w:rPr>
              <w:t>13353664</w:t>
            </w:r>
            <w:r>
              <w:rPr>
                <w:rFonts w:ascii="Times New Roman" w:hAnsi="Times New Roman"/>
                <w:color w:val="auto"/>
                <w:sz w:val="24"/>
                <w:szCs w:val="24"/>
                <w:lang w:eastAsia="zh-CN"/>
              </w:rPr>
              <w:t>元</w:t>
            </w:r>
            <w:r>
              <w:rPr>
                <w:rFonts w:hint="eastAsia" w:ascii="Times New Roman" w:hAnsi="Times New Roman"/>
                <w:color w:val="auto"/>
                <w:sz w:val="24"/>
                <w:szCs w:val="24"/>
                <w:lang w:eastAsia="zh-CN"/>
              </w:rPr>
              <w:t>。超过预算金额的其投标无效。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rPr>
            </w:pPr>
            <w:r>
              <w:rPr>
                <w:rFonts w:hint="eastAsia" w:ascii="Times New Roman" w:hAnsi="Times New Roman" w:cs="微软雅黑"/>
                <w:color w:val="auto"/>
                <w:sz w:val="24"/>
                <w:szCs w:val="24"/>
              </w:rPr>
              <w:t>投标最高限价</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2.3</w:t>
            </w:r>
          </w:p>
        </w:tc>
        <w:tc>
          <w:tcPr>
            <w:tcW w:w="6202" w:type="dxa"/>
            <w:vAlign w:val="center"/>
          </w:tcPr>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本项目投标最高限价为：</w:t>
            </w:r>
            <w:r>
              <w:rPr>
                <w:rFonts w:ascii="Times New Roman" w:hAnsi="Times New Roman"/>
                <w:color w:val="auto"/>
                <w:sz w:val="24"/>
                <w:szCs w:val="24"/>
                <w:lang w:eastAsia="zh-CN"/>
              </w:rPr>
              <w:t>人民币</w:t>
            </w:r>
            <w:r>
              <w:rPr>
                <w:rFonts w:hint="eastAsia" w:ascii="Times New Roman" w:hAnsi="Times New Roman"/>
                <w:color w:val="auto"/>
                <w:sz w:val="24"/>
                <w:szCs w:val="24"/>
                <w:u w:val="single"/>
                <w:lang w:eastAsia="zh-CN"/>
              </w:rPr>
              <w:t>13353664</w:t>
            </w:r>
            <w:r>
              <w:rPr>
                <w:rFonts w:ascii="Times New Roman" w:hAnsi="Times New Roman"/>
                <w:color w:val="auto"/>
                <w:sz w:val="24"/>
                <w:szCs w:val="24"/>
                <w:lang w:eastAsia="zh-CN"/>
              </w:rPr>
              <w:t>元。</w:t>
            </w:r>
            <w:r>
              <w:rPr>
                <w:rFonts w:hint="eastAsia" w:ascii="Times New Roman" w:hAnsi="Times New Roman"/>
                <w:color w:val="auto"/>
                <w:sz w:val="24"/>
                <w:szCs w:val="24"/>
                <w:lang w:eastAsia="zh-CN"/>
              </w:rPr>
              <w:t>超过最高限价的其投标无效。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现场考察</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6.1</w:t>
            </w:r>
          </w:p>
        </w:tc>
        <w:tc>
          <w:tcPr>
            <w:tcW w:w="6202" w:type="dxa"/>
            <w:vAlign w:val="center"/>
          </w:tcPr>
          <w:p>
            <w:pPr>
              <w:pStyle w:val="11"/>
              <w:topLinePunct/>
              <w:snapToGrid w:val="0"/>
              <w:spacing w:after="0" w:line="300" w:lineRule="auto"/>
              <w:jc w:val="both"/>
              <w:rPr>
                <w:rFonts w:ascii="Times New Roman" w:hAnsi="Times New Roman"/>
                <w:color w:val="auto"/>
                <w:sz w:val="24"/>
                <w:szCs w:val="24"/>
                <w:lang w:eastAsia="zh-CN"/>
              </w:rPr>
            </w:pPr>
            <w:r>
              <w:rPr>
                <w:rFonts w:hint="eastAsia" w:ascii="MS Gothic" w:hAnsi="MS Gothic" w:eastAsia="MS Gothic" w:cs="MS Gothic"/>
                <w:color w:val="auto"/>
                <w:sz w:val="24"/>
                <w:szCs w:val="24"/>
                <w:lang w:eastAsia="zh-CN"/>
              </w:rPr>
              <w:t>■</w:t>
            </w:r>
            <w:r>
              <w:rPr>
                <w:rFonts w:ascii="Times New Roman" w:hAnsi="Times New Roman"/>
                <w:color w:val="auto"/>
                <w:sz w:val="24"/>
                <w:szCs w:val="24"/>
                <w:lang w:eastAsia="zh-CN"/>
              </w:rPr>
              <w:t>不</w:t>
            </w:r>
            <w:r>
              <w:rPr>
                <w:rFonts w:hint="eastAsia" w:ascii="Times New Roman" w:hAnsi="Times New Roman"/>
                <w:color w:val="auto"/>
                <w:sz w:val="24"/>
                <w:szCs w:val="24"/>
                <w:lang w:eastAsia="zh-CN"/>
              </w:rPr>
              <w:t>组织</w:t>
            </w:r>
          </w:p>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□组织</w:t>
            </w:r>
            <w:r>
              <w:rPr>
                <w:rFonts w:ascii="Times New Roman" w:hAnsi="Times New Roman"/>
                <w:color w:val="auto"/>
                <w:sz w:val="24"/>
                <w:szCs w:val="24"/>
                <w:lang w:eastAsia="zh-CN"/>
              </w:rPr>
              <w:t>，</w:t>
            </w:r>
            <w:r>
              <w:rPr>
                <w:rFonts w:hint="eastAsia" w:ascii="Times New Roman" w:hAnsi="Times New Roman"/>
                <w:color w:val="auto"/>
                <w:sz w:val="24"/>
                <w:szCs w:val="24"/>
                <w:lang w:eastAsia="zh-CN"/>
              </w:rPr>
              <w:t>集合时间：</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年</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月</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日</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w:t>
            </w:r>
          </w:p>
          <w:p>
            <w:pPr>
              <w:snapToGrid w:val="0"/>
              <w:spacing w:line="300" w:lineRule="auto"/>
              <w:ind w:firstLine="960" w:firstLineChars="40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集合地点：</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w:t>
            </w:r>
          </w:p>
          <w:p>
            <w:pPr>
              <w:snapToGrid w:val="0"/>
              <w:spacing w:line="300" w:lineRule="auto"/>
              <w:ind w:firstLine="960" w:firstLineChars="40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联系人：</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 xml:space="preserve"> 联系电话：</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 xml:space="preserve">； </w:t>
            </w:r>
          </w:p>
          <w:p>
            <w:pPr>
              <w:snapToGrid w:val="0"/>
              <w:spacing w:line="300" w:lineRule="auto"/>
              <w:ind w:firstLine="960" w:firstLineChars="400"/>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请每家潜在投标人最多安排</w:t>
            </w:r>
            <w:r>
              <w:rPr>
                <w:rFonts w:hint="eastAsia"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人出席。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pStyle w:val="10"/>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s="Arial"/>
                <w:color w:val="auto"/>
                <w:sz w:val="24"/>
                <w:szCs w:val="24"/>
                <w:lang w:eastAsia="zh-CN"/>
              </w:rPr>
              <w:t>招标文件的澄清</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7.1</w:t>
            </w:r>
          </w:p>
        </w:tc>
        <w:tc>
          <w:tcPr>
            <w:tcW w:w="6202" w:type="dxa"/>
            <w:vAlign w:val="center"/>
          </w:tcPr>
          <w:p>
            <w:pPr>
              <w:pStyle w:val="10"/>
              <w:numPr>
                <w:ilvl w:val="0"/>
                <w:numId w:val="5"/>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提交形式：</w:t>
            </w:r>
            <w:r>
              <w:rPr>
                <w:rFonts w:hint="eastAsia" w:ascii="Times New Roman" w:hAnsi="Times New Roman"/>
                <w:bCs/>
                <w:color w:val="auto"/>
                <w:sz w:val="24"/>
                <w:szCs w:val="24"/>
                <w:lang w:eastAsia="zh-CN"/>
              </w:rPr>
              <w:t>将</w:t>
            </w:r>
            <w:r>
              <w:rPr>
                <w:rFonts w:hint="eastAsia" w:ascii="Times New Roman" w:hAnsi="Times New Roman"/>
                <w:color w:val="auto"/>
                <w:sz w:val="24"/>
                <w:szCs w:val="24"/>
                <w:lang w:eastAsia="zh-CN"/>
              </w:rPr>
              <w:t>盖章扫描件和可编辑的文档发至采购代理机构邮箱867378431@qq.com且与代理机构确认已收到；</w:t>
            </w:r>
          </w:p>
          <w:p>
            <w:pPr>
              <w:pStyle w:val="10"/>
              <w:numPr>
                <w:ilvl w:val="0"/>
                <w:numId w:val="5"/>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提交截止时间：</w:t>
            </w:r>
            <w:r>
              <w:rPr>
                <w:rFonts w:ascii="Times New Roman" w:hAnsi="Times New Roman"/>
                <w:color w:val="auto"/>
                <w:sz w:val="24"/>
                <w:szCs w:val="24"/>
                <w:u w:val="single"/>
                <w:lang w:eastAsia="zh-CN"/>
              </w:rPr>
              <w:t>20</w:t>
            </w:r>
            <w:r>
              <w:rPr>
                <w:rFonts w:hint="eastAsia" w:ascii="Times New Roman" w:hAnsi="Times New Roman"/>
                <w:color w:val="auto"/>
                <w:sz w:val="24"/>
                <w:szCs w:val="24"/>
                <w:u w:val="single"/>
                <w:lang w:eastAsia="zh-CN"/>
              </w:rPr>
              <w:t>20</w:t>
            </w:r>
            <w:r>
              <w:rPr>
                <w:rFonts w:hint="eastAsia" w:ascii="Times New Roman" w:hAnsi="Times New Roman"/>
                <w:color w:val="auto"/>
                <w:sz w:val="24"/>
                <w:szCs w:val="24"/>
                <w:lang w:eastAsia="zh-CN"/>
              </w:rPr>
              <w:t>年</w:t>
            </w:r>
            <w:r>
              <w:rPr>
                <w:rFonts w:hint="eastAsia" w:ascii="Times New Roman" w:hAnsi="Times New Roman"/>
                <w:color w:val="auto"/>
                <w:sz w:val="24"/>
                <w:szCs w:val="24"/>
                <w:u w:val="single"/>
                <w:lang w:val="en-US" w:eastAsia="zh-CN"/>
              </w:rPr>
              <w:t>6</w:t>
            </w:r>
            <w:r>
              <w:rPr>
                <w:rFonts w:hint="eastAsia" w:ascii="Times New Roman" w:hAnsi="Times New Roman"/>
                <w:color w:val="auto"/>
                <w:sz w:val="24"/>
                <w:szCs w:val="24"/>
                <w:lang w:eastAsia="zh-CN"/>
              </w:rPr>
              <w:t>月</w:t>
            </w:r>
            <w:r>
              <w:rPr>
                <w:rFonts w:hint="eastAsia" w:ascii="Times New Roman" w:hAnsi="Times New Roman"/>
                <w:color w:val="auto"/>
                <w:sz w:val="24"/>
                <w:szCs w:val="24"/>
                <w:u w:val="single"/>
                <w:lang w:val="en-US" w:eastAsia="zh-CN"/>
              </w:rPr>
              <w:t>24</w:t>
            </w:r>
            <w:r>
              <w:rPr>
                <w:rFonts w:hint="eastAsia" w:ascii="Times New Roman" w:hAnsi="Times New Roman"/>
                <w:color w:val="auto"/>
                <w:sz w:val="24"/>
                <w:szCs w:val="24"/>
                <w:lang w:eastAsia="zh-CN"/>
              </w:rPr>
              <w:t>日</w:t>
            </w:r>
            <w:r>
              <w:rPr>
                <w:rFonts w:ascii="Times New Roman" w:hAnsi="Times New Roman"/>
                <w:color w:val="auto"/>
                <w:sz w:val="24"/>
                <w:szCs w:val="24"/>
                <w:u w:val="single"/>
                <w:lang w:eastAsia="zh-CN"/>
              </w:rPr>
              <w:t>16</w:t>
            </w:r>
            <w:r>
              <w:rPr>
                <w:rFonts w:hint="eastAsia" w:ascii="Times New Roman" w:hAnsi="Times New Roman"/>
                <w:color w:val="auto"/>
                <w:sz w:val="24"/>
                <w:szCs w:val="24"/>
                <w:u w:val="single"/>
                <w:lang w:eastAsia="zh-CN"/>
              </w:rPr>
              <w:t>：30</w:t>
            </w:r>
            <w:r>
              <w:rPr>
                <w:rFonts w:hint="eastAsia" w:ascii="Times New Roman" w:hAnsi="Times New Roman"/>
                <w:color w:val="auto"/>
                <w:sz w:val="24"/>
                <w:szCs w:val="24"/>
                <w:lang w:eastAsia="zh-CN"/>
              </w:rPr>
              <w:t>时前。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pStyle w:val="10"/>
              <w:snapToGrid w:val="0"/>
              <w:spacing w:line="300" w:lineRule="auto"/>
              <w:jc w:val="both"/>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招标文件的澄清发出及确认</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7.2</w:t>
            </w:r>
          </w:p>
        </w:tc>
        <w:tc>
          <w:tcPr>
            <w:tcW w:w="6202" w:type="dxa"/>
            <w:vAlign w:val="center"/>
          </w:tcPr>
          <w:p>
            <w:pPr>
              <w:pStyle w:val="10"/>
              <w:numPr>
                <w:ilvl w:val="0"/>
                <w:numId w:val="6"/>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发出时间：投标截止时间15日前；</w:t>
            </w:r>
          </w:p>
          <w:p>
            <w:pPr>
              <w:pStyle w:val="10"/>
              <w:numPr>
                <w:ilvl w:val="0"/>
                <w:numId w:val="6"/>
              </w:num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发出形式</w:t>
            </w:r>
            <w:r>
              <w:rPr>
                <w:rFonts w:hint="eastAsia" w:ascii="Times New Roman" w:hAnsi="Times New Roman"/>
                <w:color w:val="auto"/>
                <w:sz w:val="24"/>
                <w:szCs w:val="24"/>
                <w:lang w:eastAsia="zh-CN"/>
              </w:rPr>
              <w:t>：采购代理机构将以电子邮件方式将澄清、修改文件发送至所有已购买招标文件的潜在投标人报名登记邮箱；</w:t>
            </w:r>
          </w:p>
          <w:p>
            <w:pPr>
              <w:pStyle w:val="10"/>
              <w:numPr>
                <w:ilvl w:val="0"/>
                <w:numId w:val="6"/>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确认时间：投标人收到后24小时内。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pStyle w:val="10"/>
              <w:snapToGrid w:val="0"/>
              <w:spacing w:line="300" w:lineRule="auto"/>
              <w:jc w:val="both"/>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招标文件的修改及确认</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7.5</w:t>
            </w:r>
          </w:p>
        </w:tc>
        <w:tc>
          <w:tcPr>
            <w:tcW w:w="6202" w:type="dxa"/>
            <w:vAlign w:val="center"/>
          </w:tcPr>
          <w:p>
            <w:pPr>
              <w:pStyle w:val="10"/>
              <w:numPr>
                <w:ilvl w:val="0"/>
                <w:numId w:val="7"/>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发出时间：投标截止时间15日前；</w:t>
            </w:r>
          </w:p>
          <w:p>
            <w:pPr>
              <w:pStyle w:val="10"/>
              <w:numPr>
                <w:ilvl w:val="0"/>
                <w:numId w:val="7"/>
              </w:num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发出形式</w:t>
            </w:r>
            <w:r>
              <w:rPr>
                <w:rFonts w:hint="eastAsia" w:ascii="Times New Roman" w:hAnsi="Times New Roman"/>
                <w:color w:val="auto"/>
                <w:sz w:val="24"/>
                <w:szCs w:val="24"/>
                <w:lang w:eastAsia="zh-CN"/>
              </w:rPr>
              <w:t>：采购代理机构将以电子邮件方式将澄清、修改文件发送至所有已购买招标文件的潜在投标人报名登记邮箱；</w:t>
            </w:r>
          </w:p>
          <w:p>
            <w:pPr>
              <w:pStyle w:val="51"/>
              <w:numPr>
                <w:ilvl w:val="0"/>
                <w:numId w:val="7"/>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确认时间：投标人收到后24小时内。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center"/>
              <w:rPr>
                <w:rFonts w:ascii="Times New Roman" w:hAnsi="Times New Roman"/>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rPr>
            </w:pPr>
            <w:r>
              <w:rPr>
                <w:rFonts w:hint="eastAsia" w:ascii="Times New Roman" w:hAnsi="Times New Roman"/>
                <w:color w:val="auto"/>
                <w:sz w:val="24"/>
                <w:szCs w:val="24"/>
              </w:rPr>
              <w:t>投标人资格审查材料</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9.1</w:t>
            </w:r>
          </w:p>
        </w:tc>
        <w:tc>
          <w:tcPr>
            <w:tcW w:w="6202" w:type="dxa"/>
            <w:vAlign w:val="center"/>
          </w:tcPr>
          <w:p>
            <w:p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资格审查材料包括：第六章“投标文件格式”投标人资格部分要求提供的材料。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投标人应提交的商务技术文件</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9.1</w:t>
            </w:r>
          </w:p>
        </w:tc>
        <w:tc>
          <w:tcPr>
            <w:tcW w:w="6202" w:type="dxa"/>
            <w:vAlign w:val="center"/>
          </w:tcPr>
          <w:p>
            <w:p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第六章“投标文件格式”投标文件商务技术部分要求提供的材料。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投标文件是否需分册装订</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9.1</w:t>
            </w:r>
          </w:p>
        </w:tc>
        <w:tc>
          <w:tcPr>
            <w:tcW w:w="6202" w:type="dxa"/>
            <w:vAlign w:val="center"/>
          </w:tcPr>
          <w:p>
            <w:pPr>
              <w:pStyle w:val="52"/>
              <w:spacing w:line="360" w:lineRule="auto"/>
              <w:ind w:left="103"/>
              <w:jc w:val="both"/>
              <w:rPr>
                <w:rFonts w:ascii="Times New Roman" w:hAnsi="Times New Roman"/>
                <w:color w:val="auto"/>
                <w:sz w:val="24"/>
                <w:szCs w:val="24"/>
                <w:lang w:eastAsia="zh-CN"/>
              </w:rPr>
            </w:pPr>
            <w:r>
              <w:rPr>
                <w:rFonts w:hint="eastAsia" w:ascii="MS Gothic" w:hAnsi="MS Gothic" w:eastAsia="MS Gothic" w:cs="MS Gothic"/>
                <w:color w:val="auto"/>
                <w:sz w:val="24"/>
                <w:szCs w:val="24"/>
                <w:lang w:eastAsia="zh-CN"/>
              </w:rPr>
              <w:t>■</w:t>
            </w:r>
            <w:r>
              <w:rPr>
                <w:rFonts w:ascii="Times New Roman" w:hAnsi="Times New Roman"/>
                <w:color w:val="auto"/>
                <w:sz w:val="24"/>
                <w:szCs w:val="24"/>
                <w:lang w:eastAsia="zh-CN"/>
              </w:rPr>
              <w:t>不需要</w:t>
            </w:r>
          </w:p>
          <w:p>
            <w:pPr>
              <w:pStyle w:val="52"/>
              <w:spacing w:line="360" w:lineRule="auto"/>
              <w:ind w:left="103"/>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w:t>
            </w:r>
            <w:r>
              <w:rPr>
                <w:rFonts w:ascii="Times New Roman" w:hAnsi="Times New Roman"/>
                <w:color w:val="auto"/>
                <w:sz w:val="24"/>
                <w:szCs w:val="24"/>
                <w:lang w:eastAsia="zh-CN"/>
              </w:rPr>
              <w:t>需要，分册装订</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共分</w:t>
            </w:r>
            <w:r>
              <w:rPr>
                <w:rFonts w:hint="eastAsia" w:ascii="Times New Roman" w:hAnsi="Times New Roman"/>
                <w:color w:val="auto"/>
                <w:sz w:val="24"/>
                <w:szCs w:val="24"/>
                <w:u w:val="single"/>
                <w:lang w:eastAsia="zh-CN"/>
              </w:rPr>
              <w:t xml:space="preserve"> / </w:t>
            </w:r>
            <w:r>
              <w:rPr>
                <w:rFonts w:hint="eastAsia" w:ascii="Times New Roman" w:hAnsi="Times New Roman"/>
                <w:color w:val="auto"/>
                <w:sz w:val="24"/>
                <w:szCs w:val="24"/>
                <w:lang w:eastAsia="zh-CN"/>
              </w:rPr>
              <w:t>册，</w:t>
            </w:r>
            <w:r>
              <w:rPr>
                <w:rFonts w:ascii="Times New Roman" w:hAnsi="Times New Roman"/>
                <w:color w:val="auto"/>
                <w:sz w:val="24"/>
                <w:szCs w:val="24"/>
                <w:lang w:eastAsia="zh-CN"/>
              </w:rPr>
              <w:t>分别为：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69"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rPr>
            </w:pPr>
            <w:r>
              <w:rPr>
                <w:rFonts w:hint="eastAsia" w:ascii="Times New Roman" w:hAnsi="Times New Roman"/>
                <w:color w:val="auto"/>
                <w:sz w:val="24"/>
                <w:szCs w:val="24"/>
              </w:rPr>
              <w:t>投标保证金</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12.1</w:t>
            </w:r>
          </w:p>
        </w:tc>
        <w:tc>
          <w:tcPr>
            <w:tcW w:w="6202" w:type="dxa"/>
            <w:vAlign w:val="center"/>
          </w:tcPr>
          <w:p>
            <w:pPr>
              <w:pStyle w:val="11"/>
              <w:topLinePunct/>
              <w:snapToGrid w:val="0"/>
              <w:spacing w:after="0"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□本项目不收取投标保证金</w:t>
            </w:r>
          </w:p>
          <w:p>
            <w:pPr>
              <w:snapToGrid w:val="0"/>
              <w:spacing w:line="300" w:lineRule="auto"/>
              <w:jc w:val="both"/>
              <w:rPr>
                <w:rFonts w:ascii="Times New Roman" w:hAnsi="Times New Roman"/>
                <w:color w:val="auto"/>
                <w:sz w:val="24"/>
                <w:szCs w:val="24"/>
                <w:lang w:eastAsia="zh-CN"/>
              </w:rPr>
            </w:pPr>
            <w:r>
              <w:rPr>
                <w:rFonts w:hint="eastAsia" w:ascii="MS Gothic" w:hAnsi="MS Gothic" w:eastAsia="MS Gothic" w:cs="MS Gothic"/>
                <w:color w:val="auto"/>
                <w:sz w:val="24"/>
                <w:szCs w:val="24"/>
                <w:lang w:eastAsia="zh-CN"/>
              </w:rPr>
              <w:t>■</w:t>
            </w:r>
            <w:r>
              <w:rPr>
                <w:rFonts w:hint="eastAsia" w:ascii="Times New Roman" w:hAnsi="Times New Roman"/>
                <w:color w:val="auto"/>
                <w:sz w:val="24"/>
                <w:szCs w:val="24"/>
                <w:lang w:eastAsia="zh-CN"/>
              </w:rPr>
              <w:t>本项目收取投标保证金</w:t>
            </w:r>
            <w:r>
              <w:rPr>
                <w:rFonts w:ascii="Times New Roman" w:hAnsi="Times New Roman"/>
                <w:color w:val="auto"/>
                <w:sz w:val="24"/>
                <w:szCs w:val="24"/>
                <w:lang w:eastAsia="zh-CN"/>
              </w:rPr>
              <w:t>，</w:t>
            </w:r>
            <w:r>
              <w:rPr>
                <w:rFonts w:hint="eastAsia" w:ascii="Times New Roman" w:hAnsi="Times New Roman"/>
                <w:color w:val="auto"/>
                <w:sz w:val="24"/>
                <w:szCs w:val="24"/>
                <w:lang w:eastAsia="zh-CN"/>
              </w:rPr>
              <w:t>具体</w:t>
            </w:r>
            <w:r>
              <w:rPr>
                <w:rFonts w:ascii="Times New Roman" w:hAnsi="Times New Roman"/>
                <w:color w:val="auto"/>
                <w:sz w:val="24"/>
                <w:szCs w:val="24"/>
                <w:lang w:eastAsia="zh-CN"/>
              </w:rPr>
              <w:t>要求如下</w:t>
            </w:r>
          </w:p>
          <w:p>
            <w:pPr>
              <w:pStyle w:val="52"/>
              <w:snapToGrid w:val="0"/>
              <w:spacing w:line="300" w:lineRule="auto"/>
              <w:ind w:left="35" w:firstLine="480"/>
              <w:jc w:val="both"/>
              <w:rPr>
                <w:rFonts w:hint="default" w:ascii="Times New Roman" w:hAnsi="Times New Roman"/>
                <w:b/>
                <w:bCs/>
                <w:color w:val="auto"/>
                <w:sz w:val="24"/>
                <w:szCs w:val="24"/>
                <w:lang w:val="en-US" w:eastAsia="zh-CN"/>
              </w:rPr>
            </w:pPr>
            <w:r>
              <w:rPr>
                <w:rFonts w:ascii="Times New Roman" w:hAnsi="Times New Roman"/>
                <w:b/>
                <w:bCs/>
                <w:color w:val="auto"/>
                <w:sz w:val="24"/>
                <w:szCs w:val="24"/>
                <w:lang w:eastAsia="zh-CN"/>
              </w:rPr>
              <w:t>投标保证金金额：</w:t>
            </w:r>
            <w:r>
              <w:rPr>
                <w:rFonts w:hint="eastAsia" w:ascii="Times New Roman" w:hAnsi="Times New Roman"/>
                <w:b/>
                <w:bCs/>
                <w:color w:val="auto"/>
                <w:sz w:val="24"/>
                <w:szCs w:val="24"/>
                <w:u w:val="single"/>
                <w:lang w:val="en-US" w:eastAsia="zh-CN"/>
              </w:rPr>
              <w:t>260000.00元</w:t>
            </w:r>
          </w:p>
          <w:p>
            <w:pPr>
              <w:pStyle w:val="52"/>
              <w:snapToGrid w:val="0"/>
              <w:spacing w:line="300" w:lineRule="auto"/>
              <w:ind w:left="35" w:right="89" w:firstLine="480"/>
              <w:jc w:val="both"/>
              <w:rPr>
                <w:rFonts w:ascii="Times New Roman" w:hAnsi="Times New Roman"/>
                <w:color w:val="auto"/>
                <w:sz w:val="24"/>
                <w:szCs w:val="24"/>
                <w:lang w:eastAsia="zh-CN"/>
              </w:rPr>
            </w:pPr>
            <w:r>
              <w:rPr>
                <w:rFonts w:ascii="Times New Roman" w:hAnsi="Times New Roman"/>
                <w:color w:val="auto"/>
                <w:sz w:val="24"/>
                <w:szCs w:val="24"/>
                <w:lang w:eastAsia="zh-CN"/>
              </w:rPr>
              <w:t>投标保证金形式：支票、汇票、本票、网上银行支付、金融机构或担保机构出具的保函等非现金形式</w:t>
            </w:r>
            <w:r>
              <w:rPr>
                <w:rFonts w:hint="eastAsia" w:ascii="Times New Roman" w:hAnsi="Times New Roman"/>
                <w:color w:val="auto"/>
                <w:sz w:val="24"/>
                <w:szCs w:val="24"/>
                <w:lang w:eastAsia="zh-CN"/>
              </w:rPr>
              <w:t>。</w:t>
            </w:r>
          </w:p>
          <w:p>
            <w:pPr>
              <w:snapToGrid w:val="0"/>
              <w:spacing w:line="300" w:lineRule="auto"/>
              <w:ind w:firstLine="480" w:firstLineChars="200"/>
              <w:jc w:val="both"/>
              <w:rPr>
                <w:rFonts w:ascii="Times New Roman" w:hAnsi="Times New Roman"/>
                <w:color w:val="auto"/>
                <w:sz w:val="24"/>
                <w:szCs w:val="24"/>
                <w:lang w:eastAsia="zh-CN"/>
              </w:rPr>
            </w:pPr>
            <w:r>
              <w:rPr>
                <w:rFonts w:ascii="Times New Roman" w:hAnsi="Times New Roman"/>
                <w:color w:val="auto"/>
                <w:sz w:val="24"/>
                <w:szCs w:val="24"/>
                <w:lang w:eastAsia="zh-CN"/>
              </w:rPr>
              <w:t>投标保证金提交截止时间：投标人应在投标截止时间前按招标文件规定的金额、形式等，将投标保证金</w:t>
            </w:r>
            <w:r>
              <w:rPr>
                <w:rFonts w:hint="eastAsia" w:ascii="Times New Roman" w:hAnsi="Times New Roman"/>
                <w:color w:val="auto"/>
                <w:sz w:val="24"/>
                <w:szCs w:val="24"/>
                <w:lang w:eastAsia="zh-CN"/>
              </w:rPr>
              <w:t>缴纳至</w:t>
            </w:r>
            <w:r>
              <w:rPr>
                <w:rFonts w:ascii="Times New Roman" w:hAnsi="Times New Roman"/>
                <w:color w:val="auto"/>
                <w:sz w:val="24"/>
                <w:szCs w:val="24"/>
                <w:lang w:eastAsia="zh-CN"/>
              </w:rPr>
              <w:t>北京合信恒盛咨询有限公司（采用电汇或网上银行支付的，须在投标截止时间前到账）</w:t>
            </w:r>
            <w:r>
              <w:rPr>
                <w:rFonts w:hint="eastAsia" w:ascii="Times New Roman" w:hAnsi="Times New Roman"/>
                <w:color w:val="auto"/>
                <w:sz w:val="24"/>
                <w:szCs w:val="24"/>
                <w:lang w:eastAsia="zh-CN"/>
              </w:rPr>
              <w:t>。</w:t>
            </w:r>
          </w:p>
          <w:p>
            <w:pPr>
              <w:pStyle w:val="52"/>
              <w:snapToGrid w:val="0"/>
              <w:spacing w:line="300" w:lineRule="auto"/>
              <w:ind w:left="35" w:firstLine="48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投标保证金银行账号：</w:t>
            </w:r>
          </w:p>
          <w:p>
            <w:pPr>
              <w:snapToGrid w:val="0"/>
              <w:spacing w:line="300" w:lineRule="auto"/>
              <w:ind w:firstLine="480" w:firstLineChars="200"/>
              <w:jc w:val="both"/>
              <w:rPr>
                <w:rFonts w:ascii="Times New Roman" w:hAnsi="Times New Roman"/>
                <w:color w:val="auto"/>
                <w:sz w:val="24"/>
                <w:szCs w:val="24"/>
                <w:lang w:eastAsia="zh-CN"/>
              </w:rPr>
            </w:pPr>
            <w:r>
              <w:rPr>
                <w:rFonts w:ascii="Times New Roman" w:hAnsi="Times New Roman"/>
                <w:color w:val="auto"/>
                <w:sz w:val="24"/>
                <w:szCs w:val="24"/>
                <w:lang w:eastAsia="zh-CN"/>
              </w:rPr>
              <w:t>收款单位：</w:t>
            </w:r>
            <w:r>
              <w:rPr>
                <w:rFonts w:hint="eastAsia" w:ascii="Times New Roman" w:hAnsi="Times New Roman"/>
                <w:color w:val="auto"/>
                <w:sz w:val="24"/>
                <w:szCs w:val="24"/>
                <w:lang w:eastAsia="zh-CN"/>
              </w:rPr>
              <w:t>北京合信恒盛咨询有限公司</w:t>
            </w:r>
          </w:p>
          <w:p>
            <w:pPr>
              <w:snapToGrid w:val="0"/>
              <w:spacing w:line="300" w:lineRule="auto"/>
              <w:ind w:firstLine="480" w:firstLineChars="20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开户名：北京合信恒盛咨询有限公司</w:t>
            </w:r>
          </w:p>
          <w:p>
            <w:pPr>
              <w:snapToGrid w:val="0"/>
              <w:spacing w:line="300" w:lineRule="auto"/>
              <w:ind w:firstLine="480" w:firstLineChars="20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开户银行：招商银行股份有限公司北京光华路支行</w:t>
            </w:r>
          </w:p>
          <w:p>
            <w:pPr>
              <w:snapToGrid w:val="0"/>
              <w:spacing w:line="300" w:lineRule="auto"/>
              <w:ind w:firstLine="480" w:firstLineChars="20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银行账号：</w:t>
            </w:r>
            <w:r>
              <w:rPr>
                <w:rFonts w:ascii="Times New Roman" w:hAnsi="Times New Roman"/>
                <w:color w:val="auto"/>
                <w:sz w:val="24"/>
                <w:szCs w:val="24"/>
                <w:lang w:eastAsia="zh-CN"/>
              </w:rPr>
              <w:t>110922701010801</w:t>
            </w:r>
            <w:r>
              <w:rPr>
                <w:rFonts w:hint="eastAsia" w:ascii="Times New Roman" w:hAnsi="Times New Roman"/>
                <w:color w:val="auto"/>
                <w:sz w:val="24"/>
                <w:szCs w:val="24"/>
                <w:lang w:eastAsia="zh-CN"/>
              </w:rPr>
              <w:t xml:space="preserve"> </w:t>
            </w:r>
          </w:p>
          <w:p>
            <w:pPr>
              <w:snapToGrid w:val="0"/>
              <w:spacing w:line="300" w:lineRule="auto"/>
              <w:ind w:firstLine="480" w:firstLineChars="200"/>
              <w:jc w:val="both"/>
              <w:rPr>
                <w:rFonts w:ascii="Times New Roman" w:hAnsi="Times New Roman" w:cs="微软雅黑"/>
                <w:color w:val="auto"/>
                <w:sz w:val="24"/>
                <w:szCs w:val="24"/>
                <w:lang w:eastAsia="zh-CN"/>
              </w:rPr>
            </w:pPr>
            <w:r>
              <w:rPr>
                <w:rFonts w:ascii="Times New Roman" w:hAnsi="Times New Roman" w:cstheme="minorBidi"/>
                <w:color w:val="auto"/>
                <w:sz w:val="24"/>
                <w:szCs w:val="24"/>
                <w:lang w:eastAsia="zh-CN"/>
              </w:rPr>
              <w:t>注：为便于采购代理机构及时准确地核实投标人的保证金是否到账，投标人电汇投标保证金时应在电汇汇款附言</w:t>
            </w:r>
            <w:r>
              <w:rPr>
                <w:rFonts w:hint="eastAsia" w:ascii="Times New Roman" w:hAnsi="Times New Roman" w:cstheme="minorBidi"/>
                <w:color w:val="auto"/>
                <w:sz w:val="24"/>
                <w:szCs w:val="24"/>
                <w:lang w:eastAsia="zh-CN"/>
              </w:rPr>
              <w:t>中</w:t>
            </w:r>
            <w:r>
              <w:rPr>
                <w:rFonts w:ascii="Times New Roman" w:hAnsi="Times New Roman" w:cstheme="minorBidi"/>
                <w:color w:val="auto"/>
                <w:sz w:val="24"/>
                <w:szCs w:val="24"/>
                <w:lang w:eastAsia="zh-CN"/>
              </w:rPr>
              <w:t>注明：招标编号（）和用途</w:t>
            </w:r>
            <w:r>
              <w:rPr>
                <w:rFonts w:hint="eastAsia" w:ascii="Times New Roman" w:hAnsi="Times New Roman" w:cstheme="minorBidi"/>
                <w:color w:val="auto"/>
                <w:sz w:val="24"/>
                <w:szCs w:val="24"/>
                <w:lang w:eastAsia="zh-CN"/>
              </w:rPr>
              <w:t>，</w:t>
            </w:r>
            <w:r>
              <w:rPr>
                <w:rFonts w:ascii="Times New Roman" w:hAnsi="Times New Roman" w:cstheme="minorBidi"/>
                <w:color w:val="auto"/>
                <w:sz w:val="24"/>
                <w:szCs w:val="24"/>
                <w:lang w:eastAsia="zh-CN"/>
              </w:rPr>
              <w:t>如</w:t>
            </w:r>
            <w:r>
              <w:rPr>
                <w:rFonts w:hint="eastAsia" w:ascii="Times New Roman" w:hAnsi="Times New Roman" w:cs="Arial"/>
                <w:color w:val="auto"/>
                <w:sz w:val="24"/>
                <w:szCs w:val="24"/>
                <w:lang w:eastAsia="zh-CN"/>
              </w:rPr>
              <w:t>“*****</w:t>
            </w:r>
            <w:r>
              <w:rPr>
                <w:rFonts w:ascii="Times New Roman" w:hAnsi="Times New Roman" w:cs="Arial"/>
                <w:color w:val="auto"/>
                <w:sz w:val="24"/>
                <w:szCs w:val="24"/>
                <w:lang w:eastAsia="zh-CN"/>
              </w:rPr>
              <w:t xml:space="preserve">*** </w:t>
            </w:r>
            <w:r>
              <w:rPr>
                <w:rFonts w:hint="eastAsia" w:ascii="Times New Roman" w:hAnsi="Times New Roman"/>
                <w:color w:val="auto"/>
                <w:sz w:val="24"/>
                <w:szCs w:val="24"/>
                <w:lang w:eastAsia="zh-CN"/>
              </w:rPr>
              <w:t>投标保证金</w:t>
            </w:r>
            <w:r>
              <w:rPr>
                <w:rFonts w:hint="eastAsia" w:ascii="Times New Roman" w:hAnsi="Times New Roman" w:cs="Arial"/>
                <w:color w:val="auto"/>
                <w:sz w:val="24"/>
                <w:szCs w:val="24"/>
                <w:lang w:eastAsia="zh-CN"/>
              </w:rPr>
              <w:t>”</w:t>
            </w:r>
            <w:r>
              <w:rPr>
                <w:rFonts w:hint="eastAsia" w:ascii="Times New Roman" w:hAnsi="Times New Roman"/>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ascii="Times New Roman" w:hAnsi="Times New Roman"/>
                <w:color w:val="auto"/>
                <w:spacing w:val="-9"/>
                <w:sz w:val="24"/>
                <w:szCs w:val="24"/>
                <w:lang w:eastAsia="zh-CN"/>
              </w:rPr>
              <w:t>中标服务费</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12.4</w:t>
            </w:r>
          </w:p>
        </w:tc>
        <w:tc>
          <w:tcPr>
            <w:tcW w:w="6202" w:type="dxa"/>
            <w:vAlign w:val="center"/>
          </w:tcPr>
          <w:p>
            <w:pPr>
              <w:pStyle w:val="52"/>
              <w:snapToGrid w:val="0"/>
              <w:spacing w:line="300" w:lineRule="auto"/>
              <w:ind w:right="-15"/>
              <w:jc w:val="both"/>
              <w:rPr>
                <w:rFonts w:ascii="Times New Roman" w:hAnsi="Times New Roman"/>
                <w:color w:val="auto"/>
                <w:spacing w:val="-8"/>
                <w:sz w:val="24"/>
                <w:szCs w:val="24"/>
                <w:lang w:eastAsia="zh-CN"/>
              </w:rPr>
            </w:pPr>
            <w:r>
              <w:rPr>
                <w:rFonts w:ascii="Times New Roman" w:hAnsi="Times New Roman"/>
                <w:color w:val="auto"/>
                <w:spacing w:val="-8"/>
                <w:sz w:val="24"/>
                <w:szCs w:val="24"/>
                <w:lang w:eastAsia="zh-CN"/>
              </w:rPr>
              <w:t>本项目的服务费由</w:t>
            </w:r>
            <w:r>
              <w:rPr>
                <w:rFonts w:hint="eastAsia" w:ascii="Times New Roman" w:hAnsi="Times New Roman"/>
                <w:color w:val="auto"/>
                <w:spacing w:val="-8"/>
                <w:sz w:val="24"/>
                <w:szCs w:val="24"/>
                <w:lang w:eastAsia="zh-CN"/>
              </w:rPr>
              <w:t>□采购人</w:t>
            </w:r>
            <w:r>
              <w:rPr>
                <w:rFonts w:hint="eastAsia" w:ascii="MS Gothic" w:hAnsi="MS Gothic" w:eastAsia="MS Gothic" w:cs="MS Gothic"/>
                <w:color w:val="auto"/>
                <w:sz w:val="24"/>
                <w:szCs w:val="24"/>
                <w:lang w:eastAsia="zh-CN"/>
              </w:rPr>
              <w:t>■</w:t>
            </w:r>
            <w:r>
              <w:rPr>
                <w:rFonts w:ascii="Times New Roman" w:hAnsi="Times New Roman"/>
                <w:color w:val="auto"/>
                <w:spacing w:val="-8"/>
                <w:sz w:val="24"/>
                <w:szCs w:val="24"/>
                <w:lang w:eastAsia="zh-CN"/>
              </w:rPr>
              <w:t>中标人支付</w:t>
            </w:r>
            <w:r>
              <w:rPr>
                <w:rFonts w:hint="eastAsia" w:ascii="Times New Roman" w:hAnsi="Times New Roman"/>
                <w:color w:val="auto"/>
                <w:spacing w:val="-8"/>
                <w:sz w:val="24"/>
                <w:szCs w:val="24"/>
                <w:lang w:eastAsia="zh-CN"/>
              </w:rPr>
              <w:t>。由中标人支付时，中标人在领取中标通知书时一次性支付。中标服务费收费标准：参照《招标代理服务收费管理暂行办法》计价格</w:t>
            </w:r>
            <w:r>
              <w:rPr>
                <w:rFonts w:ascii="Times New Roman" w:hAnsi="Times New Roman"/>
                <w:color w:val="auto"/>
                <w:spacing w:val="-8"/>
                <w:sz w:val="24"/>
                <w:szCs w:val="24"/>
                <w:lang w:eastAsia="zh-CN"/>
              </w:rPr>
              <w:t>[2002]1980</w:t>
            </w:r>
            <w:r>
              <w:rPr>
                <w:rFonts w:hint="eastAsia" w:ascii="Times New Roman" w:hAnsi="Times New Roman"/>
                <w:color w:val="auto"/>
                <w:spacing w:val="-8"/>
                <w:sz w:val="24"/>
                <w:szCs w:val="24"/>
                <w:lang w:eastAsia="zh-CN"/>
              </w:rPr>
              <w:t>号文和发改价格</w:t>
            </w:r>
            <w:r>
              <w:rPr>
                <w:rFonts w:ascii="Times New Roman" w:hAnsi="Times New Roman"/>
                <w:color w:val="auto"/>
                <w:spacing w:val="-8"/>
                <w:sz w:val="24"/>
                <w:szCs w:val="24"/>
                <w:lang w:eastAsia="zh-CN"/>
              </w:rPr>
              <w:t>[2011]534</w:t>
            </w:r>
            <w:r>
              <w:rPr>
                <w:rFonts w:hint="eastAsia" w:ascii="Times New Roman" w:hAnsi="Times New Roman"/>
                <w:color w:val="auto"/>
                <w:spacing w:val="-8"/>
                <w:sz w:val="24"/>
                <w:szCs w:val="24"/>
                <w:lang w:eastAsia="zh-CN"/>
              </w:rPr>
              <w:t>号按（□货物类</w:t>
            </w:r>
            <w:r>
              <w:rPr>
                <w:rFonts w:hint="eastAsia" w:ascii="MS Gothic" w:hAnsi="MS Gothic" w:eastAsia="MS Gothic" w:cs="MS Gothic"/>
                <w:color w:val="auto"/>
                <w:sz w:val="24"/>
                <w:szCs w:val="24"/>
                <w:lang w:eastAsia="zh-CN"/>
              </w:rPr>
              <w:t>■</w:t>
            </w:r>
            <w:r>
              <w:rPr>
                <w:rFonts w:hint="eastAsia" w:ascii="Times New Roman" w:hAnsi="Times New Roman"/>
                <w:color w:val="auto"/>
                <w:spacing w:val="-8"/>
                <w:sz w:val="24"/>
                <w:szCs w:val="24"/>
                <w:lang w:eastAsia="zh-CN"/>
              </w:rPr>
              <w:t>服务类□工程类）收取，按中标金额差额定率累进法计算。</w:t>
            </w:r>
          </w:p>
          <w:p>
            <w:pPr>
              <w:pStyle w:val="52"/>
              <w:snapToGrid w:val="0"/>
              <w:spacing w:line="300" w:lineRule="auto"/>
              <w:ind w:right="-15"/>
              <w:jc w:val="both"/>
              <w:rPr>
                <w:rFonts w:ascii="Times New Roman" w:hAnsi="Times New Roman"/>
                <w:color w:val="auto"/>
                <w:spacing w:val="-8"/>
                <w:sz w:val="24"/>
                <w:szCs w:val="24"/>
                <w:lang w:eastAsia="zh-CN"/>
              </w:rPr>
            </w:pPr>
            <w:r>
              <w:rPr>
                <w:rFonts w:hint="eastAsia" w:ascii="Times New Roman" w:hAnsi="Times New Roman"/>
                <w:color w:val="auto"/>
                <w:spacing w:val="-8"/>
                <w:sz w:val="24"/>
                <w:szCs w:val="24"/>
                <w:lang w:eastAsia="zh-CN"/>
              </w:rPr>
              <w:t>中标服务费账号</w:t>
            </w:r>
          </w:p>
          <w:p>
            <w:pPr>
              <w:pStyle w:val="52"/>
              <w:snapToGrid w:val="0"/>
              <w:spacing w:line="300" w:lineRule="auto"/>
              <w:ind w:right="-15"/>
              <w:jc w:val="both"/>
              <w:rPr>
                <w:rFonts w:ascii="Times New Roman" w:hAnsi="Times New Roman"/>
                <w:color w:val="auto"/>
                <w:spacing w:val="-8"/>
                <w:sz w:val="24"/>
                <w:szCs w:val="24"/>
                <w:lang w:eastAsia="zh-CN"/>
              </w:rPr>
            </w:pPr>
            <w:r>
              <w:rPr>
                <w:rFonts w:hint="eastAsia" w:ascii="Times New Roman" w:hAnsi="Times New Roman"/>
                <w:color w:val="auto"/>
                <w:spacing w:val="-8"/>
                <w:sz w:val="24"/>
                <w:szCs w:val="24"/>
                <w:lang w:eastAsia="zh-CN"/>
              </w:rPr>
              <w:t>开户名：北京合信恒盛咨询有限公司</w:t>
            </w:r>
          </w:p>
          <w:p>
            <w:pPr>
              <w:pStyle w:val="52"/>
              <w:snapToGrid w:val="0"/>
              <w:spacing w:line="300" w:lineRule="auto"/>
              <w:ind w:right="-15"/>
              <w:jc w:val="both"/>
              <w:rPr>
                <w:rFonts w:ascii="Times New Roman" w:hAnsi="Times New Roman"/>
                <w:color w:val="auto"/>
                <w:spacing w:val="-8"/>
                <w:sz w:val="24"/>
                <w:szCs w:val="24"/>
                <w:lang w:eastAsia="zh-CN"/>
              </w:rPr>
            </w:pPr>
            <w:r>
              <w:rPr>
                <w:rFonts w:hint="eastAsia" w:ascii="Times New Roman" w:hAnsi="Times New Roman"/>
                <w:color w:val="auto"/>
                <w:spacing w:val="-8"/>
                <w:sz w:val="24"/>
                <w:szCs w:val="24"/>
                <w:lang w:eastAsia="zh-CN"/>
              </w:rPr>
              <w:t>开户银行：招商银行股份有限公司北京光华路支行</w:t>
            </w:r>
          </w:p>
          <w:p>
            <w:pPr>
              <w:pStyle w:val="52"/>
              <w:snapToGrid w:val="0"/>
              <w:spacing w:line="300" w:lineRule="auto"/>
              <w:ind w:right="-15"/>
              <w:jc w:val="both"/>
              <w:rPr>
                <w:rFonts w:ascii="Times New Roman" w:hAnsi="Times New Roman"/>
                <w:color w:val="auto"/>
                <w:sz w:val="24"/>
                <w:szCs w:val="24"/>
                <w:lang w:eastAsia="zh-CN"/>
              </w:rPr>
            </w:pPr>
            <w:r>
              <w:rPr>
                <w:rFonts w:hint="eastAsia" w:ascii="Times New Roman" w:hAnsi="Times New Roman"/>
                <w:color w:val="auto"/>
                <w:spacing w:val="-8"/>
                <w:sz w:val="24"/>
                <w:szCs w:val="24"/>
                <w:lang w:eastAsia="zh-CN"/>
              </w:rPr>
              <w:t>银行账号：</w:t>
            </w:r>
            <w:r>
              <w:rPr>
                <w:rFonts w:ascii="Times New Roman" w:hAnsi="Times New Roman"/>
                <w:color w:val="auto"/>
                <w:spacing w:val="-8"/>
                <w:sz w:val="24"/>
                <w:szCs w:val="24"/>
                <w:lang w:eastAsia="zh-CN"/>
              </w:rPr>
              <w:t>110922701010801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rPr>
            </w:pPr>
            <w:r>
              <w:rPr>
                <w:rFonts w:hint="eastAsia" w:ascii="Times New Roman" w:hAnsi="Times New Roman"/>
                <w:color w:val="auto"/>
                <w:sz w:val="24"/>
                <w:szCs w:val="24"/>
              </w:rPr>
              <w:t>投标有效期</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13.1</w:t>
            </w:r>
          </w:p>
        </w:tc>
        <w:tc>
          <w:tcPr>
            <w:tcW w:w="6202" w:type="dxa"/>
            <w:vAlign w:val="center"/>
          </w:tcPr>
          <w:p>
            <w:p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90日历天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rPr>
              <w:t>投标文件份数</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14.1</w:t>
            </w:r>
          </w:p>
        </w:tc>
        <w:tc>
          <w:tcPr>
            <w:tcW w:w="6202" w:type="dxa"/>
            <w:vAlign w:val="center"/>
          </w:tcPr>
          <w:p>
            <w:pPr>
              <w:snapToGrid w:val="0"/>
              <w:spacing w:line="300" w:lineRule="auto"/>
              <w:jc w:val="both"/>
              <w:rPr>
                <w:color w:val="auto"/>
                <w:sz w:val="24"/>
                <w:szCs w:val="24"/>
                <w:lang w:eastAsia="zh-CN"/>
              </w:rPr>
            </w:pPr>
            <w:r>
              <w:rPr>
                <w:rFonts w:ascii="Times New Roman" w:hAnsi="Times New Roman"/>
                <w:color w:val="auto"/>
                <w:sz w:val="24"/>
                <w:szCs w:val="24"/>
                <w:lang w:eastAsia="zh-CN"/>
              </w:rPr>
              <w:t>投标文件</w:t>
            </w:r>
            <w:r>
              <w:rPr>
                <w:rFonts w:hint="eastAsia" w:ascii="Times New Roman" w:hAnsi="Times New Roman"/>
                <w:color w:val="auto"/>
                <w:sz w:val="24"/>
                <w:szCs w:val="24"/>
                <w:lang w:eastAsia="zh-CN"/>
              </w:rPr>
              <w:t>正本1份；</w:t>
            </w:r>
            <w:r>
              <w:rPr>
                <w:rFonts w:ascii="Times New Roman" w:hAnsi="Times New Roman"/>
                <w:color w:val="auto"/>
                <w:sz w:val="24"/>
                <w:szCs w:val="24"/>
                <w:lang w:eastAsia="zh-CN"/>
              </w:rPr>
              <w:t>副本</w:t>
            </w:r>
            <w:r>
              <w:rPr>
                <w:color w:val="auto"/>
                <w:sz w:val="24"/>
                <w:szCs w:val="24"/>
                <w:lang w:eastAsia="zh-CN"/>
              </w:rPr>
              <w:t>：</w:t>
            </w:r>
            <w:r>
              <w:rPr>
                <w:rFonts w:hint="eastAsia"/>
                <w:color w:val="auto"/>
                <w:sz w:val="24"/>
                <w:szCs w:val="24"/>
                <w:u w:val="single"/>
                <w:lang w:eastAsia="zh-CN"/>
              </w:rPr>
              <w:t>2</w:t>
            </w:r>
            <w:r>
              <w:rPr>
                <w:color w:val="auto"/>
                <w:sz w:val="24"/>
                <w:szCs w:val="24"/>
                <w:lang w:eastAsia="zh-CN"/>
              </w:rPr>
              <w:t>份</w:t>
            </w:r>
          </w:p>
          <w:p>
            <w:p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电子版文件份</w:t>
            </w:r>
            <w:r>
              <w:rPr>
                <w:color w:val="auto"/>
                <w:sz w:val="24"/>
                <w:szCs w:val="24"/>
                <w:lang w:eastAsia="zh-CN"/>
              </w:rPr>
              <w:t>数：</w:t>
            </w:r>
            <w:r>
              <w:rPr>
                <w:rFonts w:hint="eastAsia"/>
                <w:color w:val="auto"/>
                <w:sz w:val="24"/>
                <w:szCs w:val="24"/>
                <w:u w:val="single"/>
                <w:lang w:eastAsia="zh-CN"/>
              </w:rPr>
              <w:t>1</w:t>
            </w:r>
            <w:r>
              <w:rPr>
                <w:color w:val="auto"/>
                <w:sz w:val="24"/>
                <w:szCs w:val="24"/>
                <w:lang w:eastAsia="zh-CN"/>
              </w:rPr>
              <w:t>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电子版文件</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14.1</w:t>
            </w:r>
          </w:p>
        </w:tc>
        <w:tc>
          <w:tcPr>
            <w:tcW w:w="6202" w:type="dxa"/>
            <w:vAlign w:val="center"/>
          </w:tcPr>
          <w:p>
            <w:pPr>
              <w:pStyle w:val="52"/>
              <w:snapToGrid w:val="0"/>
              <w:spacing w:line="300" w:lineRule="auto"/>
              <w:ind w:left="35" w:right="89" w:firstLine="480"/>
              <w:jc w:val="both"/>
              <w:rPr>
                <w:rFonts w:ascii="Times New Roman" w:hAnsi="Times New Roman"/>
                <w:color w:val="auto"/>
                <w:spacing w:val="-2"/>
                <w:sz w:val="24"/>
                <w:szCs w:val="24"/>
                <w:lang w:eastAsia="zh-CN"/>
              </w:rPr>
            </w:pPr>
            <w:r>
              <w:rPr>
                <w:rFonts w:hint="eastAsia" w:ascii="Times New Roman" w:hAnsi="Times New Roman"/>
                <w:color w:val="auto"/>
                <w:sz w:val="24"/>
                <w:szCs w:val="24"/>
                <w:lang w:eastAsia="zh-CN"/>
              </w:rPr>
              <w:t>投标人递交的电子版文件应为</w:t>
            </w:r>
            <w:r>
              <w:rPr>
                <w:rFonts w:ascii="Times New Roman" w:hAnsi="Times New Roman"/>
                <w:color w:val="auto"/>
                <w:sz w:val="24"/>
                <w:szCs w:val="24"/>
                <w:lang w:eastAsia="zh-CN"/>
              </w:rPr>
              <w:t>Microsoft Word</w:t>
            </w:r>
            <w:r>
              <w:rPr>
                <w:rFonts w:hint="eastAsia" w:ascii="Times New Roman" w:hAnsi="Times New Roman"/>
                <w:color w:val="auto"/>
                <w:sz w:val="24"/>
                <w:szCs w:val="24"/>
                <w:lang w:eastAsia="zh-CN"/>
              </w:rPr>
              <w:t>版或</w:t>
            </w:r>
            <w:r>
              <w:rPr>
                <w:rFonts w:ascii="Times New Roman" w:hAnsi="Times New Roman"/>
                <w:color w:val="auto"/>
                <w:sz w:val="24"/>
                <w:szCs w:val="24"/>
                <w:lang w:eastAsia="zh-CN"/>
              </w:rPr>
              <w:t>PDF</w:t>
            </w:r>
            <w:r>
              <w:rPr>
                <w:rFonts w:hint="eastAsia" w:ascii="Times New Roman" w:hAnsi="Times New Roman"/>
                <w:color w:val="auto"/>
                <w:sz w:val="24"/>
                <w:szCs w:val="24"/>
                <w:lang w:eastAsia="zh-CN"/>
              </w:rPr>
              <w:t>格式，电子版文件应包含纸质投标文件全部内容，存储载体上需标注项目名称（标段（包）号，如有）和投标人名称。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pStyle w:val="10"/>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rPr>
              <w:t>密封和盖章或签字</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15.1</w:t>
            </w:r>
          </w:p>
        </w:tc>
        <w:tc>
          <w:tcPr>
            <w:tcW w:w="6202" w:type="dxa"/>
            <w:vAlign w:val="center"/>
          </w:tcPr>
          <w:p>
            <w:pPr>
              <w:pStyle w:val="10"/>
              <w:snapToGrid w:val="0"/>
              <w:spacing w:line="300" w:lineRule="auto"/>
              <w:ind w:firstLine="440"/>
              <w:jc w:val="both"/>
              <w:rPr>
                <w:rFonts w:ascii="Times New Roman" w:hAnsi="Times New Roman"/>
                <w:color w:val="auto"/>
                <w:sz w:val="24"/>
                <w:szCs w:val="24"/>
                <w:lang w:eastAsia="zh-CN"/>
              </w:rPr>
            </w:pPr>
            <w:r>
              <w:rPr>
                <w:rFonts w:ascii="Times New Roman" w:hAnsi="Times New Roman"/>
                <w:color w:val="auto"/>
                <w:kern w:val="2"/>
                <w:sz w:val="24"/>
                <w:szCs w:val="24"/>
                <w:lang w:eastAsia="zh-CN"/>
              </w:rPr>
              <w:t>投标文件应密封包装，并在封套的封口处加盖投标人公章或由投标人授权代表签</w:t>
            </w:r>
            <w:r>
              <w:rPr>
                <w:rFonts w:hint="eastAsia" w:ascii="Times New Roman" w:hAnsi="Times New Roman"/>
                <w:color w:val="auto"/>
                <w:sz w:val="24"/>
                <w:szCs w:val="24"/>
                <w:lang w:eastAsia="zh-CN"/>
              </w:rPr>
              <w:t>字</w:t>
            </w:r>
            <w:r>
              <w:rPr>
                <w:rFonts w:ascii="Times New Roman" w:hAnsi="Times New Roman"/>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703" w:type="dxa"/>
            <w:vAlign w:val="center"/>
          </w:tcPr>
          <w:p>
            <w:pPr>
              <w:pStyle w:val="51"/>
              <w:numPr>
                <w:ilvl w:val="0"/>
                <w:numId w:val="4"/>
              </w:numPr>
              <w:snapToGrid w:val="0"/>
              <w:spacing w:line="300" w:lineRule="auto"/>
              <w:jc w:val="center"/>
              <w:rPr>
                <w:rFonts w:ascii="Times New Roman" w:hAnsi="Times New Roman"/>
                <w:color w:val="auto"/>
                <w:sz w:val="24"/>
                <w:szCs w:val="24"/>
                <w:lang w:eastAsia="zh-CN"/>
              </w:rPr>
            </w:pPr>
          </w:p>
        </w:tc>
        <w:tc>
          <w:tcPr>
            <w:tcW w:w="1616" w:type="dxa"/>
            <w:vAlign w:val="center"/>
          </w:tcPr>
          <w:p>
            <w:pPr>
              <w:pStyle w:val="10"/>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投标地点、投标截止时间</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16.1</w:t>
            </w:r>
          </w:p>
        </w:tc>
        <w:tc>
          <w:tcPr>
            <w:tcW w:w="6202" w:type="dxa"/>
            <w:vAlign w:val="center"/>
          </w:tcPr>
          <w:p>
            <w:pPr>
              <w:pStyle w:val="10"/>
              <w:snapToGrid w:val="0"/>
              <w:spacing w:line="300" w:lineRule="auto"/>
              <w:ind w:hanging="108"/>
              <w:rPr>
                <w:rFonts w:ascii="Times New Roman" w:hAnsi="Times New Roman"/>
                <w:color w:val="auto"/>
                <w:sz w:val="24"/>
                <w:szCs w:val="24"/>
                <w:lang w:eastAsia="zh-CN"/>
              </w:rPr>
            </w:pPr>
            <w:r>
              <w:rPr>
                <w:rFonts w:hint="eastAsia" w:ascii="Times New Roman" w:hAnsi="Times New Roman"/>
                <w:color w:val="auto"/>
                <w:sz w:val="24"/>
                <w:szCs w:val="24"/>
                <w:lang w:eastAsia="zh-CN"/>
              </w:rPr>
              <w:t>投标截止时间：</w:t>
            </w:r>
            <w:r>
              <w:rPr>
                <w:rFonts w:ascii="Times New Roman" w:hAnsi="Times New Roman"/>
                <w:color w:val="auto"/>
                <w:sz w:val="24"/>
                <w:szCs w:val="24"/>
                <w:lang w:eastAsia="zh-CN"/>
              </w:rPr>
              <w:t>20</w:t>
            </w:r>
            <w:r>
              <w:rPr>
                <w:rFonts w:hint="eastAsia" w:ascii="Times New Roman" w:hAnsi="Times New Roman"/>
                <w:color w:val="auto"/>
                <w:sz w:val="24"/>
                <w:szCs w:val="24"/>
                <w:lang w:eastAsia="zh-CN"/>
              </w:rPr>
              <w:t>20年</w:t>
            </w:r>
            <w:r>
              <w:rPr>
                <w:rFonts w:hint="eastAsia" w:ascii="Times New Roman" w:hAnsi="Times New Roman"/>
                <w:color w:val="auto"/>
                <w:sz w:val="24"/>
                <w:szCs w:val="24"/>
                <w:lang w:val="en-US" w:eastAsia="zh-CN"/>
              </w:rPr>
              <w:t>7</w:t>
            </w:r>
            <w:r>
              <w:rPr>
                <w:rFonts w:hint="eastAsia" w:ascii="Times New Roman" w:hAnsi="Times New Roman"/>
                <w:color w:val="auto"/>
                <w:sz w:val="24"/>
                <w:szCs w:val="24"/>
                <w:lang w:eastAsia="zh-CN"/>
              </w:rPr>
              <w:t>月</w:t>
            </w:r>
            <w:r>
              <w:rPr>
                <w:rFonts w:hint="eastAsia" w:ascii="Times New Roman" w:hAnsi="Times New Roman"/>
                <w:color w:val="auto"/>
                <w:sz w:val="24"/>
                <w:szCs w:val="24"/>
                <w:lang w:val="en-US" w:eastAsia="zh-CN"/>
              </w:rPr>
              <w:t>8</w:t>
            </w:r>
            <w:r>
              <w:rPr>
                <w:rFonts w:hint="eastAsia" w:ascii="Times New Roman" w:hAnsi="Times New Roman"/>
                <w:color w:val="auto"/>
                <w:sz w:val="24"/>
                <w:szCs w:val="24"/>
                <w:lang w:eastAsia="zh-CN"/>
              </w:rPr>
              <w:t>日9时</w:t>
            </w:r>
            <w:r>
              <w:rPr>
                <w:rFonts w:ascii="Times New Roman" w:hAnsi="Times New Roman"/>
                <w:color w:val="auto"/>
                <w:sz w:val="24"/>
                <w:szCs w:val="24"/>
                <w:lang w:eastAsia="zh-CN"/>
              </w:rPr>
              <w:t>30</w:t>
            </w:r>
            <w:r>
              <w:rPr>
                <w:rFonts w:hint="eastAsia" w:ascii="Times New Roman" w:hAnsi="Times New Roman"/>
                <w:color w:val="auto"/>
                <w:sz w:val="24"/>
                <w:szCs w:val="24"/>
                <w:lang w:eastAsia="zh-CN"/>
              </w:rPr>
              <w:t>分（北京时间）</w:t>
            </w:r>
          </w:p>
          <w:p>
            <w:pPr>
              <w:pStyle w:val="10"/>
              <w:snapToGrid w:val="0"/>
              <w:spacing w:line="300" w:lineRule="auto"/>
              <w:ind w:hanging="108"/>
              <w:rPr>
                <w:rFonts w:ascii="Times New Roman" w:hAnsi="Times New Roman"/>
                <w:color w:val="auto"/>
                <w:sz w:val="24"/>
                <w:szCs w:val="24"/>
                <w:lang w:eastAsia="zh-CN"/>
              </w:rPr>
            </w:pPr>
            <w:r>
              <w:rPr>
                <w:rFonts w:hint="eastAsia" w:ascii="Times New Roman" w:hAnsi="Times New Roman"/>
                <w:color w:val="auto"/>
                <w:sz w:val="24"/>
                <w:szCs w:val="24"/>
                <w:lang w:eastAsia="zh-CN"/>
              </w:rPr>
              <w:t>地点：</w:t>
            </w:r>
            <w:r>
              <w:rPr>
                <w:rFonts w:hint="eastAsia"/>
                <w:color w:val="auto"/>
                <w:sz w:val="24"/>
                <w:lang w:eastAsia="zh-CN"/>
              </w:rPr>
              <w:t>北京市朝阳区驼房营南路新华科技大厦A座11层1109室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pStyle w:val="10"/>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开标时间、地点</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18.1</w:t>
            </w:r>
          </w:p>
        </w:tc>
        <w:tc>
          <w:tcPr>
            <w:tcW w:w="6202" w:type="dxa"/>
            <w:vAlign w:val="center"/>
          </w:tcPr>
          <w:p>
            <w:pPr>
              <w:pStyle w:val="10"/>
              <w:snapToGrid w:val="0"/>
              <w:spacing w:line="300" w:lineRule="auto"/>
              <w:ind w:hanging="108"/>
              <w:rPr>
                <w:rFonts w:ascii="Times New Roman" w:hAnsi="Times New Roman"/>
                <w:color w:val="auto"/>
                <w:sz w:val="24"/>
                <w:szCs w:val="24"/>
                <w:lang w:eastAsia="zh-CN"/>
              </w:rPr>
            </w:pPr>
            <w:r>
              <w:rPr>
                <w:rFonts w:hint="eastAsia" w:ascii="Times New Roman" w:hAnsi="Times New Roman"/>
                <w:color w:val="auto"/>
                <w:sz w:val="24"/>
                <w:szCs w:val="24"/>
                <w:lang w:eastAsia="zh-CN"/>
              </w:rPr>
              <w:t>开标时间：</w:t>
            </w:r>
            <w:r>
              <w:rPr>
                <w:rFonts w:ascii="Times New Roman" w:hAnsi="Times New Roman"/>
                <w:color w:val="auto"/>
                <w:sz w:val="24"/>
                <w:szCs w:val="24"/>
                <w:lang w:eastAsia="zh-CN"/>
              </w:rPr>
              <w:t>20</w:t>
            </w:r>
            <w:r>
              <w:rPr>
                <w:rFonts w:hint="eastAsia" w:ascii="Times New Roman" w:hAnsi="Times New Roman"/>
                <w:color w:val="auto"/>
                <w:sz w:val="24"/>
                <w:szCs w:val="24"/>
                <w:lang w:eastAsia="zh-CN"/>
              </w:rPr>
              <w:t>20年</w:t>
            </w:r>
            <w:r>
              <w:rPr>
                <w:rFonts w:hint="eastAsia" w:ascii="Times New Roman" w:hAnsi="Times New Roman"/>
                <w:color w:val="auto"/>
                <w:sz w:val="24"/>
                <w:szCs w:val="24"/>
                <w:lang w:val="en-US" w:eastAsia="zh-CN"/>
              </w:rPr>
              <w:t>7</w:t>
            </w:r>
            <w:r>
              <w:rPr>
                <w:rFonts w:hint="eastAsia" w:ascii="Times New Roman" w:hAnsi="Times New Roman"/>
                <w:color w:val="auto"/>
                <w:sz w:val="24"/>
                <w:szCs w:val="24"/>
                <w:lang w:eastAsia="zh-CN"/>
              </w:rPr>
              <w:t>月</w:t>
            </w:r>
            <w:r>
              <w:rPr>
                <w:rFonts w:hint="eastAsia" w:ascii="Times New Roman" w:hAnsi="Times New Roman"/>
                <w:color w:val="auto"/>
                <w:sz w:val="24"/>
                <w:szCs w:val="24"/>
                <w:lang w:val="en-US" w:eastAsia="zh-CN"/>
              </w:rPr>
              <w:t>8</w:t>
            </w:r>
            <w:r>
              <w:rPr>
                <w:rFonts w:ascii="Times New Roman" w:hAnsi="Times New Roman"/>
                <w:color w:val="auto"/>
                <w:sz w:val="24"/>
                <w:szCs w:val="24"/>
                <w:lang w:eastAsia="zh-CN"/>
              </w:rPr>
              <w:t xml:space="preserve"> </w:t>
            </w:r>
            <w:r>
              <w:rPr>
                <w:rFonts w:hint="eastAsia" w:ascii="Times New Roman" w:hAnsi="Times New Roman"/>
                <w:color w:val="auto"/>
                <w:sz w:val="24"/>
                <w:szCs w:val="24"/>
                <w:lang w:eastAsia="zh-CN"/>
              </w:rPr>
              <w:t>日9时</w:t>
            </w:r>
            <w:r>
              <w:rPr>
                <w:rFonts w:ascii="Times New Roman" w:hAnsi="Times New Roman"/>
                <w:color w:val="auto"/>
                <w:sz w:val="24"/>
                <w:szCs w:val="24"/>
                <w:lang w:eastAsia="zh-CN"/>
              </w:rPr>
              <w:t>30</w:t>
            </w:r>
            <w:r>
              <w:rPr>
                <w:rFonts w:hint="eastAsia" w:ascii="Times New Roman" w:hAnsi="Times New Roman"/>
                <w:color w:val="auto"/>
                <w:sz w:val="24"/>
                <w:szCs w:val="24"/>
                <w:lang w:eastAsia="zh-CN"/>
              </w:rPr>
              <w:t>分（北京时间）</w:t>
            </w:r>
          </w:p>
          <w:p>
            <w:pPr>
              <w:pStyle w:val="10"/>
              <w:snapToGrid w:val="0"/>
              <w:spacing w:line="300" w:lineRule="auto"/>
              <w:ind w:hanging="108"/>
              <w:rPr>
                <w:rFonts w:ascii="Times New Roman" w:hAnsi="Times New Roman"/>
                <w:color w:val="auto"/>
                <w:sz w:val="24"/>
                <w:szCs w:val="24"/>
                <w:lang w:eastAsia="zh-CN"/>
              </w:rPr>
            </w:pPr>
            <w:r>
              <w:rPr>
                <w:rFonts w:hint="eastAsia" w:ascii="Times New Roman" w:hAnsi="Times New Roman"/>
                <w:color w:val="auto"/>
                <w:sz w:val="24"/>
                <w:szCs w:val="24"/>
                <w:lang w:eastAsia="zh-CN"/>
              </w:rPr>
              <w:t>地       点：</w:t>
            </w:r>
            <w:r>
              <w:rPr>
                <w:rFonts w:hint="eastAsia"/>
                <w:color w:val="auto"/>
                <w:sz w:val="24"/>
                <w:lang w:eastAsia="zh-CN"/>
              </w:rPr>
              <w:t>北京市朝阳区驼房营南路新华科技大厦A座11层1109室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pStyle w:val="10"/>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开标代表需携带的资料</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18.1</w:t>
            </w:r>
          </w:p>
        </w:tc>
        <w:tc>
          <w:tcPr>
            <w:tcW w:w="6202" w:type="dxa"/>
            <w:vAlign w:val="center"/>
          </w:tcPr>
          <w:p>
            <w:pPr>
              <w:pStyle w:val="10"/>
              <w:snapToGrid w:val="0"/>
              <w:spacing w:line="300" w:lineRule="auto"/>
              <w:ind w:left="-88" w:leftChars="-40" w:firstLine="480" w:firstLineChars="200"/>
              <w:rPr>
                <w:rFonts w:ascii="Times New Roman" w:hAnsi="Times New Roman"/>
                <w:i/>
                <w:color w:val="auto"/>
                <w:sz w:val="24"/>
                <w:szCs w:val="24"/>
                <w:lang w:eastAsia="zh-CN"/>
              </w:rPr>
            </w:pPr>
            <w:r>
              <w:rPr>
                <w:rFonts w:hint="eastAsia" w:ascii="Times New Roman" w:hAnsi="Times New Roman"/>
                <w:color w:val="auto"/>
                <w:sz w:val="24"/>
                <w:szCs w:val="24"/>
                <w:lang w:eastAsia="zh-CN"/>
              </w:rPr>
              <w:t>身份证原件及盖单位公章的复印件与法定代表人身份证明文件（适用于法定代表人参加开标会）或法定代表人授权委托书（适用于授权代表参加开标会）【授权委托书与法定代表人身份证明格式见第六章投标文件格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rPr>
            </w:pPr>
            <w:r>
              <w:rPr>
                <w:rFonts w:hint="eastAsia" w:ascii="Times New Roman" w:hAnsi="Times New Roman"/>
                <w:color w:val="auto"/>
                <w:sz w:val="24"/>
                <w:szCs w:val="24"/>
              </w:rPr>
              <w:t>信用记录查询</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18.4</w:t>
            </w:r>
          </w:p>
        </w:tc>
        <w:tc>
          <w:tcPr>
            <w:tcW w:w="6202" w:type="dxa"/>
            <w:vAlign w:val="center"/>
          </w:tcPr>
          <w:p>
            <w:pPr>
              <w:wordWrap w:val="0"/>
              <w:snapToGrid w:val="0"/>
              <w:spacing w:line="300" w:lineRule="auto"/>
              <w:ind w:firstLine="480" w:firstLineChars="200"/>
              <w:jc w:val="both"/>
              <w:rPr>
                <w:rFonts w:ascii="Times New Roman" w:hAnsi="Times New Roman" w:cs="微软雅黑"/>
                <w:color w:val="auto"/>
                <w:sz w:val="24"/>
                <w:szCs w:val="24"/>
              </w:rPr>
            </w:pPr>
            <w:r>
              <w:rPr>
                <w:rFonts w:hint="eastAsia" w:ascii="Times New Roman" w:hAnsi="Times New Roman"/>
                <w:color w:val="auto"/>
                <w:sz w:val="24"/>
                <w:szCs w:val="24"/>
                <w:lang w:val="en-US" w:eastAsia="zh-CN"/>
              </w:rPr>
              <w:t>投标人</w:t>
            </w:r>
            <w:r>
              <w:rPr>
                <w:rFonts w:hint="eastAsia" w:ascii="Times New Roman" w:hAnsi="Times New Roman"/>
                <w:color w:val="auto"/>
                <w:sz w:val="24"/>
                <w:szCs w:val="24"/>
              </w:rPr>
              <w:t>通过信用中国</w:t>
            </w:r>
            <w:r>
              <w:rPr>
                <w:rFonts w:hint="eastAsia" w:ascii="Times New Roman" w:hAnsi="Times New Roman"/>
                <w:color w:val="auto"/>
                <w:sz w:val="24"/>
                <w:szCs w:val="24"/>
                <w:lang w:eastAsia="zh-CN"/>
              </w:rPr>
              <w:t>（</w:t>
            </w:r>
            <w:r>
              <w:rPr>
                <w:rFonts w:hint="eastAsia" w:ascii="Times New Roman" w:hAnsi="Times New Roman"/>
                <w:color w:val="auto"/>
                <w:sz w:val="24"/>
                <w:szCs w:val="24"/>
              </w:rPr>
              <w:t>www.creditchina.gov.cn</w:t>
            </w:r>
            <w:r>
              <w:rPr>
                <w:rFonts w:hint="eastAsia" w:ascii="Times New Roman" w:hAnsi="Times New Roman"/>
                <w:color w:val="auto"/>
                <w:sz w:val="24"/>
                <w:szCs w:val="24"/>
                <w:lang w:eastAsia="zh-CN"/>
              </w:rPr>
              <w:t>）</w:t>
            </w:r>
            <w:r>
              <w:rPr>
                <w:rFonts w:hint="eastAsia" w:ascii="Times New Roman" w:hAnsi="Times New Roman"/>
                <w:color w:val="auto"/>
                <w:sz w:val="24"/>
                <w:szCs w:val="24"/>
              </w:rPr>
              <w:t>、中国政府采购网</w:t>
            </w:r>
            <w:r>
              <w:rPr>
                <w:rFonts w:hint="eastAsia" w:ascii="Times New Roman" w:hAnsi="Times New Roman"/>
                <w:color w:val="auto"/>
                <w:sz w:val="24"/>
                <w:szCs w:val="24"/>
                <w:lang w:eastAsia="zh-CN"/>
              </w:rPr>
              <w:t>（</w:t>
            </w:r>
            <w:r>
              <w:rPr>
                <w:rFonts w:hint="eastAsia" w:ascii="Times New Roman" w:hAnsi="Times New Roman"/>
                <w:color w:val="auto"/>
                <w:sz w:val="24"/>
                <w:szCs w:val="24"/>
              </w:rPr>
              <w:t>www.ccgp.gov.cn</w:t>
            </w:r>
            <w:r>
              <w:rPr>
                <w:rFonts w:hint="eastAsia" w:ascii="Times New Roman" w:hAnsi="Times New Roman"/>
                <w:color w:val="auto"/>
                <w:sz w:val="24"/>
                <w:szCs w:val="24"/>
                <w:lang w:eastAsia="zh-CN"/>
              </w:rPr>
              <w:t>）</w:t>
            </w:r>
            <w:r>
              <w:rPr>
                <w:rFonts w:hint="eastAsia" w:ascii="Times New Roman" w:hAnsi="Times New Roman"/>
                <w:color w:val="auto"/>
                <w:sz w:val="24"/>
                <w:szCs w:val="24"/>
              </w:rPr>
              <w:t>查询投标人信用记录，</w:t>
            </w:r>
            <w:r>
              <w:rPr>
                <w:rFonts w:hint="eastAsia" w:ascii="Times New Roman" w:hAnsi="Times New Roman"/>
                <w:color w:val="auto"/>
                <w:sz w:val="24"/>
                <w:szCs w:val="24"/>
                <w:lang w:val="en-US" w:eastAsia="zh-CN"/>
              </w:rPr>
              <w:t>并将查询结果截图打印盖章后作为投标文件内容提交。（招标人保留符合的权利）</w:t>
            </w:r>
            <w:r>
              <w:rPr>
                <w:rFonts w:hint="eastAsia" w:ascii="Times New Roman" w:hAnsi="Times New Roman"/>
                <w:color w:val="auto"/>
                <w:sz w:val="24"/>
                <w:szCs w:val="24"/>
              </w:rPr>
              <w:t>经查询列入失信被执行人、重大税收违法案件当事人名单、政府采购严重违法失信行为记录名单，其投标无效</w:t>
            </w:r>
            <w:r>
              <w:rPr>
                <w:rFonts w:hint="eastAsia" w:ascii="Times New Roman" w:hAnsi="Times New Roman"/>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1"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rPr>
            </w:pPr>
            <w:r>
              <w:rPr>
                <w:rFonts w:hint="eastAsia" w:ascii="Times New Roman" w:hAnsi="Times New Roman"/>
                <w:color w:val="auto"/>
                <w:sz w:val="24"/>
                <w:szCs w:val="24"/>
                <w:lang w:eastAsia="zh-CN"/>
              </w:rPr>
              <w:t>评标委员会</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20.1</w:t>
            </w:r>
          </w:p>
        </w:tc>
        <w:tc>
          <w:tcPr>
            <w:tcW w:w="6202" w:type="dxa"/>
            <w:vAlign w:val="center"/>
          </w:tcPr>
          <w:p>
            <w:pPr>
              <w:snapToGrid w:val="0"/>
              <w:spacing w:line="300" w:lineRule="auto"/>
              <w:ind w:firstLine="480" w:firstLineChars="20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评标委员会由采购人代表</w:t>
            </w:r>
            <w:r>
              <w:rPr>
                <w:rFonts w:hint="eastAsia" w:ascii="Times New Roman" w:hAnsi="Times New Roman"/>
                <w:color w:val="auto"/>
                <w:sz w:val="24"/>
                <w:szCs w:val="24"/>
                <w:u w:val="single"/>
                <w:lang w:val="en-US" w:eastAsia="zh-CN"/>
              </w:rPr>
              <w:t>0</w:t>
            </w:r>
            <w:r>
              <w:rPr>
                <w:rFonts w:hint="eastAsia" w:ascii="Times New Roman" w:hAnsi="Times New Roman"/>
                <w:color w:val="auto"/>
                <w:sz w:val="24"/>
                <w:szCs w:val="24"/>
                <w:lang w:val="en-US" w:eastAsia="zh-CN"/>
              </w:rPr>
              <w:t>人</w:t>
            </w:r>
            <w:r>
              <w:rPr>
                <w:rFonts w:hint="eastAsia" w:ascii="Times New Roman" w:hAnsi="Times New Roman"/>
                <w:color w:val="auto"/>
                <w:sz w:val="24"/>
                <w:szCs w:val="24"/>
                <w:lang w:eastAsia="zh-CN"/>
              </w:rPr>
              <w:t>和</w:t>
            </w:r>
            <w:r>
              <w:rPr>
                <w:rFonts w:hint="eastAsia" w:ascii="Times New Roman" w:hAnsi="Times New Roman"/>
                <w:color w:val="auto"/>
                <w:sz w:val="24"/>
                <w:szCs w:val="24"/>
                <w:lang w:val="en-US" w:eastAsia="zh-CN"/>
              </w:rPr>
              <w:t>评标专家7人组成，其中技术类</w:t>
            </w:r>
            <w:r>
              <w:rPr>
                <w:rFonts w:hint="eastAsia" w:ascii="Times New Roman" w:hAnsi="Times New Roman"/>
                <w:color w:val="auto"/>
                <w:sz w:val="24"/>
                <w:szCs w:val="24"/>
                <w:u w:val="single"/>
                <w:lang w:val="en-US" w:eastAsia="zh-CN"/>
              </w:rPr>
              <w:t>6</w:t>
            </w:r>
            <w:r>
              <w:rPr>
                <w:rFonts w:hint="eastAsia" w:ascii="Times New Roman" w:hAnsi="Times New Roman"/>
                <w:color w:val="auto"/>
                <w:sz w:val="24"/>
                <w:szCs w:val="24"/>
                <w:lang w:val="en-US" w:eastAsia="zh-CN"/>
              </w:rPr>
              <w:t>人，经济类</w:t>
            </w:r>
            <w:r>
              <w:rPr>
                <w:rFonts w:hint="eastAsia" w:ascii="Times New Roman" w:hAnsi="Times New Roman"/>
                <w:color w:val="auto"/>
                <w:sz w:val="24"/>
                <w:szCs w:val="24"/>
                <w:u w:val="single"/>
                <w:lang w:val="en-US" w:eastAsia="zh-CN"/>
              </w:rPr>
              <w:t>1</w:t>
            </w:r>
            <w:r>
              <w:rPr>
                <w:rFonts w:hint="eastAsia" w:ascii="Times New Roman" w:hAnsi="Times New Roman"/>
                <w:color w:val="auto"/>
                <w:sz w:val="24"/>
                <w:szCs w:val="24"/>
                <w:lang w:val="en-US" w:eastAsia="zh-CN"/>
              </w:rPr>
              <w:t>人。</w:t>
            </w:r>
          </w:p>
          <w:p>
            <w:pPr>
              <w:snapToGrid w:val="0"/>
              <w:spacing w:line="300" w:lineRule="auto"/>
              <w:ind w:firstLine="480" w:firstLineChars="20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评审专家的确定方式：自</w:t>
            </w:r>
            <w:r>
              <w:rPr>
                <w:rFonts w:hint="eastAsia" w:ascii="Times New Roman" w:hAnsi="Times New Roman"/>
                <w:color w:val="auto"/>
                <w:sz w:val="24"/>
                <w:szCs w:val="24"/>
                <w:u w:val="single"/>
                <w:lang w:eastAsia="zh-CN"/>
              </w:rPr>
              <w:t>北京市公共资源交易服务朝阳区分平台</w:t>
            </w:r>
            <w:r>
              <w:rPr>
                <w:rFonts w:hint="eastAsia" w:ascii="Times New Roman" w:hAnsi="Times New Roman"/>
                <w:color w:val="auto"/>
                <w:sz w:val="24"/>
                <w:szCs w:val="24"/>
                <w:lang w:eastAsia="zh-CN"/>
              </w:rPr>
              <w:t>专家库</w:t>
            </w:r>
            <w:r>
              <w:rPr>
                <w:rFonts w:hint="eastAsia" w:ascii="Times New Roman" w:hAnsi="Times New Roman"/>
                <w:color w:val="auto"/>
                <w:sz w:val="24"/>
                <w:szCs w:val="24"/>
                <w:lang w:val="en-US" w:eastAsia="zh-CN"/>
              </w:rPr>
              <w:t>终端</w:t>
            </w:r>
            <w:r>
              <w:rPr>
                <w:rFonts w:hint="eastAsia" w:ascii="Times New Roman" w:hAnsi="Times New Roman"/>
                <w:color w:val="auto"/>
                <w:sz w:val="24"/>
                <w:szCs w:val="24"/>
                <w:lang w:eastAsia="zh-CN"/>
              </w:rPr>
              <w:t>随机抽取。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703" w:type="dxa"/>
            <w:vAlign w:val="center"/>
          </w:tcPr>
          <w:p>
            <w:pPr>
              <w:pStyle w:val="51"/>
              <w:numPr>
                <w:ilvl w:val="0"/>
                <w:numId w:val="4"/>
              </w:numPr>
              <w:snapToGrid w:val="0"/>
              <w:spacing w:line="300" w:lineRule="auto"/>
              <w:jc w:val="both"/>
              <w:rPr>
                <w:rFonts w:ascii="Times New Roman" w:hAnsi="Times New Roman"/>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是否授权评标委员会确定中标人</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20.4</w:t>
            </w:r>
          </w:p>
        </w:tc>
        <w:tc>
          <w:tcPr>
            <w:tcW w:w="6202" w:type="dxa"/>
            <w:vAlign w:val="center"/>
          </w:tcPr>
          <w:p>
            <w:pPr>
              <w:snapToGrid w:val="0"/>
              <w:spacing w:line="300" w:lineRule="auto"/>
              <w:jc w:val="both"/>
              <w:rPr>
                <w:rFonts w:ascii="Times New Roman" w:hAnsi="Times New Roman"/>
                <w:color w:val="auto"/>
                <w:sz w:val="24"/>
                <w:szCs w:val="24"/>
              </w:rPr>
            </w:pPr>
            <w:r>
              <w:rPr>
                <w:rFonts w:hint="eastAsia" w:ascii="Times New Roman" w:hAnsi="Times New Roman" w:cs="MS Mincho"/>
                <w:color w:val="auto"/>
                <w:sz w:val="24"/>
                <w:szCs w:val="24"/>
              </w:rPr>
              <w:t>□</w:t>
            </w:r>
            <w:r>
              <w:rPr>
                <w:rFonts w:ascii="Times New Roman" w:hAnsi="Times New Roman"/>
                <w:color w:val="auto"/>
                <w:sz w:val="24"/>
                <w:szCs w:val="24"/>
              </w:rPr>
              <w:t>是</w:t>
            </w:r>
          </w:p>
          <w:p>
            <w:pPr>
              <w:snapToGrid w:val="0"/>
              <w:spacing w:line="300" w:lineRule="auto"/>
              <w:jc w:val="both"/>
              <w:rPr>
                <w:rFonts w:ascii="Times New Roman" w:hAnsi="Times New Roman"/>
                <w:color w:val="auto"/>
                <w:sz w:val="24"/>
                <w:szCs w:val="24"/>
                <w:lang w:eastAsia="zh-CN"/>
              </w:rPr>
            </w:pPr>
            <w:r>
              <w:rPr>
                <w:rFonts w:hint="eastAsia" w:ascii="MS Gothic" w:hAnsi="MS Gothic" w:eastAsia="MS Gothic" w:cs="MS Gothic"/>
                <w:color w:val="auto"/>
                <w:sz w:val="24"/>
                <w:szCs w:val="24"/>
                <w:lang w:eastAsia="zh-CN"/>
              </w:rPr>
              <w:t>■</w:t>
            </w:r>
            <w:r>
              <w:rPr>
                <w:rFonts w:ascii="Times New Roman" w:hAnsi="Times New Roman"/>
                <w:color w:val="auto"/>
                <w:sz w:val="24"/>
                <w:szCs w:val="24"/>
              </w:rPr>
              <w:t>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703" w:type="dxa"/>
            <w:vAlign w:val="center"/>
          </w:tcPr>
          <w:p>
            <w:pPr>
              <w:pStyle w:val="51"/>
              <w:numPr>
                <w:ilvl w:val="0"/>
                <w:numId w:val="4"/>
              </w:numPr>
              <w:snapToGrid w:val="0"/>
              <w:spacing w:line="300" w:lineRule="auto"/>
              <w:jc w:val="center"/>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评标委员会推荐中标候选人的</w:t>
            </w:r>
            <w:r>
              <w:rPr>
                <w:rFonts w:hint="eastAsia" w:ascii="Times New Roman" w:hAnsi="Times New Roman"/>
                <w:color w:val="auto"/>
                <w:sz w:val="24"/>
                <w:szCs w:val="24"/>
                <w:lang w:eastAsia="zh-CN"/>
              </w:rPr>
              <w:t>数量</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21.1</w:t>
            </w:r>
          </w:p>
        </w:tc>
        <w:tc>
          <w:tcPr>
            <w:tcW w:w="6202" w:type="dxa"/>
            <w:vAlign w:val="center"/>
          </w:tcPr>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3</w:t>
            </w:r>
            <w:r>
              <w:rPr>
                <w:rFonts w:hint="eastAsia"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8" w:hRule="atLeast"/>
        </w:trPr>
        <w:tc>
          <w:tcPr>
            <w:tcW w:w="703" w:type="dxa"/>
            <w:vAlign w:val="center"/>
          </w:tcPr>
          <w:p>
            <w:pPr>
              <w:pStyle w:val="51"/>
              <w:numPr>
                <w:ilvl w:val="0"/>
                <w:numId w:val="4"/>
              </w:numPr>
              <w:snapToGrid w:val="0"/>
              <w:spacing w:line="300" w:lineRule="auto"/>
              <w:jc w:val="center"/>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hint="eastAsia"/>
                <w:color w:val="auto"/>
                <w:spacing w:val="-5"/>
                <w:sz w:val="24"/>
                <w:szCs w:val="24"/>
                <w:lang w:eastAsia="zh-CN"/>
              </w:rPr>
              <w:t>中标候选人并列时确定中标人的方式</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ascii="Times New Roman" w:hAnsi="Times New Roman"/>
                <w:color w:val="auto"/>
                <w:sz w:val="24"/>
                <w:szCs w:val="24"/>
                <w:lang w:eastAsia="zh-CN"/>
              </w:rPr>
              <w:t>24.1</w:t>
            </w:r>
          </w:p>
        </w:tc>
        <w:tc>
          <w:tcPr>
            <w:tcW w:w="6202" w:type="dxa"/>
            <w:vAlign w:val="center"/>
          </w:tcPr>
          <w:p>
            <w:pPr>
              <w:snapToGrid w:val="0"/>
              <w:spacing w:line="300" w:lineRule="auto"/>
              <w:jc w:val="both"/>
              <w:rPr>
                <w:rFonts w:ascii="Times New Roman" w:hAnsi="Times New Roman"/>
                <w:color w:val="auto"/>
                <w:sz w:val="24"/>
                <w:szCs w:val="24"/>
                <w:u w:val="single"/>
                <w:lang w:eastAsia="zh-CN"/>
              </w:rPr>
            </w:pPr>
            <w:r>
              <w:rPr>
                <w:rFonts w:hint="eastAsia" w:ascii="Times New Roman" w:hAnsi="Times New Roman"/>
                <w:color w:val="auto"/>
                <w:sz w:val="24"/>
                <w:szCs w:val="24"/>
                <w:lang w:eastAsia="zh-CN"/>
              </w:rPr>
              <w:t>投标报价低的优先，投标报价相同的企业净资产高的优先。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6" w:hRule="atLeast"/>
        </w:trPr>
        <w:tc>
          <w:tcPr>
            <w:tcW w:w="703" w:type="dxa"/>
            <w:vAlign w:val="center"/>
          </w:tcPr>
          <w:p>
            <w:pPr>
              <w:pStyle w:val="51"/>
              <w:numPr>
                <w:ilvl w:val="0"/>
                <w:numId w:val="4"/>
              </w:numPr>
              <w:snapToGrid w:val="0"/>
              <w:spacing w:line="300" w:lineRule="auto"/>
              <w:jc w:val="center"/>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color w:val="auto"/>
                <w:spacing w:val="-5"/>
                <w:sz w:val="24"/>
                <w:szCs w:val="24"/>
                <w:lang w:eastAsia="zh-CN"/>
              </w:rPr>
            </w:pPr>
            <w:r>
              <w:rPr>
                <w:rFonts w:hint="eastAsia" w:ascii="Times New Roman" w:hAnsi="Times New Roman"/>
                <w:color w:val="auto"/>
                <w:sz w:val="24"/>
                <w:szCs w:val="24"/>
                <w:lang w:eastAsia="zh-CN"/>
              </w:rPr>
              <w:t>中标结果公告媒介及期限</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ascii="Times New Roman" w:hAnsi="Times New Roman"/>
                <w:color w:val="auto"/>
                <w:sz w:val="24"/>
                <w:szCs w:val="24"/>
                <w:lang w:eastAsia="zh-CN"/>
              </w:rPr>
              <w:t>24.1</w:t>
            </w:r>
          </w:p>
        </w:tc>
        <w:tc>
          <w:tcPr>
            <w:tcW w:w="6202" w:type="dxa"/>
            <w:vAlign w:val="center"/>
          </w:tcPr>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公告媒介：同招标公告发布媒介</w:t>
            </w:r>
          </w:p>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rPr>
              <w:t>公告期限：</w:t>
            </w:r>
            <w:r>
              <w:rPr>
                <w:rFonts w:ascii="Times New Roman" w:hAnsi="Times New Roman"/>
                <w:i/>
                <w:color w:val="auto"/>
                <w:sz w:val="24"/>
                <w:szCs w:val="24"/>
                <w:u w:val="single"/>
                <w:lang w:eastAsia="zh-CN"/>
              </w:rPr>
              <w:t xml:space="preserve">  </w:t>
            </w:r>
            <w:r>
              <w:rPr>
                <w:rFonts w:ascii="Times New Roman" w:hAnsi="Times New Roman"/>
                <w:color w:val="auto"/>
                <w:sz w:val="24"/>
                <w:szCs w:val="24"/>
                <w:u w:val="single"/>
                <w:lang w:eastAsia="zh-CN"/>
              </w:rPr>
              <w:t>1</w:t>
            </w:r>
            <w:r>
              <w:rPr>
                <w:rFonts w:ascii="Times New Roman" w:hAnsi="Times New Roman"/>
                <w:i/>
                <w:color w:val="auto"/>
                <w:sz w:val="24"/>
                <w:szCs w:val="24"/>
                <w:u w:val="single"/>
                <w:lang w:eastAsia="zh-CN"/>
              </w:rPr>
              <w:t xml:space="preserve">  </w:t>
            </w:r>
            <w:r>
              <w:rPr>
                <w:rFonts w:hint="eastAsia" w:ascii="Times New Roman" w:hAnsi="Times New Roman"/>
                <w:color w:val="auto"/>
                <w:sz w:val="24"/>
                <w:szCs w:val="24"/>
                <w:lang w:eastAsia="zh-CN"/>
              </w:rPr>
              <w:t>个工作</w:t>
            </w:r>
            <w:r>
              <w:rPr>
                <w:rFonts w:hint="eastAsia" w:ascii="Times New Roman" w:hAnsi="Times New Roman"/>
                <w:color w:val="auto"/>
                <w:sz w:val="24"/>
                <w:szCs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center"/>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rPr>
            </w:pPr>
            <w:r>
              <w:rPr>
                <w:rFonts w:hint="eastAsia" w:ascii="Times New Roman" w:hAnsi="Times New Roman"/>
                <w:color w:val="auto"/>
                <w:sz w:val="24"/>
                <w:szCs w:val="24"/>
              </w:rPr>
              <w:t>是否提交履约保证金</w:t>
            </w:r>
          </w:p>
        </w:tc>
        <w:tc>
          <w:tcPr>
            <w:tcW w:w="917" w:type="dxa"/>
            <w:vAlign w:val="center"/>
          </w:tcPr>
          <w:p>
            <w:pPr>
              <w:snapToGrid w:val="0"/>
              <w:spacing w:line="300" w:lineRule="auto"/>
              <w:jc w:val="center"/>
              <w:rPr>
                <w:rFonts w:ascii="Times New Roman" w:hAnsi="Times New Roman"/>
                <w:color w:val="auto"/>
                <w:sz w:val="24"/>
                <w:szCs w:val="24"/>
                <w:shd w:val="clear" w:color="auto" w:fill="FFFFFF"/>
                <w:lang w:eastAsia="zh-CN"/>
              </w:rPr>
            </w:pPr>
            <w:r>
              <w:rPr>
                <w:rFonts w:hint="eastAsia" w:ascii="Times New Roman" w:hAnsi="Times New Roman"/>
                <w:color w:val="auto"/>
                <w:sz w:val="24"/>
                <w:szCs w:val="24"/>
                <w:shd w:val="clear" w:color="auto" w:fill="FFFFFF"/>
                <w:lang w:eastAsia="zh-CN"/>
              </w:rPr>
              <w:t>26.1</w:t>
            </w:r>
          </w:p>
        </w:tc>
        <w:tc>
          <w:tcPr>
            <w:tcW w:w="6202" w:type="dxa"/>
            <w:vAlign w:val="center"/>
          </w:tcPr>
          <w:p>
            <w:pPr>
              <w:snapToGrid w:val="0"/>
              <w:spacing w:line="300" w:lineRule="auto"/>
              <w:ind w:firstLine="480" w:firstLineChars="200"/>
              <w:jc w:val="both"/>
              <w:rPr>
                <w:rFonts w:ascii="Times New Roman" w:hAnsi="Times New Roman"/>
                <w:color w:val="auto"/>
                <w:sz w:val="24"/>
                <w:szCs w:val="24"/>
                <w:lang w:eastAsia="zh-CN"/>
              </w:rPr>
            </w:pPr>
            <w:r>
              <w:rPr>
                <w:rFonts w:hint="eastAsia" w:ascii="MS Gothic" w:hAnsi="MS Gothic" w:eastAsia="MS Gothic" w:cs="MS Gothic"/>
                <w:color w:val="auto"/>
                <w:sz w:val="24"/>
                <w:szCs w:val="24"/>
                <w:lang w:eastAsia="zh-CN"/>
              </w:rPr>
              <w:t>■</w:t>
            </w:r>
            <w:r>
              <w:rPr>
                <w:rFonts w:ascii="Times New Roman" w:hAnsi="Times New Roman"/>
                <w:color w:val="auto"/>
                <w:sz w:val="24"/>
                <w:szCs w:val="24"/>
                <w:lang w:eastAsia="zh-CN"/>
              </w:rPr>
              <w:t>否</w:t>
            </w:r>
          </w:p>
          <w:p>
            <w:pPr>
              <w:snapToGrid w:val="0"/>
              <w:spacing w:line="300" w:lineRule="auto"/>
              <w:ind w:firstLine="480" w:firstLineChars="200"/>
              <w:jc w:val="both"/>
              <w:rPr>
                <w:rFonts w:ascii="Times New Roman" w:hAnsi="Times New Roman" w:cs="微软雅黑"/>
                <w:color w:val="auto"/>
                <w:sz w:val="24"/>
                <w:szCs w:val="24"/>
                <w:lang w:eastAsia="zh-CN"/>
              </w:rPr>
            </w:pPr>
            <w:r>
              <w:rPr>
                <w:rFonts w:hint="eastAsia" w:ascii="Times New Roman" w:hAnsi="Times New Roman" w:cs="MS Mincho"/>
                <w:color w:val="auto"/>
                <w:sz w:val="24"/>
                <w:szCs w:val="24"/>
                <w:lang w:eastAsia="zh-CN"/>
              </w:rPr>
              <w:t>□</w:t>
            </w:r>
            <w:r>
              <w:rPr>
                <w:rFonts w:ascii="Times New Roman" w:hAnsi="Times New Roman"/>
                <w:color w:val="auto"/>
                <w:sz w:val="24"/>
                <w:szCs w:val="24"/>
                <w:lang w:eastAsia="zh-CN"/>
              </w:rPr>
              <w:t>是</w:t>
            </w:r>
            <w:r>
              <w:rPr>
                <w:rFonts w:hint="eastAsia" w:ascii="Times New Roman" w:hAnsi="Times New Roman"/>
                <w:color w:val="auto"/>
                <w:sz w:val="24"/>
                <w:szCs w:val="24"/>
                <w:shd w:val="clear" w:color="auto" w:fill="FFFFFF"/>
                <w:lang w:eastAsia="zh-CN"/>
              </w:rPr>
              <w:t>，履约保证金数额为合同总价款的</w:t>
            </w:r>
            <w:r>
              <w:rPr>
                <w:rFonts w:hint="eastAsia" w:ascii="Times New Roman" w:hAnsi="Times New Roman"/>
                <w:color w:val="auto"/>
                <w:sz w:val="24"/>
                <w:szCs w:val="24"/>
                <w:u w:val="single"/>
                <w:shd w:val="clear" w:color="auto" w:fill="FFFFFF"/>
                <w:lang w:eastAsia="zh-CN"/>
              </w:rPr>
              <w:t xml:space="preserve"> </w:t>
            </w:r>
            <w:r>
              <w:rPr>
                <w:rFonts w:ascii="Times New Roman" w:hAnsi="Times New Roman"/>
                <w:color w:val="auto"/>
                <w:sz w:val="24"/>
                <w:szCs w:val="24"/>
                <w:u w:val="single"/>
                <w:shd w:val="clear" w:color="auto" w:fill="FFFFFF"/>
                <w:lang w:eastAsia="zh-CN"/>
              </w:rPr>
              <w:t xml:space="preserve"> /  </w:t>
            </w:r>
            <w:r>
              <w:rPr>
                <w:rFonts w:hint="eastAsia" w:ascii="Times New Roman" w:hAnsi="Times New Roman"/>
                <w:color w:val="auto"/>
                <w:sz w:val="24"/>
                <w:szCs w:val="24"/>
                <w:shd w:val="clear" w:color="auto" w:fill="FFFFFF"/>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66" w:hRule="atLeast"/>
        </w:trPr>
        <w:tc>
          <w:tcPr>
            <w:tcW w:w="703" w:type="dxa"/>
            <w:vAlign w:val="center"/>
          </w:tcPr>
          <w:p>
            <w:pPr>
              <w:pStyle w:val="51"/>
              <w:numPr>
                <w:ilvl w:val="0"/>
                <w:numId w:val="4"/>
              </w:numPr>
              <w:snapToGrid w:val="0"/>
              <w:spacing w:line="300" w:lineRule="auto"/>
              <w:jc w:val="center"/>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rPr>
            </w:pPr>
            <w:r>
              <w:rPr>
                <w:rFonts w:hint="eastAsia" w:ascii="Times New Roman" w:hAnsi="Times New Roman"/>
                <w:color w:val="auto"/>
                <w:sz w:val="24"/>
                <w:szCs w:val="24"/>
              </w:rPr>
              <w:t>投标人质疑</w:t>
            </w:r>
          </w:p>
        </w:tc>
        <w:tc>
          <w:tcPr>
            <w:tcW w:w="917" w:type="dxa"/>
            <w:vAlign w:val="center"/>
          </w:tcPr>
          <w:p>
            <w:pPr>
              <w:snapToGrid w:val="0"/>
              <w:spacing w:line="300" w:lineRule="auto"/>
              <w:jc w:val="center"/>
              <w:rPr>
                <w:rFonts w:ascii="Times New Roman" w:hAnsi="Times New Roman"/>
                <w:color w:val="auto"/>
                <w:sz w:val="24"/>
                <w:szCs w:val="24"/>
                <w:shd w:val="clear" w:color="auto" w:fill="FFFFFF"/>
                <w:lang w:eastAsia="zh-CN"/>
              </w:rPr>
            </w:pPr>
            <w:r>
              <w:rPr>
                <w:rFonts w:hint="eastAsia" w:ascii="Times New Roman" w:hAnsi="Times New Roman"/>
                <w:color w:val="auto"/>
                <w:sz w:val="24"/>
                <w:szCs w:val="24"/>
                <w:shd w:val="clear" w:color="auto" w:fill="FFFFFF"/>
                <w:lang w:eastAsia="zh-CN"/>
              </w:rPr>
              <w:t>28.1</w:t>
            </w:r>
          </w:p>
        </w:tc>
        <w:tc>
          <w:tcPr>
            <w:tcW w:w="6202" w:type="dxa"/>
            <w:vAlign w:val="center"/>
          </w:tcPr>
          <w:p>
            <w:pPr>
              <w:pStyle w:val="12"/>
              <w:snapToGrid w:val="0"/>
              <w:spacing w:line="360" w:lineRule="auto"/>
              <w:rPr>
                <w:rFonts w:ascii="Times New Roman" w:hAnsi="Times New Roman"/>
                <w:color w:val="auto"/>
                <w:lang w:eastAsia="zh-CN"/>
              </w:rPr>
            </w:pPr>
            <w:r>
              <w:rPr>
                <w:rFonts w:ascii="Times New Roman" w:hAnsi="Times New Roman"/>
                <w:color w:val="auto"/>
                <w:lang w:eastAsia="zh-CN"/>
              </w:rPr>
              <w:t>联系部门：</w:t>
            </w:r>
            <w:r>
              <w:rPr>
                <w:rFonts w:hint="eastAsia" w:ascii="Times New Roman" w:hAnsi="Times New Roman"/>
                <w:color w:val="auto"/>
                <w:lang w:eastAsia="zh-CN"/>
              </w:rPr>
              <w:t>北京合信恒盛咨询有限公司；</w:t>
            </w:r>
          </w:p>
          <w:p>
            <w:pPr>
              <w:pStyle w:val="12"/>
              <w:snapToGrid w:val="0"/>
              <w:spacing w:line="360" w:lineRule="auto"/>
              <w:rPr>
                <w:rFonts w:ascii="Times New Roman" w:hAnsi="Times New Roman"/>
                <w:color w:val="auto"/>
                <w:lang w:eastAsia="zh-CN"/>
              </w:rPr>
            </w:pPr>
            <w:r>
              <w:rPr>
                <w:rFonts w:hint="eastAsia" w:ascii="Times New Roman" w:hAnsi="Times New Roman"/>
                <w:color w:val="auto"/>
                <w:lang w:eastAsia="zh-CN"/>
              </w:rPr>
              <w:t>联  系  人：李冬；</w:t>
            </w:r>
          </w:p>
          <w:p>
            <w:pPr>
              <w:pStyle w:val="12"/>
              <w:snapToGrid w:val="0"/>
              <w:spacing w:line="360" w:lineRule="auto"/>
              <w:rPr>
                <w:rFonts w:ascii="Times New Roman" w:hAnsi="Times New Roman"/>
                <w:color w:val="auto"/>
                <w:lang w:eastAsia="zh-CN"/>
              </w:rPr>
            </w:pPr>
            <w:r>
              <w:rPr>
                <w:rFonts w:ascii="Times New Roman" w:hAnsi="Times New Roman"/>
                <w:color w:val="auto"/>
                <w:lang w:eastAsia="zh-CN"/>
              </w:rPr>
              <w:t>联系电话：</w:t>
            </w:r>
            <w:r>
              <w:rPr>
                <w:rFonts w:hint="eastAsia" w:ascii="Times New Roman" w:hAnsi="Times New Roman"/>
                <w:color w:val="auto"/>
                <w:lang w:eastAsia="zh-CN"/>
              </w:rPr>
              <w:t>010-84700072-802、13241821898</w:t>
            </w:r>
            <w:r>
              <w:rPr>
                <w:rFonts w:ascii="Times New Roman" w:hAnsi="Times New Roman"/>
                <w:color w:val="auto"/>
                <w:lang w:eastAsia="zh-CN"/>
              </w:rPr>
              <w:t>；</w:t>
            </w:r>
          </w:p>
          <w:p>
            <w:pPr>
              <w:snapToGrid w:val="0"/>
              <w:spacing w:line="300" w:lineRule="auto"/>
              <w:jc w:val="both"/>
              <w:rPr>
                <w:rFonts w:ascii="Times New Roman" w:hAnsi="Times New Roman" w:cs="MS Mincho"/>
                <w:color w:val="auto"/>
                <w:sz w:val="24"/>
                <w:szCs w:val="24"/>
                <w:lang w:eastAsia="zh-CN"/>
              </w:rPr>
            </w:pPr>
            <w:r>
              <w:rPr>
                <w:rFonts w:ascii="Times New Roman" w:hAnsi="Times New Roman"/>
                <w:color w:val="auto"/>
                <w:sz w:val="24"/>
                <w:szCs w:val="24"/>
                <w:lang w:eastAsia="zh-CN"/>
              </w:rPr>
              <w:t>通讯地址：</w:t>
            </w:r>
            <w:r>
              <w:rPr>
                <w:rFonts w:hint="eastAsia"/>
                <w:color w:val="auto"/>
                <w:sz w:val="24"/>
                <w:lang w:eastAsia="zh-CN"/>
              </w:rPr>
              <w:t>北京市朝阳区驼房营南路新华科技大厦11层1109室</w:t>
            </w:r>
            <w:r>
              <w:rPr>
                <w:rFonts w:hint="eastAsia" w:ascii="Times New Roman" w:hAnsi="Times New Roman"/>
                <w:color w:val="auto"/>
                <w:sz w:val="24"/>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05" w:hRule="atLeast"/>
        </w:trPr>
        <w:tc>
          <w:tcPr>
            <w:tcW w:w="703" w:type="dxa"/>
            <w:vAlign w:val="center"/>
          </w:tcPr>
          <w:p>
            <w:pPr>
              <w:pStyle w:val="51"/>
              <w:numPr>
                <w:ilvl w:val="0"/>
                <w:numId w:val="4"/>
              </w:numPr>
              <w:snapToGrid w:val="0"/>
              <w:spacing w:line="300" w:lineRule="auto"/>
              <w:jc w:val="center"/>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中小微型企业有关政策</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32</w:t>
            </w:r>
          </w:p>
        </w:tc>
        <w:tc>
          <w:tcPr>
            <w:tcW w:w="6202" w:type="dxa"/>
            <w:vAlign w:val="center"/>
          </w:tcPr>
          <w:p>
            <w:pPr>
              <w:pStyle w:val="51"/>
              <w:numPr>
                <w:ilvl w:val="1"/>
                <w:numId w:val="8"/>
              </w:numPr>
              <w:snapToGrid w:val="0"/>
              <w:spacing w:line="300" w:lineRule="auto"/>
              <w:ind w:left="319"/>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根据工信部等部委发布的《关于印发中小企业划型标准规定的通知》（工信部联企业〔2011〕300号），按照本次采购标的所属行业的划型标准，符合条件的中小企业应按照招标文件格式要求提供《中小企业声明函》（加盖公章）。不按要求提供上述材料的将不被认定为中小微型企业。</w:t>
            </w:r>
          </w:p>
          <w:p>
            <w:pPr>
              <w:pStyle w:val="51"/>
              <w:numPr>
                <w:ilvl w:val="1"/>
                <w:numId w:val="8"/>
              </w:numPr>
              <w:snapToGrid w:val="0"/>
              <w:spacing w:line="300" w:lineRule="auto"/>
              <w:ind w:left="319"/>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根据财政部发布的《政府采购促进中小企业发展暂行办法》（财库〔2011〕181号）及</w:t>
            </w:r>
            <w:r>
              <w:rPr>
                <w:rFonts w:hint="eastAsia"/>
                <w:color w:val="auto"/>
                <w:szCs w:val="21"/>
                <w:lang w:eastAsia="zh-CN"/>
              </w:rPr>
              <w:t>《京财采购〔2020〕195号》</w:t>
            </w:r>
            <w:r>
              <w:rPr>
                <w:rFonts w:hint="eastAsia" w:ascii="Times New Roman" w:hAnsi="Times New Roman"/>
                <w:color w:val="auto"/>
                <w:sz w:val="24"/>
                <w:szCs w:val="24"/>
                <w:lang w:eastAsia="zh-CN"/>
              </w:rPr>
              <w:t>规定，对小型和微型企业产品的投标价格在</w:t>
            </w:r>
            <w:r>
              <w:rPr>
                <w:rFonts w:hint="eastAsia"/>
                <w:color w:val="auto"/>
                <w:szCs w:val="21"/>
                <w:lang w:eastAsia="zh-CN"/>
              </w:rPr>
              <w:t>本次COVID-19疫情期间</w:t>
            </w:r>
            <w:r>
              <w:rPr>
                <w:rFonts w:hint="eastAsia" w:ascii="Times New Roman" w:hAnsi="Times New Roman"/>
                <w:color w:val="auto"/>
                <w:sz w:val="24"/>
                <w:szCs w:val="24"/>
                <w:lang w:eastAsia="zh-CN"/>
              </w:rPr>
              <w:t>给予</w:t>
            </w:r>
            <w:r>
              <w:rPr>
                <w:rFonts w:hint="eastAsia" w:ascii="Times New Roman" w:hAnsi="Times New Roman"/>
                <w:color w:val="auto"/>
                <w:sz w:val="24"/>
                <w:szCs w:val="24"/>
                <w:u w:val="single"/>
                <w:lang w:eastAsia="zh-CN"/>
              </w:rPr>
              <w:t>10</w:t>
            </w:r>
            <w:r>
              <w:rPr>
                <w:rFonts w:hint="eastAsia" w:ascii="Times New Roman" w:hAnsi="Times New Roman"/>
                <w:color w:val="auto"/>
                <w:sz w:val="24"/>
                <w:szCs w:val="24"/>
                <w:lang w:eastAsia="zh-CN"/>
              </w:rPr>
              <w:t>%的扣除，用扣除后的价格参与评审。</w:t>
            </w:r>
          </w:p>
          <w:p>
            <w:pPr>
              <w:pStyle w:val="51"/>
              <w:numPr>
                <w:ilvl w:val="1"/>
                <w:numId w:val="8"/>
              </w:numPr>
              <w:snapToGrid w:val="0"/>
              <w:spacing w:line="300" w:lineRule="auto"/>
              <w:ind w:left="319"/>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对于联合体投标人，联合体各方均为小型、微型企业的，联合体视同为小型、微型企业并享受相关优惠政策；联合体中有大中型企业也有小型、微型企业的，小型、微型企业的协议合同金额占到联合体协议合同金额30%以上的，将给予联合体</w:t>
            </w:r>
            <w:r>
              <w:rPr>
                <w:rFonts w:hint="eastAsia" w:ascii="Times New Roman" w:hAnsi="Times New Roman"/>
                <w:i/>
                <w:color w:val="auto"/>
                <w:sz w:val="24"/>
                <w:szCs w:val="24"/>
                <w:lang w:eastAsia="zh-CN"/>
              </w:rPr>
              <w:t xml:space="preserve"> </w:t>
            </w:r>
            <w:r>
              <w:rPr>
                <w:rFonts w:hint="eastAsia" w:ascii="Times New Roman" w:hAnsi="Times New Roman"/>
                <w:color w:val="auto"/>
                <w:sz w:val="24"/>
                <w:szCs w:val="24"/>
                <w:u w:val="single"/>
                <w:lang w:eastAsia="zh-CN"/>
              </w:rPr>
              <w:t>3.33</w:t>
            </w:r>
            <w:r>
              <w:rPr>
                <w:rFonts w:hint="eastAsia" w:ascii="Times New Roman" w:hAnsi="Times New Roman"/>
                <w:color w:val="auto"/>
                <w:sz w:val="24"/>
                <w:szCs w:val="24"/>
                <w:lang w:eastAsia="zh-CN"/>
              </w:rPr>
              <w:t>%的价格扣除。</w:t>
            </w:r>
          </w:p>
          <w:p>
            <w:pPr>
              <w:pStyle w:val="51"/>
              <w:numPr>
                <w:ilvl w:val="1"/>
                <w:numId w:val="8"/>
              </w:numPr>
              <w:snapToGrid w:val="0"/>
              <w:spacing w:line="300" w:lineRule="auto"/>
              <w:ind w:left="319"/>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提供由省级以上监狱管理局、戒毒管理局（含新疆生产建设兵团）出具的属于监狱企业证明文件的，视同为小型、微型企业。监狱企业属于小型、微型企业的，不重复享受价格优惠政策。</w:t>
            </w:r>
          </w:p>
          <w:p>
            <w:pPr>
              <w:pStyle w:val="51"/>
              <w:numPr>
                <w:ilvl w:val="1"/>
                <w:numId w:val="8"/>
              </w:numPr>
              <w:snapToGrid w:val="0"/>
              <w:spacing w:line="300" w:lineRule="auto"/>
              <w:ind w:left="319"/>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符合享受政府采购支持政策的残疾人福利性单位条件且提供《残疾人福利性单位声明函》的，视同为小型、微型企业。残疾人福利性单位属于小型、微型企业的，不重复享受价格优惠政策。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703" w:type="dxa"/>
            <w:vAlign w:val="center"/>
          </w:tcPr>
          <w:p>
            <w:pPr>
              <w:pStyle w:val="51"/>
              <w:numPr>
                <w:ilvl w:val="0"/>
                <w:numId w:val="4"/>
              </w:numPr>
              <w:snapToGrid w:val="0"/>
              <w:spacing w:line="300" w:lineRule="auto"/>
              <w:jc w:val="center"/>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s="微软雅黑"/>
                <w:color w:val="auto"/>
                <w:sz w:val="24"/>
                <w:szCs w:val="24"/>
              </w:rPr>
            </w:pPr>
            <w:r>
              <w:rPr>
                <w:rFonts w:hint="eastAsia" w:ascii="Times New Roman" w:hAnsi="Times New Roman"/>
                <w:color w:val="auto"/>
                <w:sz w:val="24"/>
                <w:szCs w:val="24"/>
              </w:rPr>
              <w:t>其他必要内容</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32</w:t>
            </w:r>
          </w:p>
        </w:tc>
        <w:tc>
          <w:tcPr>
            <w:tcW w:w="6202" w:type="dxa"/>
            <w:vAlign w:val="center"/>
          </w:tcPr>
          <w:p>
            <w:pPr>
              <w:pStyle w:val="51"/>
              <w:numPr>
                <w:ilvl w:val="0"/>
                <w:numId w:val="9"/>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招标文件中近三年是指：</w:t>
            </w:r>
            <w:r>
              <w:rPr>
                <w:rFonts w:ascii="Times New Roman" w:hAnsi="Times New Roman"/>
                <w:color w:val="auto"/>
                <w:sz w:val="24"/>
                <w:szCs w:val="24"/>
                <w:u w:val="single"/>
                <w:lang w:eastAsia="zh-CN"/>
              </w:rPr>
              <w:t>201</w:t>
            </w:r>
            <w:r>
              <w:rPr>
                <w:rFonts w:hint="eastAsia" w:ascii="Times New Roman" w:hAnsi="Times New Roman"/>
                <w:color w:val="auto"/>
                <w:sz w:val="24"/>
                <w:szCs w:val="24"/>
                <w:u w:val="single"/>
                <w:lang w:eastAsia="zh-CN"/>
              </w:rPr>
              <w:t>7</w:t>
            </w:r>
            <w:r>
              <w:rPr>
                <w:rFonts w:hint="eastAsia" w:ascii="Times New Roman" w:hAnsi="Times New Roman"/>
                <w:color w:val="auto"/>
                <w:sz w:val="24"/>
                <w:szCs w:val="24"/>
                <w:lang w:eastAsia="zh-CN"/>
              </w:rPr>
              <w:t>年</w:t>
            </w:r>
            <w:r>
              <w:rPr>
                <w:rFonts w:hint="eastAsia" w:ascii="Times New Roman" w:hAnsi="Times New Roman"/>
                <w:color w:val="auto"/>
                <w:sz w:val="24"/>
                <w:szCs w:val="24"/>
                <w:u w:val="single"/>
                <w:lang w:eastAsia="zh-CN"/>
              </w:rPr>
              <w:t>6</w:t>
            </w:r>
            <w:r>
              <w:rPr>
                <w:rFonts w:hint="eastAsia" w:ascii="Times New Roman" w:hAnsi="Times New Roman"/>
                <w:color w:val="auto"/>
                <w:sz w:val="24"/>
                <w:szCs w:val="24"/>
                <w:lang w:eastAsia="zh-CN"/>
              </w:rPr>
              <w:t>月</w:t>
            </w:r>
            <w:r>
              <w:rPr>
                <w:rFonts w:hint="eastAsia" w:ascii="Times New Roman" w:hAnsi="Times New Roman"/>
                <w:color w:val="auto"/>
                <w:sz w:val="24"/>
                <w:szCs w:val="24"/>
                <w:u w:val="single"/>
                <w:lang w:val="en-US" w:eastAsia="zh-CN"/>
              </w:rPr>
              <w:t>17</w:t>
            </w:r>
            <w:r>
              <w:rPr>
                <w:rFonts w:hint="eastAsia" w:ascii="Times New Roman" w:hAnsi="Times New Roman"/>
                <w:color w:val="auto"/>
                <w:sz w:val="24"/>
                <w:szCs w:val="24"/>
                <w:lang w:eastAsia="zh-CN"/>
              </w:rPr>
              <w:t>日至</w:t>
            </w:r>
            <w:r>
              <w:rPr>
                <w:rFonts w:ascii="Times New Roman" w:hAnsi="Times New Roman"/>
                <w:color w:val="auto"/>
                <w:sz w:val="24"/>
                <w:szCs w:val="24"/>
                <w:u w:val="single"/>
                <w:lang w:eastAsia="zh-CN"/>
              </w:rPr>
              <w:t>20</w:t>
            </w:r>
            <w:r>
              <w:rPr>
                <w:rFonts w:hint="eastAsia" w:ascii="Times New Roman" w:hAnsi="Times New Roman"/>
                <w:color w:val="auto"/>
                <w:sz w:val="24"/>
                <w:szCs w:val="24"/>
                <w:u w:val="single"/>
                <w:lang w:eastAsia="zh-CN"/>
              </w:rPr>
              <w:t>20</w:t>
            </w:r>
            <w:r>
              <w:rPr>
                <w:rFonts w:hint="eastAsia" w:ascii="Times New Roman" w:hAnsi="Times New Roman"/>
                <w:color w:val="auto"/>
                <w:sz w:val="24"/>
                <w:szCs w:val="24"/>
                <w:lang w:eastAsia="zh-CN"/>
              </w:rPr>
              <w:t>年</w:t>
            </w:r>
            <w:r>
              <w:rPr>
                <w:rFonts w:hint="eastAsia" w:ascii="Times New Roman" w:hAnsi="Times New Roman"/>
                <w:color w:val="auto"/>
                <w:sz w:val="24"/>
                <w:szCs w:val="24"/>
                <w:u w:val="single"/>
                <w:lang w:eastAsia="zh-CN"/>
              </w:rPr>
              <w:t>6</w:t>
            </w:r>
            <w:r>
              <w:rPr>
                <w:rFonts w:hint="eastAsia" w:ascii="Times New Roman" w:hAnsi="Times New Roman"/>
                <w:color w:val="auto"/>
                <w:sz w:val="24"/>
                <w:szCs w:val="24"/>
                <w:lang w:eastAsia="zh-CN"/>
              </w:rPr>
              <w:t>月</w:t>
            </w:r>
            <w:r>
              <w:rPr>
                <w:rFonts w:hint="eastAsia" w:ascii="Times New Roman" w:hAnsi="Times New Roman"/>
                <w:color w:val="auto"/>
                <w:sz w:val="24"/>
                <w:szCs w:val="24"/>
                <w:u w:val="single"/>
                <w:lang w:val="en-US" w:eastAsia="zh-CN"/>
              </w:rPr>
              <w:t>16</w:t>
            </w:r>
            <w:r>
              <w:rPr>
                <w:rFonts w:hint="eastAsia" w:ascii="Times New Roman" w:hAnsi="Times New Roman"/>
                <w:color w:val="auto"/>
                <w:sz w:val="24"/>
                <w:szCs w:val="24"/>
                <w:lang w:eastAsia="zh-CN"/>
              </w:rPr>
              <w:t>日。</w:t>
            </w:r>
          </w:p>
          <w:p>
            <w:pPr>
              <w:pStyle w:val="51"/>
              <w:numPr>
                <w:ilvl w:val="0"/>
                <w:numId w:val="9"/>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近</w:t>
            </w:r>
            <w:r>
              <w:rPr>
                <w:rFonts w:ascii="Times New Roman" w:hAnsi="Times New Roman"/>
                <w:color w:val="auto"/>
                <w:sz w:val="24"/>
                <w:szCs w:val="24"/>
                <w:lang w:eastAsia="zh-CN"/>
              </w:rPr>
              <w:t>年业绩：</w:t>
            </w:r>
            <w:r>
              <w:rPr>
                <w:rFonts w:hint="eastAsia" w:ascii="Times New Roman" w:hAnsi="Times New Roman"/>
                <w:color w:val="auto"/>
                <w:sz w:val="24"/>
                <w:szCs w:val="24"/>
                <w:lang w:eastAsia="zh-CN"/>
              </w:rPr>
              <w:t>近三年投标人承担过相同或类似的业绩，附中标通知书或合同协议书等的复印件。</w:t>
            </w:r>
          </w:p>
          <w:p>
            <w:pPr>
              <w:pStyle w:val="51"/>
              <w:numPr>
                <w:ilvl w:val="0"/>
                <w:numId w:val="9"/>
              </w:num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招标文件中资信证明：财务审计报告（</w:t>
            </w:r>
            <w:r>
              <w:rPr>
                <w:rFonts w:ascii="Times New Roman" w:hAnsi="Times New Roman"/>
                <w:color w:val="auto"/>
                <w:sz w:val="24"/>
                <w:szCs w:val="24"/>
                <w:lang w:eastAsia="zh-CN"/>
              </w:rPr>
              <w:t>201</w:t>
            </w:r>
            <w:r>
              <w:rPr>
                <w:rFonts w:hint="eastAsia" w:ascii="Times New Roman" w:hAnsi="Times New Roman"/>
                <w:color w:val="auto"/>
                <w:sz w:val="24"/>
                <w:szCs w:val="24"/>
                <w:lang w:eastAsia="zh-CN"/>
              </w:rPr>
              <w:t>8年或</w:t>
            </w:r>
            <w:r>
              <w:rPr>
                <w:rFonts w:ascii="Times New Roman" w:hAnsi="Times New Roman"/>
                <w:color w:val="auto"/>
                <w:sz w:val="24"/>
                <w:szCs w:val="24"/>
                <w:lang w:eastAsia="zh-CN"/>
              </w:rPr>
              <w:t>201</w:t>
            </w:r>
            <w:r>
              <w:rPr>
                <w:rFonts w:hint="eastAsia" w:ascii="Times New Roman" w:hAnsi="Times New Roman"/>
                <w:color w:val="auto"/>
                <w:sz w:val="24"/>
                <w:szCs w:val="24"/>
                <w:lang w:eastAsia="zh-CN"/>
              </w:rPr>
              <w:t>9年）或银行近一年内出具的资信证明。</w:t>
            </w:r>
          </w:p>
          <w:p>
            <w:pPr>
              <w:pStyle w:val="51"/>
              <w:numPr>
                <w:ilvl w:val="0"/>
                <w:numId w:val="9"/>
              </w:num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 xml:space="preserve">采购人或采购代理机构或评标委员会保留对业绩证明文件原件审核的权利。 </w:t>
            </w:r>
          </w:p>
          <w:p>
            <w:pPr>
              <w:pStyle w:val="51"/>
              <w:numPr>
                <w:ilvl w:val="0"/>
                <w:numId w:val="9"/>
              </w:num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采购人或监督部门可</w:t>
            </w:r>
            <w:r>
              <w:rPr>
                <w:rFonts w:ascii="Times New Roman" w:hAnsi="Times New Roman"/>
                <w:color w:val="auto"/>
                <w:sz w:val="24"/>
                <w:szCs w:val="24"/>
                <w:lang w:eastAsia="zh-CN"/>
              </w:rPr>
              <w:t>对投标全过程进行核验</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分析</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若发现投标人存在</w:t>
            </w:r>
            <w:r>
              <w:rPr>
                <w:rFonts w:hint="eastAsia" w:ascii="Times New Roman" w:hAnsi="Times New Roman"/>
                <w:color w:val="auto"/>
                <w:sz w:val="24"/>
                <w:szCs w:val="24"/>
                <w:lang w:eastAsia="zh-CN"/>
              </w:rPr>
              <w:t>围标串标、弄虚作假</w:t>
            </w:r>
            <w:r>
              <w:rPr>
                <w:rFonts w:ascii="Times New Roman" w:hAnsi="Times New Roman"/>
                <w:color w:val="auto"/>
                <w:sz w:val="24"/>
                <w:szCs w:val="24"/>
                <w:lang w:eastAsia="zh-CN"/>
              </w:rPr>
              <w:t>行为</w:t>
            </w:r>
            <w:r>
              <w:rPr>
                <w:rFonts w:hint="eastAsia" w:ascii="Times New Roman" w:hAnsi="Times New Roman"/>
                <w:color w:val="auto"/>
                <w:sz w:val="24"/>
                <w:szCs w:val="24"/>
                <w:lang w:eastAsia="zh-CN"/>
              </w:rPr>
              <w:t>，将取消本次投标资格，并将不良行为通报有关部门。</w:t>
            </w:r>
          </w:p>
          <w:p>
            <w:pPr>
              <w:pStyle w:val="51"/>
              <w:numPr>
                <w:ilvl w:val="0"/>
                <w:numId w:val="9"/>
              </w:num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本招标文件中使用的词语“采购人”、“买方”、“甲方”同义。本招标文件中使用的词语“供应商”、“投标人”、“卖方”、“乙方”同义。</w:t>
            </w:r>
          </w:p>
          <w:p>
            <w:pPr>
              <w:pStyle w:val="51"/>
              <w:numPr>
                <w:ilvl w:val="0"/>
                <w:numId w:val="9"/>
              </w:numPr>
              <w:snapToGrid w:val="0"/>
              <w:spacing w:line="300" w:lineRule="auto"/>
              <w:jc w:val="both"/>
              <w:rPr>
                <w:rFonts w:ascii="Times New Roman" w:hAnsi="Times New Roman" w:cs="微软雅黑"/>
                <w:color w:val="auto"/>
                <w:sz w:val="24"/>
                <w:szCs w:val="24"/>
                <w:lang w:eastAsia="zh-CN"/>
              </w:rPr>
            </w:pPr>
            <w:r>
              <w:rPr>
                <w:rFonts w:hint="eastAsia" w:ascii="Times New Roman" w:hAnsi="Times New Roman"/>
                <w:color w:val="auto"/>
                <w:sz w:val="24"/>
                <w:szCs w:val="24"/>
                <w:lang w:eastAsia="zh-CN"/>
              </w:rPr>
              <w:t>适用法规：适用于招标文件的法律及法规包括中华人民共和国现行的法律、行政法规、部门规章，以及北京市的地方法规、政府规章和相关规范性文件。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4"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ascii="Times New Roman" w:hAnsi="Times New Roman"/>
                <w:color w:val="auto"/>
                <w:sz w:val="24"/>
                <w:szCs w:val="24"/>
              </w:rPr>
              <w:t>投标文件是否退还</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32</w:t>
            </w:r>
          </w:p>
        </w:tc>
        <w:tc>
          <w:tcPr>
            <w:tcW w:w="6202" w:type="dxa"/>
            <w:vAlign w:val="center"/>
          </w:tcPr>
          <w:p>
            <w:pPr>
              <w:pStyle w:val="11"/>
              <w:topLinePunct/>
              <w:snapToGrid w:val="0"/>
              <w:spacing w:after="0" w:line="300" w:lineRule="auto"/>
              <w:jc w:val="both"/>
              <w:rPr>
                <w:rFonts w:ascii="Times New Roman" w:hAnsi="Times New Roman"/>
                <w:color w:val="auto"/>
                <w:sz w:val="24"/>
                <w:szCs w:val="24"/>
                <w:lang w:eastAsia="zh-CN"/>
              </w:rPr>
            </w:pPr>
            <w:r>
              <w:rPr>
                <w:rFonts w:hint="eastAsia" w:ascii="MS Gothic" w:hAnsi="MS Gothic" w:eastAsia="MS Gothic" w:cs="MS Gothic"/>
                <w:color w:val="auto"/>
                <w:sz w:val="24"/>
                <w:szCs w:val="24"/>
                <w:lang w:eastAsia="zh-CN"/>
              </w:rPr>
              <w:t>■</w:t>
            </w:r>
            <w:r>
              <w:rPr>
                <w:rFonts w:hint="eastAsia" w:ascii="Times New Roman" w:hAnsi="Times New Roman"/>
                <w:color w:val="auto"/>
                <w:sz w:val="24"/>
                <w:szCs w:val="24"/>
                <w:lang w:eastAsia="zh-CN"/>
              </w:rPr>
              <w:t>否</w:t>
            </w:r>
          </w:p>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w:t>
            </w:r>
            <w:r>
              <w:rPr>
                <w:rFonts w:ascii="Times New Roman" w:hAnsi="Times New Roman"/>
                <w:color w:val="auto"/>
                <w:sz w:val="24"/>
                <w:szCs w:val="24"/>
                <w:lang w:eastAsia="zh-CN"/>
              </w:rPr>
              <w:t>是，退还时间：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rPr>
            </w:pPr>
            <w:r>
              <w:rPr>
                <w:rFonts w:hint="eastAsia" w:ascii="Times New Roman" w:hAnsi="Times New Roman"/>
                <w:color w:val="auto"/>
                <w:sz w:val="24"/>
                <w:szCs w:val="24"/>
                <w:lang w:eastAsia="zh-CN"/>
              </w:rPr>
              <w:t>服务期</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ascii="Times New Roman" w:hAnsi="Times New Roman"/>
                <w:color w:val="auto"/>
                <w:sz w:val="24"/>
                <w:szCs w:val="24"/>
                <w:lang w:eastAsia="zh-CN"/>
              </w:rPr>
              <w:t>32</w:t>
            </w:r>
          </w:p>
        </w:tc>
        <w:tc>
          <w:tcPr>
            <w:tcW w:w="6202" w:type="dxa"/>
            <w:vAlign w:val="center"/>
          </w:tcPr>
          <w:p>
            <w:pPr>
              <w:pStyle w:val="11"/>
              <w:topLinePunct/>
              <w:snapToGrid w:val="0"/>
              <w:spacing w:after="0" w:line="300" w:lineRule="auto"/>
              <w:jc w:val="both"/>
              <w:rPr>
                <w:rFonts w:cs="MS Mincho" w:asciiTheme="minorEastAsia" w:hAnsiTheme="minorEastAsia" w:eastAsiaTheme="minorEastAsia"/>
                <w:color w:val="auto"/>
                <w:sz w:val="24"/>
                <w:szCs w:val="24"/>
                <w:lang w:eastAsia="zh-CN"/>
              </w:rPr>
            </w:pPr>
            <w:r>
              <w:rPr>
                <w:rFonts w:hint="eastAsia"/>
                <w:color w:val="auto"/>
                <w:kern w:val="2"/>
                <w:sz w:val="24"/>
                <w:lang w:val="en-US" w:eastAsia="zh-CN"/>
              </w:rPr>
              <w:t>365日历天，计划履约期</w:t>
            </w:r>
            <w:r>
              <w:rPr>
                <w:rFonts w:hint="eastAsia"/>
                <w:color w:val="auto"/>
                <w:kern w:val="2"/>
                <w:sz w:val="24"/>
                <w:lang w:eastAsia="zh-CN"/>
              </w:rPr>
              <w:t>2020年7月15日至202</w:t>
            </w:r>
            <w:r>
              <w:rPr>
                <w:rFonts w:hint="eastAsia"/>
                <w:color w:val="auto"/>
                <w:kern w:val="2"/>
                <w:sz w:val="24"/>
                <w:lang w:val="en-US" w:eastAsia="zh-CN"/>
              </w:rPr>
              <w:t>1</w:t>
            </w:r>
            <w:r>
              <w:rPr>
                <w:rFonts w:hint="eastAsia"/>
                <w:color w:val="auto"/>
                <w:kern w:val="2"/>
                <w:sz w:val="24"/>
                <w:lang w:eastAsia="zh-CN"/>
              </w:rPr>
              <w:t>年7月14日（</w:t>
            </w:r>
            <w:r>
              <w:rPr>
                <w:rFonts w:hint="eastAsia"/>
                <w:color w:val="auto"/>
                <w:kern w:val="2"/>
                <w:sz w:val="24"/>
                <w:lang w:val="en-US" w:eastAsia="zh-CN"/>
              </w:rPr>
              <w:t>实际以合同签订为准</w:t>
            </w:r>
            <w:r>
              <w:rPr>
                <w:rFonts w:hint="eastAsia"/>
                <w:color w:val="auto"/>
                <w:kern w:val="2"/>
                <w:sz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3" w:hRule="atLeast"/>
        </w:trPr>
        <w:tc>
          <w:tcPr>
            <w:tcW w:w="703" w:type="dxa"/>
            <w:vAlign w:val="center"/>
          </w:tcPr>
          <w:p>
            <w:pPr>
              <w:pStyle w:val="51"/>
              <w:numPr>
                <w:ilvl w:val="0"/>
                <w:numId w:val="4"/>
              </w:numPr>
              <w:snapToGrid w:val="0"/>
              <w:spacing w:line="300" w:lineRule="auto"/>
              <w:jc w:val="both"/>
              <w:rPr>
                <w:rFonts w:ascii="Times New Roman" w:hAnsi="Times New Roman" w:cs="微软雅黑"/>
                <w:color w:val="auto"/>
                <w:sz w:val="24"/>
                <w:szCs w:val="24"/>
                <w:lang w:eastAsia="zh-CN"/>
              </w:rPr>
            </w:pPr>
          </w:p>
        </w:tc>
        <w:tc>
          <w:tcPr>
            <w:tcW w:w="1616" w:type="dxa"/>
            <w:vAlign w:val="center"/>
          </w:tcPr>
          <w:p>
            <w:pPr>
              <w:snapToGrid w:val="0"/>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项目名称</w:t>
            </w:r>
          </w:p>
        </w:tc>
        <w:tc>
          <w:tcPr>
            <w:tcW w:w="917" w:type="dxa"/>
            <w:vAlign w:val="center"/>
          </w:tcPr>
          <w:p>
            <w:pPr>
              <w:snapToGrid w:val="0"/>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32</w:t>
            </w:r>
          </w:p>
        </w:tc>
        <w:tc>
          <w:tcPr>
            <w:tcW w:w="6202" w:type="dxa"/>
            <w:vAlign w:val="center"/>
          </w:tcPr>
          <w:p>
            <w:pPr>
              <w:pStyle w:val="11"/>
              <w:topLinePunct/>
              <w:snapToGrid w:val="0"/>
              <w:spacing w:after="0" w:line="300" w:lineRule="auto"/>
              <w:jc w:val="both"/>
              <w:rPr>
                <w:rFonts w:cs="MS Mincho" w:asciiTheme="minorEastAsia" w:hAnsiTheme="minorEastAsia" w:eastAsiaTheme="minorEastAsia"/>
                <w:color w:val="auto"/>
                <w:sz w:val="24"/>
                <w:szCs w:val="24"/>
                <w:lang w:eastAsia="zh-CN"/>
              </w:rPr>
            </w:pPr>
            <w:r>
              <w:rPr>
                <w:rFonts w:cs="MS Mincho" w:asciiTheme="minorEastAsia" w:hAnsiTheme="minorEastAsia" w:eastAsiaTheme="minorEastAsia"/>
                <w:color w:val="auto"/>
                <w:sz w:val="24"/>
                <w:szCs w:val="24"/>
                <w:lang w:eastAsia="zh-CN"/>
              </w:rPr>
              <w:t>投标人对于项目名称的正确响应格式为</w:t>
            </w:r>
            <w:r>
              <w:rPr>
                <w:rFonts w:hint="eastAsia" w:cs="MS Mincho" w:asciiTheme="minorEastAsia" w:hAnsiTheme="minorEastAsia" w:eastAsiaTheme="minorEastAsia"/>
                <w:color w:val="auto"/>
                <w:sz w:val="24"/>
                <w:szCs w:val="24"/>
                <w:lang w:eastAsia="zh-CN"/>
              </w:rPr>
              <w:t>：</w:t>
            </w:r>
          </w:p>
          <w:p>
            <w:pPr>
              <w:pStyle w:val="11"/>
              <w:topLinePunct/>
              <w:snapToGrid w:val="0"/>
              <w:spacing w:after="0" w:line="300" w:lineRule="auto"/>
              <w:jc w:val="both"/>
              <w:rPr>
                <w:rFonts w:cs="MS Mincho" w:asciiTheme="minorEastAsia" w:hAnsiTheme="minorEastAsia" w:eastAsiaTheme="minorEastAsia"/>
                <w:color w:val="auto"/>
                <w:sz w:val="24"/>
                <w:szCs w:val="24"/>
                <w:lang w:eastAsia="zh-CN"/>
              </w:rPr>
            </w:pPr>
            <w:r>
              <w:rPr>
                <w:rFonts w:hint="eastAsia" w:cs="MS Mincho" w:asciiTheme="minorEastAsia" w:hAnsiTheme="minorEastAsia" w:eastAsiaTheme="minorEastAsia"/>
                <w:color w:val="auto"/>
                <w:sz w:val="24"/>
                <w:szCs w:val="24"/>
                <w:lang w:eastAsia="zh-CN"/>
              </w:rPr>
              <w:t>“2020年管庄乡平原生态林、自管绿化片林养护项目”</w:t>
            </w:r>
          </w:p>
        </w:tc>
      </w:tr>
    </w:tbl>
    <w:p>
      <w:pPr>
        <w:pStyle w:val="4"/>
        <w:keepNext w:val="0"/>
        <w:keepLines w:val="0"/>
        <w:numPr>
          <w:ilvl w:val="1"/>
          <w:numId w:val="10"/>
        </w:numPr>
        <w:ind w:left="723" w:hanging="723"/>
        <w:rPr>
          <w:rFonts w:ascii="Times New Roman" w:hAnsi="Times New Roman"/>
          <w:color w:val="auto"/>
        </w:rPr>
      </w:pPr>
      <w:bookmarkStart w:id="40" w:name="_Toc519721493"/>
      <w:bookmarkStart w:id="41" w:name="_Toc522883950"/>
      <w:r>
        <w:rPr>
          <w:rFonts w:hint="eastAsia" w:ascii="Times New Roman" w:hAnsi="Times New Roman"/>
          <w:color w:val="auto"/>
        </w:rPr>
        <w:t>说明</w:t>
      </w:r>
      <w:bookmarkEnd w:id="40"/>
      <w:bookmarkEnd w:id="41"/>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42" w:name="_Toc522883951"/>
      <w:r>
        <w:rPr>
          <w:rFonts w:hint="eastAsia" w:ascii="Times New Roman" w:cs="Arial"/>
          <w:color w:val="auto"/>
          <w:szCs w:val="24"/>
        </w:rPr>
        <w:t>采购人、采购代理机构及投标人</w:t>
      </w:r>
      <w:bookmarkEnd w:id="42"/>
    </w:p>
    <w:p>
      <w:pPr>
        <w:pStyle w:val="51"/>
        <w:numPr>
          <w:ilvl w:val="1"/>
          <w:numId w:val="12"/>
        </w:numPr>
        <w:tabs>
          <w:tab w:val="left" w:pos="937"/>
          <w:tab w:val="left" w:pos="938"/>
        </w:tabs>
        <w:snapToGrid w:val="0"/>
        <w:spacing w:line="360" w:lineRule="auto"/>
        <w:ind w:left="723"/>
        <w:jc w:val="both"/>
        <w:rPr>
          <w:rFonts w:ascii="Times New Roman" w:hAnsi="Times New Roman"/>
          <w:color w:val="auto"/>
          <w:lang w:eastAsia="zh-CN"/>
        </w:rPr>
      </w:pPr>
      <w:r>
        <w:rPr>
          <w:rFonts w:ascii="Times New Roman" w:hAnsi="Times New Roman"/>
          <w:color w:val="auto"/>
          <w:spacing w:val="-5"/>
          <w:sz w:val="24"/>
          <w:szCs w:val="24"/>
          <w:lang w:eastAsia="zh-CN"/>
        </w:rPr>
        <w:t>采购人是指依法进行政府采购的国家机关、事业单位、团体组织。</w:t>
      </w:r>
    </w:p>
    <w:p>
      <w:pPr>
        <w:pStyle w:val="51"/>
        <w:numPr>
          <w:ilvl w:val="1"/>
          <w:numId w:val="12"/>
        </w:numPr>
        <w:tabs>
          <w:tab w:val="left" w:pos="937"/>
          <w:tab w:val="left" w:pos="938"/>
        </w:tabs>
        <w:snapToGrid w:val="0"/>
        <w:spacing w:line="360" w:lineRule="auto"/>
        <w:ind w:left="723"/>
        <w:jc w:val="both"/>
        <w:rPr>
          <w:rFonts w:ascii="Times New Roman" w:hAnsi="Times New Roman"/>
          <w:color w:val="auto"/>
          <w:spacing w:val="-5"/>
          <w:sz w:val="24"/>
          <w:szCs w:val="24"/>
          <w:lang w:eastAsia="zh-CN"/>
        </w:rPr>
      </w:pPr>
      <w:r>
        <w:rPr>
          <w:rFonts w:ascii="Times New Roman" w:hAnsi="Times New Roman"/>
          <w:color w:val="auto"/>
          <w:spacing w:val="-5"/>
          <w:sz w:val="24"/>
          <w:szCs w:val="24"/>
          <w:lang w:eastAsia="zh-CN"/>
        </w:rPr>
        <w:t>采购代理机构指受采购人委托，在招标公告中所述的具体组织本次招标活动的</w:t>
      </w:r>
      <w:r>
        <w:rPr>
          <w:rFonts w:hint="eastAsia" w:ascii="Times New Roman" w:hAnsi="Times New Roman"/>
          <w:color w:val="auto"/>
          <w:spacing w:val="-5"/>
          <w:sz w:val="24"/>
          <w:szCs w:val="24"/>
          <w:lang w:eastAsia="zh-CN"/>
        </w:rPr>
        <w:t>社会</w:t>
      </w:r>
      <w:r>
        <w:rPr>
          <w:rFonts w:ascii="Times New Roman" w:hAnsi="Times New Roman"/>
          <w:color w:val="auto"/>
          <w:spacing w:val="-5"/>
          <w:sz w:val="24"/>
          <w:szCs w:val="24"/>
          <w:lang w:eastAsia="zh-CN"/>
        </w:rPr>
        <w:t>中介机构。</w:t>
      </w:r>
    </w:p>
    <w:p>
      <w:pPr>
        <w:pStyle w:val="51"/>
        <w:numPr>
          <w:ilvl w:val="1"/>
          <w:numId w:val="12"/>
        </w:numPr>
        <w:tabs>
          <w:tab w:val="left" w:pos="937"/>
          <w:tab w:val="left" w:pos="938"/>
        </w:tabs>
        <w:snapToGrid w:val="0"/>
        <w:spacing w:line="360" w:lineRule="auto"/>
        <w:ind w:left="720"/>
        <w:rPr>
          <w:rFonts w:ascii="Times New Roman" w:hAnsi="Times New Roman"/>
          <w:color w:val="auto"/>
          <w:spacing w:val="-5"/>
          <w:sz w:val="24"/>
          <w:szCs w:val="24"/>
          <w:lang w:eastAsia="zh-CN"/>
        </w:rPr>
      </w:pPr>
      <w:r>
        <w:rPr>
          <w:rFonts w:ascii="Times New Roman" w:hAnsi="Times New Roman"/>
          <w:color w:val="auto"/>
          <w:spacing w:val="-5"/>
          <w:sz w:val="24"/>
          <w:szCs w:val="24"/>
          <w:lang w:eastAsia="zh-CN"/>
        </w:rPr>
        <w:t xml:space="preserve">投标人，是指响应招标、参加投标竞争的法人、其他组织或者自然人，满足以下条件的投标人是合格的投标人，可以参加本次投标： </w:t>
      </w:r>
    </w:p>
    <w:p>
      <w:pPr>
        <w:pStyle w:val="51"/>
        <w:numPr>
          <w:ilvl w:val="2"/>
          <w:numId w:val="12"/>
        </w:numPr>
        <w:tabs>
          <w:tab w:val="left" w:pos="937"/>
          <w:tab w:val="left" w:pos="938"/>
        </w:tabs>
        <w:snapToGrid w:val="0"/>
        <w:spacing w:line="360" w:lineRule="auto"/>
        <w:ind w:left="720"/>
        <w:rPr>
          <w:rFonts w:ascii="Times New Roman" w:hAnsi="Times New Roman"/>
          <w:color w:val="auto"/>
          <w:sz w:val="24"/>
          <w:szCs w:val="24"/>
          <w:lang w:eastAsia="zh-CN"/>
        </w:rPr>
      </w:pPr>
      <w:r>
        <w:rPr>
          <w:rFonts w:ascii="Times New Roman" w:hAnsi="Times New Roman"/>
          <w:color w:val="auto"/>
          <w:spacing w:val="-6"/>
          <w:sz w:val="24"/>
          <w:szCs w:val="24"/>
          <w:lang w:eastAsia="zh-CN"/>
        </w:rPr>
        <w:t>在中华人民共和国境内注册，能够独立承担民事责任，有生产或供应能力的本国供应商，法律法规另有规定的除外。</w:t>
      </w:r>
    </w:p>
    <w:p>
      <w:pPr>
        <w:pStyle w:val="51"/>
        <w:numPr>
          <w:ilvl w:val="2"/>
          <w:numId w:val="12"/>
        </w:numPr>
        <w:tabs>
          <w:tab w:val="left" w:pos="937"/>
          <w:tab w:val="left" w:pos="938"/>
        </w:tabs>
        <w:snapToGrid w:val="0"/>
        <w:spacing w:line="360" w:lineRule="auto"/>
        <w:ind w:left="720"/>
        <w:rPr>
          <w:rFonts w:ascii="Times New Roman" w:hAnsi="Times New Roman"/>
          <w:color w:val="auto"/>
          <w:spacing w:val="-6"/>
          <w:sz w:val="24"/>
          <w:szCs w:val="24"/>
          <w:lang w:eastAsia="zh-CN"/>
        </w:rPr>
      </w:pPr>
      <w:r>
        <w:rPr>
          <w:rFonts w:ascii="Times New Roman" w:hAnsi="Times New Roman"/>
          <w:color w:val="auto"/>
          <w:spacing w:val="-6"/>
          <w:sz w:val="24"/>
          <w:szCs w:val="24"/>
          <w:lang w:eastAsia="zh-CN"/>
        </w:rPr>
        <w:t>符合</w:t>
      </w:r>
      <w:r>
        <w:rPr>
          <w:rFonts w:ascii="Times New Roman" w:hAnsi="Times New Roman"/>
          <w:color w:val="auto"/>
          <w:sz w:val="24"/>
          <w:szCs w:val="24"/>
          <w:lang w:eastAsia="zh-CN"/>
        </w:rPr>
        <w:t>第一章</w:t>
      </w:r>
      <w:r>
        <w:rPr>
          <w:rFonts w:hint="eastAsia" w:ascii="Times New Roman" w:hAnsi="Times New Roman"/>
          <w:color w:val="auto"/>
          <w:sz w:val="24"/>
          <w:szCs w:val="24"/>
          <w:lang w:eastAsia="zh-CN"/>
        </w:rPr>
        <w:t>“招标公告”</w:t>
      </w:r>
      <w:r>
        <w:rPr>
          <w:rFonts w:ascii="Times New Roman" w:hAnsi="Times New Roman"/>
          <w:color w:val="auto"/>
          <w:spacing w:val="-6"/>
          <w:sz w:val="24"/>
          <w:szCs w:val="24"/>
          <w:lang w:eastAsia="zh-CN"/>
        </w:rPr>
        <w:t>中</w:t>
      </w:r>
      <w:r>
        <w:rPr>
          <w:rFonts w:hint="eastAsia" w:ascii="Times New Roman" w:hAnsi="Times New Roman"/>
          <w:color w:val="auto"/>
          <w:spacing w:val="-6"/>
          <w:sz w:val="24"/>
          <w:szCs w:val="24"/>
          <w:lang w:eastAsia="zh-CN"/>
        </w:rPr>
        <w:t>“</w:t>
      </w:r>
      <w:r>
        <w:rPr>
          <w:rFonts w:ascii="Times New Roman" w:hAnsi="Times New Roman"/>
          <w:color w:val="auto"/>
          <w:spacing w:val="-6"/>
          <w:sz w:val="24"/>
          <w:szCs w:val="24"/>
          <w:lang w:eastAsia="zh-CN"/>
        </w:rPr>
        <w:t>投标人的资格</w:t>
      </w:r>
      <w:r>
        <w:rPr>
          <w:rFonts w:hint="eastAsia" w:ascii="Times New Roman" w:hAnsi="Times New Roman"/>
          <w:color w:val="auto"/>
          <w:spacing w:val="-6"/>
          <w:sz w:val="24"/>
          <w:szCs w:val="24"/>
          <w:lang w:eastAsia="zh-CN"/>
        </w:rPr>
        <w:t>要求”</w:t>
      </w:r>
      <w:r>
        <w:rPr>
          <w:rFonts w:ascii="Times New Roman" w:hAnsi="Times New Roman"/>
          <w:color w:val="auto"/>
          <w:spacing w:val="-6"/>
          <w:sz w:val="24"/>
          <w:szCs w:val="24"/>
          <w:lang w:eastAsia="zh-CN"/>
        </w:rPr>
        <w:t>中规定的要求</w:t>
      </w:r>
      <w:r>
        <w:rPr>
          <w:rFonts w:hint="eastAsia" w:ascii="Times New Roman" w:hAnsi="Times New Roman"/>
          <w:color w:val="auto"/>
          <w:spacing w:val="-6"/>
          <w:sz w:val="24"/>
          <w:szCs w:val="24"/>
          <w:lang w:eastAsia="zh-CN"/>
        </w:rPr>
        <w:t>。</w:t>
      </w:r>
    </w:p>
    <w:p>
      <w:pPr>
        <w:pStyle w:val="51"/>
        <w:numPr>
          <w:ilvl w:val="1"/>
          <w:numId w:val="12"/>
        </w:numPr>
        <w:tabs>
          <w:tab w:val="left" w:pos="938"/>
        </w:tabs>
        <w:snapToGrid w:val="0"/>
        <w:spacing w:line="360" w:lineRule="auto"/>
        <w:ind w:left="720"/>
        <w:rPr>
          <w:rFonts w:ascii="Times New Roman" w:hAnsi="Times New Roman"/>
          <w:color w:val="auto"/>
          <w:spacing w:val="-5"/>
          <w:sz w:val="24"/>
          <w:szCs w:val="24"/>
          <w:lang w:eastAsia="zh-CN"/>
        </w:rPr>
      </w:pPr>
      <w:r>
        <w:rPr>
          <w:rFonts w:hint="eastAsia" w:ascii="Times New Roman" w:hAnsi="Times New Roman"/>
          <w:color w:val="auto"/>
          <w:spacing w:val="-5"/>
          <w:sz w:val="24"/>
          <w:szCs w:val="24"/>
          <w:lang w:eastAsia="zh-CN"/>
        </w:rPr>
        <w:t>本次招标是否接受联合体投标，详见“投标人须知前附表”。如果接受联合体投标，联合体各方应符合下列要求外尚需满足“投标人须知前附表”中提及的对联合体的其它要求：</w:t>
      </w:r>
    </w:p>
    <w:p>
      <w:pPr>
        <w:tabs>
          <w:tab w:val="left" w:pos="420"/>
          <w:tab w:val="left" w:pos="709"/>
        </w:tabs>
        <w:snapToGrid w:val="0"/>
        <w:spacing w:line="360" w:lineRule="auto"/>
        <w:ind w:left="723"/>
        <w:rPr>
          <w:rFonts w:ascii="Times New Roman" w:hAnsi="Times New Roman" w:cs="微软雅黑"/>
          <w:color w:val="auto"/>
          <w:sz w:val="24"/>
          <w:szCs w:val="24"/>
          <w:lang w:eastAsia="zh-CN"/>
        </w:rPr>
      </w:pPr>
      <w:r>
        <w:rPr>
          <w:rFonts w:hint="eastAsia" w:ascii="Times New Roman" w:hAnsi="Times New Roman" w:cs="微软雅黑"/>
          <w:color w:val="auto"/>
          <w:sz w:val="24"/>
          <w:szCs w:val="24"/>
          <w:lang w:eastAsia="zh-CN"/>
        </w:rPr>
        <w:t>（1）以联合体形式参加投标的，联合体各方均应当符合政府采购法第二十二条第一款规定的条件，并按照“投标人须知”前附表的要求提交相关证明文件。采购人根据采购项目的特殊要求规定投标人特定条件的，联合体各方中至少应当有一方符合采购人规定的特定条件。</w:t>
      </w:r>
    </w:p>
    <w:p>
      <w:pPr>
        <w:tabs>
          <w:tab w:val="left" w:pos="420"/>
          <w:tab w:val="left" w:pos="709"/>
        </w:tabs>
        <w:snapToGrid w:val="0"/>
        <w:spacing w:line="360" w:lineRule="auto"/>
        <w:ind w:left="723"/>
        <w:rPr>
          <w:rFonts w:ascii="Times New Roman" w:hAnsi="Times New Roman" w:cs="微软雅黑"/>
          <w:color w:val="auto"/>
          <w:sz w:val="24"/>
          <w:szCs w:val="24"/>
          <w:lang w:eastAsia="zh-CN"/>
        </w:rPr>
      </w:pPr>
      <w:r>
        <w:rPr>
          <w:rFonts w:hint="eastAsia" w:ascii="Times New Roman" w:hAnsi="Times New Roman" w:cs="微软雅黑"/>
          <w:color w:val="auto"/>
          <w:sz w:val="24"/>
          <w:szCs w:val="24"/>
          <w:lang w:eastAsia="zh-CN"/>
        </w:rPr>
        <w:t>（2）联合体中有同类资质的投标人按照联合体分工承担相同工作的，按照资质等级较低的投标人确定资质等级。</w:t>
      </w:r>
    </w:p>
    <w:p>
      <w:pPr>
        <w:tabs>
          <w:tab w:val="left" w:pos="420"/>
          <w:tab w:val="left" w:pos="709"/>
        </w:tabs>
        <w:snapToGrid w:val="0"/>
        <w:spacing w:line="360" w:lineRule="auto"/>
        <w:ind w:left="723"/>
        <w:rPr>
          <w:rFonts w:ascii="Times New Roman" w:hAnsi="Times New Roman" w:cs="微软雅黑"/>
          <w:color w:val="auto"/>
          <w:sz w:val="24"/>
          <w:szCs w:val="24"/>
          <w:lang w:eastAsia="zh-CN"/>
        </w:rPr>
      </w:pPr>
      <w:r>
        <w:rPr>
          <w:rFonts w:hint="eastAsia" w:ascii="Times New Roman" w:hAnsi="Times New Roman" w:cs="微软雅黑"/>
          <w:color w:val="auto"/>
          <w:sz w:val="24"/>
          <w:szCs w:val="24"/>
          <w:lang w:eastAsia="zh-CN"/>
        </w:rPr>
        <w:t>（3）以联合体形式参加政府采购活动的，联合体各方不得再单独参加或者与其他供应商另外组成联合体参加同一项目（或分包）下的政府采购活动。若该等情形被发现，其单独的投标和与此有关的联合体的投标均将被拒绝。</w:t>
      </w:r>
    </w:p>
    <w:p>
      <w:pPr>
        <w:tabs>
          <w:tab w:val="left" w:pos="420"/>
          <w:tab w:val="left" w:pos="709"/>
        </w:tabs>
        <w:snapToGrid w:val="0"/>
        <w:spacing w:line="360" w:lineRule="auto"/>
        <w:ind w:left="723"/>
        <w:rPr>
          <w:rFonts w:ascii="Times New Roman" w:hAnsi="Times New Roman" w:cs="微软雅黑"/>
          <w:color w:val="auto"/>
          <w:sz w:val="24"/>
          <w:szCs w:val="24"/>
          <w:lang w:eastAsia="zh-CN"/>
        </w:rPr>
      </w:pPr>
      <w:r>
        <w:rPr>
          <w:rFonts w:hint="eastAsia" w:ascii="Times New Roman" w:hAnsi="Times New Roman" w:cs="微软雅黑"/>
          <w:color w:val="auto"/>
          <w:sz w:val="24"/>
          <w:szCs w:val="24"/>
          <w:lang w:eastAsia="zh-CN"/>
        </w:rPr>
        <w:t>（4）联合体必须确定其中一方为联合体牵头人作为联合体投标的全权代表参加投标活动，并承担投标及履约活动中的全部责任与义务，且联合体各方无论是否实际参加、发生的情形怎样，一旦该联合体实际开始投标，联合体各方均应当就本次采购所引起或相关的任何或所有事项、义务、责任、损失等承担连带责任。</w:t>
      </w:r>
    </w:p>
    <w:p>
      <w:pPr>
        <w:tabs>
          <w:tab w:val="left" w:pos="420"/>
          <w:tab w:val="left" w:pos="709"/>
        </w:tabs>
        <w:snapToGrid w:val="0"/>
        <w:spacing w:line="360" w:lineRule="auto"/>
        <w:ind w:left="723"/>
        <w:rPr>
          <w:rFonts w:ascii="Times New Roman" w:hAnsi="Times New Roman" w:cs="微软雅黑"/>
          <w:color w:val="auto"/>
          <w:sz w:val="24"/>
          <w:szCs w:val="24"/>
          <w:lang w:eastAsia="zh-CN"/>
        </w:rPr>
      </w:pPr>
      <w:r>
        <w:rPr>
          <w:rFonts w:hint="eastAsia" w:ascii="Times New Roman" w:hAnsi="Times New Roman" w:cs="微软雅黑"/>
          <w:color w:val="auto"/>
          <w:sz w:val="24"/>
          <w:szCs w:val="24"/>
          <w:lang w:eastAsia="zh-CN"/>
        </w:rPr>
        <w:t>（5）联合体中标后，合同应由各成员的合法授权代表签字并加盖各成员公章，以便对联合体成员作为整体和他们各自作为独立体均具有法律约束力，但若该等签字或公章不齐全或缺乏，该联合体的牵头人的签署或类似的意思表示具有代表该联合体的签署或意思表示的法律效力，并且据此各成员为履行合同应向采购代理机构与采购人承担连带责任。</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43" w:name="_Toc522883952"/>
      <w:r>
        <w:rPr>
          <w:rFonts w:hint="eastAsia" w:ascii="Times New Roman" w:cs="Arial"/>
          <w:color w:val="auto"/>
          <w:szCs w:val="24"/>
        </w:rPr>
        <w:t>资金来源</w:t>
      </w:r>
      <w:bookmarkEnd w:id="43"/>
    </w:p>
    <w:p>
      <w:pPr>
        <w:pStyle w:val="12"/>
        <w:numPr>
          <w:ilvl w:val="1"/>
          <w:numId w:val="11"/>
        </w:numPr>
        <w:tabs>
          <w:tab w:val="left" w:pos="851"/>
        </w:tabs>
        <w:snapToGrid w:val="0"/>
        <w:spacing w:line="360" w:lineRule="auto"/>
        <w:ind w:left="723" w:hanging="723"/>
        <w:rPr>
          <w:rFonts w:ascii="Times New Roman" w:hAnsi="Times New Roman"/>
          <w:color w:val="auto"/>
          <w:lang w:eastAsia="zh-CN"/>
        </w:rPr>
      </w:pPr>
      <w:r>
        <w:rPr>
          <w:rFonts w:ascii="Times New Roman" w:hAnsi="Times New Roman"/>
          <w:color w:val="auto"/>
          <w:spacing w:val="2"/>
          <w:lang w:eastAsia="zh-CN"/>
        </w:rPr>
        <w:t>采购人</w:t>
      </w:r>
      <w:r>
        <w:rPr>
          <w:rFonts w:hint="eastAsia" w:ascii="Times New Roman" w:hAnsi="Times New Roman"/>
          <w:color w:val="auto"/>
          <w:spacing w:val="2"/>
          <w:lang w:eastAsia="zh-CN"/>
        </w:rPr>
        <w:t>已</w:t>
      </w:r>
      <w:r>
        <w:rPr>
          <w:rFonts w:ascii="Times New Roman" w:hAnsi="Times New Roman"/>
          <w:color w:val="auto"/>
          <w:spacing w:val="2"/>
          <w:lang w:eastAsia="zh-CN"/>
        </w:rPr>
        <w:t>获得足以支付本次招标后所签</w:t>
      </w:r>
      <w:r>
        <w:rPr>
          <w:rFonts w:ascii="Times New Roman" w:hAnsi="Times New Roman"/>
          <w:color w:val="auto"/>
          <w:lang w:eastAsia="zh-CN"/>
        </w:rPr>
        <w:t>订的合同项下的款项。</w:t>
      </w:r>
    </w:p>
    <w:p>
      <w:pPr>
        <w:pStyle w:val="12"/>
        <w:numPr>
          <w:ilvl w:val="1"/>
          <w:numId w:val="11"/>
        </w:numPr>
        <w:tabs>
          <w:tab w:val="left" w:pos="851"/>
        </w:tabs>
        <w:snapToGrid w:val="0"/>
        <w:spacing w:line="360" w:lineRule="auto"/>
        <w:ind w:left="723" w:hanging="723"/>
        <w:rPr>
          <w:rFonts w:ascii="Times New Roman" w:hAnsi="Times New Roman"/>
          <w:color w:val="auto"/>
          <w:lang w:eastAsia="zh-CN"/>
        </w:rPr>
      </w:pPr>
      <w:r>
        <w:rPr>
          <w:rFonts w:hint="eastAsia"/>
          <w:color w:val="auto"/>
          <w:lang w:eastAsia="zh-CN"/>
        </w:rPr>
        <w:t>采购预算金额：</w:t>
      </w:r>
      <w:r>
        <w:rPr>
          <w:rFonts w:hint="eastAsia"/>
          <w:color w:val="auto"/>
          <w:spacing w:val="2"/>
          <w:lang w:eastAsia="zh-CN"/>
        </w:rPr>
        <w:t>见“投标人须知”前附表。</w:t>
      </w:r>
    </w:p>
    <w:p>
      <w:pPr>
        <w:pStyle w:val="12"/>
        <w:numPr>
          <w:ilvl w:val="1"/>
          <w:numId w:val="11"/>
        </w:numPr>
        <w:tabs>
          <w:tab w:val="left" w:pos="851"/>
        </w:tabs>
        <w:snapToGrid w:val="0"/>
        <w:spacing w:line="360" w:lineRule="auto"/>
        <w:ind w:left="723" w:hanging="723"/>
        <w:rPr>
          <w:rFonts w:ascii="Times New Roman" w:hAnsi="Times New Roman"/>
          <w:color w:val="auto"/>
          <w:lang w:eastAsia="zh-CN"/>
        </w:rPr>
      </w:pPr>
      <w:r>
        <w:rPr>
          <w:rFonts w:hint="eastAsia"/>
          <w:color w:val="auto"/>
          <w:spacing w:val="2"/>
          <w:lang w:eastAsia="zh-CN"/>
        </w:rPr>
        <w:t>投标最高限价：见“投标人须知”前附表。</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44" w:name="_Toc522883953"/>
      <w:r>
        <w:rPr>
          <w:rFonts w:hint="eastAsia" w:ascii="Times New Roman" w:cs="Arial"/>
          <w:color w:val="auto"/>
          <w:szCs w:val="24"/>
        </w:rPr>
        <w:t>投标费用</w:t>
      </w:r>
      <w:bookmarkEnd w:id="44"/>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投标人应承担所有与准备和参加投标有关的所有费用。不论投标的结果如何，采购人和采购代理机构均无义务和责任承担这些费用。</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45" w:name="_Toc522883954"/>
      <w:r>
        <w:rPr>
          <w:rFonts w:hint="eastAsia" w:ascii="Times New Roman" w:cs="Arial"/>
          <w:color w:val="auto"/>
          <w:szCs w:val="24"/>
        </w:rPr>
        <w:t>时间及通知</w:t>
      </w:r>
      <w:bookmarkEnd w:id="45"/>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color w:val="auto"/>
          <w:lang w:eastAsia="zh-CN"/>
        </w:rPr>
        <w:t>本招标文件所涉及的时间均为北京时间，各部分规定的期间以时、日、月、年计算。</w:t>
      </w:r>
      <w:r>
        <w:rPr>
          <w:rFonts w:hint="eastAsia" w:ascii="Times New Roman" w:hAnsi="Times New Roman"/>
          <w:color w:val="auto"/>
          <w:lang w:eastAsia="zh-CN"/>
        </w:rPr>
        <w:t>期间开始的日，不计算在期间内，而从次日开始计算。期间届满的最后一日是节假日的，以节假日后的第一日为期间届满的日期。</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对与本项目有关的通知，采购人或采购代理机构将以书面形式（包括纸质材料、电子邮件、信函、传真等方式，下同）或在本次招标公告刊登的媒体上发布公告的一种或多种形式，向潜在投标人发出，联系方式等以潜在投标人登记的为准。如潜在投标人信息登记有误、传真线路故障、电话无法接通等原因，或其他任何意外情形，导致所发出的通知延迟送达或无法到达潜在投标人，采购人或采购代理机构不因此承担任何责任，有关的招标活动可以继续有效地进行。</w:t>
      </w:r>
    </w:p>
    <w:p>
      <w:pPr>
        <w:pStyle w:val="4"/>
        <w:keepNext w:val="0"/>
        <w:keepLines w:val="0"/>
        <w:numPr>
          <w:ilvl w:val="1"/>
          <w:numId w:val="10"/>
        </w:numPr>
        <w:ind w:left="723" w:hanging="723"/>
        <w:rPr>
          <w:rFonts w:ascii="Times New Roman" w:hAnsi="Times New Roman"/>
          <w:color w:val="auto"/>
        </w:rPr>
      </w:pPr>
      <w:bookmarkStart w:id="46" w:name="_Toc519721494"/>
      <w:bookmarkStart w:id="47" w:name="_Toc522883955"/>
      <w:r>
        <w:rPr>
          <w:rFonts w:hint="eastAsia" w:ascii="Times New Roman" w:hAnsi="Times New Roman"/>
          <w:color w:val="auto"/>
        </w:rPr>
        <w:t>招标文件</w:t>
      </w:r>
      <w:bookmarkEnd w:id="46"/>
      <w:bookmarkEnd w:id="47"/>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48" w:name="_Toc522883956"/>
      <w:r>
        <w:rPr>
          <w:rFonts w:hint="eastAsia" w:ascii="Times New Roman" w:cs="Arial"/>
          <w:color w:val="auto"/>
          <w:szCs w:val="24"/>
        </w:rPr>
        <w:t>招标文件构成</w:t>
      </w:r>
      <w:bookmarkEnd w:id="48"/>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要求提供的</w:t>
      </w:r>
      <w:r>
        <w:rPr>
          <w:rFonts w:hint="eastAsia" w:ascii="Times New Roman" w:hAnsi="Times New Roman"/>
          <w:color w:val="auto"/>
          <w:lang w:eastAsia="zh-CN"/>
        </w:rPr>
        <w:t>服务</w:t>
      </w:r>
      <w:r>
        <w:rPr>
          <w:rFonts w:ascii="Times New Roman" w:hAnsi="Times New Roman"/>
          <w:color w:val="auto"/>
          <w:lang w:eastAsia="zh-CN"/>
        </w:rPr>
        <w:t>及详细技术需求、投标须知和合同条件等在招标文件中均有说明。招标文件共</w:t>
      </w:r>
      <w:r>
        <w:rPr>
          <w:rFonts w:hint="eastAsia" w:ascii="Times New Roman" w:hAnsi="Times New Roman"/>
          <w:color w:val="auto"/>
          <w:lang w:eastAsia="zh-CN"/>
        </w:rPr>
        <w:t>六</w:t>
      </w:r>
      <w:r>
        <w:rPr>
          <w:rFonts w:ascii="Times New Roman" w:hAnsi="Times New Roman"/>
          <w:color w:val="auto"/>
          <w:lang w:eastAsia="zh-CN"/>
        </w:rPr>
        <w:t>章，内容如下：</w:t>
      </w:r>
    </w:p>
    <w:p>
      <w:pPr>
        <w:pStyle w:val="12"/>
        <w:snapToGrid w:val="0"/>
        <w:spacing w:line="360" w:lineRule="auto"/>
        <w:ind w:left="723"/>
        <w:rPr>
          <w:rFonts w:ascii="Times New Roman" w:hAnsi="Times New Roman"/>
          <w:color w:val="auto"/>
          <w:lang w:eastAsia="zh-CN"/>
        </w:rPr>
      </w:pPr>
      <w:r>
        <w:rPr>
          <w:rFonts w:ascii="Times New Roman" w:hAnsi="Times New Roman"/>
          <w:color w:val="auto"/>
          <w:lang w:eastAsia="zh-CN"/>
        </w:rPr>
        <w:t>第一章</w:t>
      </w:r>
      <w:r>
        <w:rPr>
          <w:rFonts w:hint="eastAsia" w:ascii="Times New Roman" w:hAnsi="Times New Roman"/>
          <w:color w:val="auto"/>
          <w:lang w:eastAsia="zh-CN"/>
        </w:rPr>
        <w:t xml:space="preserve">  招标公告</w:t>
      </w:r>
    </w:p>
    <w:p>
      <w:pPr>
        <w:pStyle w:val="12"/>
        <w:snapToGrid w:val="0"/>
        <w:spacing w:line="360" w:lineRule="auto"/>
        <w:ind w:left="723"/>
        <w:rPr>
          <w:rFonts w:ascii="Times New Roman" w:hAnsi="Times New Roman"/>
          <w:color w:val="auto"/>
          <w:lang w:eastAsia="zh-CN"/>
        </w:rPr>
      </w:pPr>
      <w:r>
        <w:rPr>
          <w:rFonts w:ascii="Times New Roman" w:hAnsi="Times New Roman"/>
          <w:color w:val="auto"/>
          <w:lang w:eastAsia="zh-CN"/>
        </w:rPr>
        <w:t>第二章</w:t>
      </w:r>
      <w:r>
        <w:rPr>
          <w:rFonts w:hint="eastAsia" w:ascii="Times New Roman" w:hAnsi="Times New Roman"/>
          <w:color w:val="auto"/>
          <w:lang w:eastAsia="zh-CN"/>
        </w:rPr>
        <w:t xml:space="preserve">  </w:t>
      </w:r>
      <w:r>
        <w:rPr>
          <w:rFonts w:ascii="Times New Roman" w:hAnsi="Times New Roman"/>
          <w:color w:val="auto"/>
          <w:lang w:eastAsia="zh-CN"/>
        </w:rPr>
        <w:t>投标人须知</w:t>
      </w:r>
    </w:p>
    <w:p>
      <w:pPr>
        <w:pStyle w:val="12"/>
        <w:snapToGrid w:val="0"/>
        <w:spacing w:line="360" w:lineRule="auto"/>
        <w:ind w:left="723"/>
        <w:rPr>
          <w:rFonts w:ascii="Times New Roman" w:hAnsi="Times New Roman"/>
          <w:color w:val="auto"/>
          <w:lang w:eastAsia="zh-CN"/>
        </w:rPr>
      </w:pPr>
      <w:r>
        <w:rPr>
          <w:rFonts w:ascii="Times New Roman" w:hAnsi="Times New Roman"/>
          <w:color w:val="auto"/>
          <w:lang w:eastAsia="zh-CN"/>
        </w:rPr>
        <w:t>第</w:t>
      </w:r>
      <w:r>
        <w:rPr>
          <w:rFonts w:hint="eastAsia" w:ascii="Times New Roman" w:hAnsi="Times New Roman"/>
          <w:color w:val="auto"/>
          <w:lang w:eastAsia="zh-CN"/>
        </w:rPr>
        <w:t>三</w:t>
      </w:r>
      <w:r>
        <w:rPr>
          <w:rFonts w:ascii="Times New Roman" w:hAnsi="Times New Roman"/>
          <w:color w:val="auto"/>
          <w:lang w:eastAsia="zh-CN"/>
        </w:rPr>
        <w:t>章</w:t>
      </w:r>
      <w:r>
        <w:rPr>
          <w:rFonts w:hint="eastAsia" w:ascii="Times New Roman" w:hAnsi="Times New Roman"/>
          <w:color w:val="auto"/>
          <w:lang w:eastAsia="zh-CN"/>
        </w:rPr>
        <w:t xml:space="preserve"> </w:t>
      </w:r>
      <w:r>
        <w:rPr>
          <w:rFonts w:ascii="Times New Roman" w:hAnsi="Times New Roman"/>
          <w:color w:val="auto"/>
          <w:lang w:eastAsia="zh-CN"/>
        </w:rPr>
        <w:t xml:space="preserve"> 采购需求</w:t>
      </w:r>
    </w:p>
    <w:p>
      <w:pPr>
        <w:pStyle w:val="12"/>
        <w:snapToGrid w:val="0"/>
        <w:spacing w:line="360" w:lineRule="auto"/>
        <w:ind w:left="723"/>
        <w:rPr>
          <w:rFonts w:ascii="Times New Roman" w:hAnsi="Times New Roman"/>
          <w:color w:val="auto"/>
          <w:lang w:eastAsia="zh-CN"/>
        </w:rPr>
      </w:pPr>
      <w:r>
        <w:rPr>
          <w:rFonts w:ascii="Times New Roman" w:hAnsi="Times New Roman"/>
          <w:color w:val="auto"/>
          <w:lang w:eastAsia="zh-CN"/>
        </w:rPr>
        <w:t>第</w:t>
      </w:r>
      <w:r>
        <w:rPr>
          <w:rFonts w:hint="eastAsia" w:ascii="Times New Roman" w:hAnsi="Times New Roman"/>
          <w:color w:val="auto"/>
          <w:lang w:eastAsia="zh-CN"/>
        </w:rPr>
        <w:t>四</w:t>
      </w:r>
      <w:r>
        <w:rPr>
          <w:rFonts w:ascii="Times New Roman" w:hAnsi="Times New Roman"/>
          <w:color w:val="auto"/>
          <w:lang w:eastAsia="zh-CN"/>
        </w:rPr>
        <w:t xml:space="preserve">章 </w:t>
      </w:r>
      <w:r>
        <w:rPr>
          <w:rFonts w:hint="eastAsia" w:ascii="Times New Roman" w:hAnsi="Times New Roman"/>
          <w:color w:val="auto"/>
          <w:lang w:eastAsia="zh-CN"/>
        </w:rPr>
        <w:t xml:space="preserve"> </w:t>
      </w:r>
      <w:r>
        <w:rPr>
          <w:rFonts w:ascii="Times New Roman" w:hAnsi="Times New Roman"/>
          <w:color w:val="auto"/>
          <w:lang w:eastAsia="zh-CN"/>
        </w:rPr>
        <w:t>资格审查及评标标准和方法</w:t>
      </w:r>
    </w:p>
    <w:p>
      <w:pPr>
        <w:pStyle w:val="12"/>
        <w:snapToGrid w:val="0"/>
        <w:spacing w:line="360" w:lineRule="auto"/>
        <w:ind w:left="723"/>
        <w:rPr>
          <w:rFonts w:ascii="Times New Roman" w:hAnsi="Times New Roman"/>
          <w:color w:val="auto"/>
          <w:lang w:eastAsia="zh-CN"/>
        </w:rPr>
      </w:pPr>
      <w:r>
        <w:rPr>
          <w:rFonts w:ascii="Times New Roman" w:hAnsi="Times New Roman"/>
          <w:color w:val="auto"/>
          <w:lang w:eastAsia="zh-CN"/>
        </w:rPr>
        <w:t>第</w:t>
      </w:r>
      <w:r>
        <w:rPr>
          <w:rFonts w:hint="eastAsia" w:ascii="Times New Roman" w:hAnsi="Times New Roman"/>
          <w:color w:val="auto"/>
          <w:lang w:eastAsia="zh-CN"/>
        </w:rPr>
        <w:t>五</w:t>
      </w:r>
      <w:r>
        <w:rPr>
          <w:rFonts w:ascii="Times New Roman" w:hAnsi="Times New Roman"/>
          <w:color w:val="auto"/>
          <w:lang w:eastAsia="zh-CN"/>
        </w:rPr>
        <w:t>章</w:t>
      </w:r>
      <w:r>
        <w:rPr>
          <w:rFonts w:hint="eastAsia" w:ascii="Times New Roman" w:hAnsi="Times New Roman"/>
          <w:color w:val="auto"/>
          <w:lang w:eastAsia="zh-CN"/>
        </w:rPr>
        <w:t xml:space="preserve"> </w:t>
      </w:r>
      <w:r>
        <w:rPr>
          <w:rFonts w:ascii="Times New Roman" w:hAnsi="Times New Roman"/>
          <w:color w:val="auto"/>
          <w:lang w:eastAsia="zh-CN"/>
        </w:rPr>
        <w:t xml:space="preserve"> 合同</w:t>
      </w:r>
    </w:p>
    <w:p>
      <w:pPr>
        <w:pStyle w:val="12"/>
        <w:snapToGrid w:val="0"/>
        <w:spacing w:line="360" w:lineRule="auto"/>
        <w:ind w:left="723"/>
        <w:rPr>
          <w:rFonts w:ascii="Times New Roman" w:hAnsi="Times New Roman"/>
          <w:color w:val="auto"/>
          <w:lang w:eastAsia="zh-CN"/>
        </w:rPr>
      </w:pPr>
      <w:r>
        <w:rPr>
          <w:rFonts w:ascii="Times New Roman" w:hAnsi="Times New Roman"/>
          <w:color w:val="auto"/>
          <w:lang w:eastAsia="zh-CN"/>
        </w:rPr>
        <w:t>第六章</w:t>
      </w:r>
      <w:r>
        <w:rPr>
          <w:rFonts w:hint="eastAsia" w:ascii="Times New Roman" w:hAnsi="Times New Roman"/>
          <w:color w:val="auto"/>
          <w:lang w:eastAsia="zh-CN"/>
        </w:rPr>
        <w:t xml:space="preserve">  </w:t>
      </w:r>
      <w:r>
        <w:rPr>
          <w:rFonts w:ascii="Times New Roman" w:hAnsi="Times New Roman"/>
          <w:color w:val="auto"/>
          <w:lang w:eastAsia="zh-CN"/>
        </w:rPr>
        <w:t>投标文件格式</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潜在投标人应认真阅读招标文件中所有的事项、格式、条款和采购需求等，</w:t>
      </w:r>
      <w:r>
        <w:rPr>
          <w:rFonts w:ascii="Times New Roman" w:hAnsi="Times New Roman"/>
          <w:color w:val="auto"/>
          <w:lang w:eastAsia="zh-CN"/>
        </w:rPr>
        <w:t xml:space="preserve"> </w:t>
      </w:r>
      <w:r>
        <w:rPr>
          <w:rFonts w:hint="eastAsia" w:ascii="Times New Roman" w:hAnsi="Times New Roman"/>
          <w:color w:val="auto"/>
          <w:lang w:eastAsia="zh-CN"/>
        </w:rPr>
        <w:t>潜在投标人应当按照招标文件的要求编制投标文件，投标文件应当对招标文件提出的要求和条件作出明确响应。如投标人没有按照招标文件要求提交全部资料，或者投标文件没有对招标文件在各方面都作出实质性响应是投标人的风险，并可能导致其投标被否决。</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r>
        <w:rPr>
          <w:rFonts w:hint="eastAsia" w:ascii="Times New Roman" w:cs="Arial"/>
          <w:color w:val="auto"/>
          <w:szCs w:val="24"/>
        </w:rPr>
        <w:t>现场考察</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“投标人须知”前附表规定组织现场考察的，采购人按“投标人须知”前附表规定的时间、地点组织潜在投标人踏勘项目现场。</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潜在投标人现场考察发生的费用自理。</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除采购人的原因外，潜在投标人自行承担在现场考察中所发生的人员伤亡和财产损失。</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采购人在现场考察中介绍的项目场地和相关的周边环境情况，供潜在投标人在编制投标文件时参考，采购人不对潜在投标人据此作出的判断和决策负责。</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49" w:name="_Toc522883958"/>
      <w:r>
        <w:rPr>
          <w:rFonts w:hint="eastAsia" w:ascii="Times New Roman" w:cs="Arial"/>
          <w:color w:val="auto"/>
          <w:szCs w:val="24"/>
        </w:rPr>
        <w:t>招标文件的澄清或者修改</w:t>
      </w:r>
      <w:bookmarkEnd w:id="49"/>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任何要求对招标文件进行澄清的潜在投标人，应按“投标人须知”须知前附表规定的时间和形式通知采购代理机构。</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采购人或者采购代理机构对需要进行答复的内容，将发布在本招标项目招标公告刊登的媒体上，并以书面形式通知所有购买招标文件的潜在投标人（不包括问题的来源）。</w:t>
      </w:r>
      <w:r>
        <w:rPr>
          <w:rFonts w:hint="eastAsia"/>
          <w:color w:val="auto"/>
          <w:lang w:eastAsia="zh-CN"/>
        </w:rPr>
        <w:t>潜在投标人收到澄清文件后应在“投标人须知”前附表规定的时间内回函确认。</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为使潜在投标人编制投标文件时有充足时间对招标文件进行研究，采购人可依法酌情延长投标截止日期，在招标文件要求提交投标文件的截止时间三日前，将变更时间书面通知所有招标文件收受人，并在本招标项目招标公告刊登的媒体上发布更正公告。</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采购人或者采购代理机构一旦对招标文件作出了澄清、修改和</w:t>
      </w:r>
      <w:r>
        <w:rPr>
          <w:rFonts w:ascii="Times New Roman" w:hAnsi="Times New Roman"/>
          <w:color w:val="auto"/>
          <w:lang w:eastAsia="zh-CN"/>
        </w:rPr>
        <w:t>/</w:t>
      </w:r>
      <w:r>
        <w:rPr>
          <w:rFonts w:hint="eastAsia" w:ascii="Times New Roman" w:hAnsi="Times New Roman"/>
          <w:color w:val="auto"/>
          <w:lang w:eastAsia="zh-CN"/>
        </w:rPr>
        <w:t>或进行其他答复，即刻发生效力，有关的补充通知、澄清文件作为招标文件的组成部分，对所有潜在投标人均具有约束力。</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采购人或者采购代理机构可以对已发出的招标文件进行必要的澄清或者修改。澄清或者修改的内容可能影响投标文件编制的，采购人或者采购代理机构在投标截止时间至少15日前，以书面形式通知所有获取招标文件的潜在投标人</w:t>
      </w:r>
      <w:r>
        <w:rPr>
          <w:rFonts w:hint="eastAsia" w:ascii="Times New Roman" w:hAnsi="Times New Roman"/>
          <w:color w:val="auto"/>
          <w:lang w:eastAsia="zh-CN"/>
        </w:rPr>
        <w:t>；</w:t>
      </w:r>
      <w:r>
        <w:rPr>
          <w:rFonts w:ascii="Times New Roman" w:hAnsi="Times New Roman"/>
          <w:color w:val="auto"/>
          <w:lang w:eastAsia="zh-CN"/>
        </w:rPr>
        <w:t>不足15日的，采购人或者采购代理机构将顺延提交投标文件的截止时间。</w:t>
      </w:r>
      <w:r>
        <w:rPr>
          <w:rFonts w:hint="eastAsia" w:ascii="Times New Roman" w:hAnsi="Times New Roman"/>
          <w:color w:val="auto"/>
          <w:lang w:eastAsia="zh-CN"/>
        </w:rPr>
        <w:t>潜在投标人收到通知后应在“投标人须知”须知前附表规定的时间内回函确认。</w:t>
      </w:r>
    </w:p>
    <w:p>
      <w:pPr>
        <w:pStyle w:val="4"/>
        <w:keepNext w:val="0"/>
        <w:keepLines w:val="0"/>
        <w:numPr>
          <w:ilvl w:val="1"/>
          <w:numId w:val="10"/>
        </w:numPr>
        <w:ind w:left="723" w:hanging="723"/>
        <w:rPr>
          <w:rFonts w:ascii="Times New Roman" w:hAnsi="Times New Roman"/>
          <w:color w:val="auto"/>
        </w:rPr>
      </w:pPr>
      <w:bookmarkStart w:id="50" w:name="_Toc522883959"/>
      <w:bookmarkStart w:id="51" w:name="_Toc519721495"/>
      <w:r>
        <w:rPr>
          <w:rFonts w:hint="eastAsia" w:ascii="Times New Roman" w:hAnsi="Times New Roman"/>
          <w:color w:val="auto"/>
        </w:rPr>
        <w:t>投标文件的编制</w:t>
      </w:r>
      <w:bookmarkEnd w:id="50"/>
      <w:bookmarkEnd w:id="51"/>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52" w:name="_Toc522883960"/>
      <w:r>
        <w:rPr>
          <w:rFonts w:hint="eastAsia" w:ascii="Times New Roman" w:cs="Arial"/>
          <w:color w:val="auto"/>
          <w:szCs w:val="24"/>
        </w:rPr>
        <w:t>投标范围及投标文件中语言和计量单位的使用</w:t>
      </w:r>
      <w:bookmarkEnd w:id="52"/>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招标文件中规定分标段（包）的，潜在投标人可就其中的一个或几个标段（包）进行投标，但不得将一个标段（包）中的内容拆开投标。</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投标人提交的投标文件以及投标人与采购人或者采购代理机构有关投标的所有来往文件、函电均应以简体中文书写。</w:t>
      </w:r>
      <w:r>
        <w:rPr>
          <w:rFonts w:hint="eastAsia" w:ascii="Times New Roman" w:hAnsi="Times New Roman"/>
          <w:color w:val="auto"/>
          <w:lang w:eastAsia="zh-CN"/>
        </w:rPr>
        <w:t>原版为外文的文件、外国人作出的本人签名、外国公司的名称或外国印章等可以是外文，但应当提供简体中文翻译文件并加盖投标人公章</w:t>
      </w:r>
      <w:r>
        <w:rPr>
          <w:rFonts w:ascii="Times New Roman" w:hAnsi="Times New Roman"/>
          <w:color w:val="auto"/>
          <w:lang w:eastAsia="zh-CN"/>
        </w:rPr>
        <w:t>，在有差异时以简体中文为准</w:t>
      </w:r>
      <w:r>
        <w:rPr>
          <w:rFonts w:hint="eastAsia" w:ascii="Times New Roman" w:hAnsi="Times New Roman"/>
          <w:color w:val="auto"/>
          <w:lang w:eastAsia="zh-CN"/>
        </w:rPr>
        <w:t>。必要时评标委员会可以要求投标人提供附有公证书的中文翻译文件或者与原版文件盖章相一致的中文翻译文件。</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投标文件中所使用的计量单位，除招标文件中有特殊要求外，应采用中华人民共和国法定计量单位。</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53" w:name="_Toc522883961"/>
      <w:r>
        <w:rPr>
          <w:rFonts w:hint="eastAsia" w:ascii="Times New Roman" w:cs="Arial"/>
          <w:color w:val="auto"/>
          <w:szCs w:val="24"/>
        </w:rPr>
        <w:t>投标文件构成</w:t>
      </w:r>
      <w:bookmarkEnd w:id="53"/>
    </w:p>
    <w:p>
      <w:pPr>
        <w:pStyle w:val="12"/>
        <w:numPr>
          <w:ilvl w:val="1"/>
          <w:numId w:val="11"/>
        </w:numPr>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潜在投标人应按招标文件提供的投标文件格式编制投标文件，投标文件分为资格审查部分册、商务技术</w:t>
      </w:r>
      <w:r>
        <w:rPr>
          <w:rFonts w:hint="eastAsia" w:ascii="Times New Roman" w:hAnsi="Times New Roman"/>
          <w:color w:val="auto"/>
          <w:lang w:eastAsia="zh-CN"/>
        </w:rPr>
        <w:t>部分册</w:t>
      </w:r>
      <w:r>
        <w:rPr>
          <w:rFonts w:ascii="Times New Roman" w:hAnsi="Times New Roman"/>
          <w:color w:val="auto"/>
          <w:lang w:eastAsia="zh-CN"/>
        </w:rPr>
        <w:t>。</w:t>
      </w:r>
      <w:r>
        <w:rPr>
          <w:rFonts w:hint="eastAsia" w:ascii="Times New Roman" w:hAnsi="Times New Roman"/>
          <w:color w:val="auto"/>
          <w:lang w:eastAsia="zh-CN"/>
        </w:rPr>
        <w:t>本次招标，潜在投标人应按“投标人须知”前附表规定提交资格审查材料、商务技术文件和需要潜在投标人自行编制的其他文件。</w:t>
      </w:r>
    </w:p>
    <w:p>
      <w:pPr>
        <w:pStyle w:val="12"/>
        <w:numPr>
          <w:ilvl w:val="1"/>
          <w:numId w:val="11"/>
        </w:numPr>
        <w:snapToGrid w:val="0"/>
        <w:spacing w:line="360" w:lineRule="auto"/>
        <w:ind w:left="723" w:hanging="723"/>
        <w:rPr>
          <w:rFonts w:ascii="Times New Roman" w:hAnsi="Times New Roman"/>
          <w:color w:val="auto"/>
          <w:lang w:eastAsia="zh-CN"/>
        </w:rPr>
      </w:pPr>
      <w:r>
        <w:rPr>
          <w:rFonts w:hint="eastAsia"/>
          <w:color w:val="auto"/>
          <w:lang w:eastAsia="zh-CN"/>
        </w:rPr>
        <w:t>投标人在投标截止时间前，可以对所递交的投标文件进行补充、修改或者撤回，并书面通知采购人或者采购代理机构。补充、修改的内容应当按照招标文件要求签署、盖章、密封后，作为投标文件的组成部分。</w:t>
      </w:r>
    </w:p>
    <w:p>
      <w:pPr>
        <w:pStyle w:val="12"/>
        <w:numPr>
          <w:ilvl w:val="1"/>
          <w:numId w:val="11"/>
        </w:numPr>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潜在投标人根据招标文件的规定和采购项目的实际情况，拟在中标后将中标项目的非主体、非关键性工作分包的，应当在投标文件中载明分包承担主体，分包承担主体应当具备相应资质条件且不得再次分包。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12"/>
        <w:numPr>
          <w:ilvl w:val="1"/>
          <w:numId w:val="11"/>
        </w:numPr>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除第六章</w:t>
      </w:r>
      <w:r>
        <w:rPr>
          <w:rFonts w:hint="eastAsia" w:ascii="Times New Roman" w:hAnsi="Times New Roman"/>
          <w:color w:val="auto"/>
          <w:lang w:eastAsia="zh-CN"/>
        </w:rPr>
        <w:t>“</w:t>
      </w:r>
      <w:r>
        <w:rPr>
          <w:rFonts w:ascii="Times New Roman" w:hAnsi="Times New Roman"/>
          <w:color w:val="auto"/>
          <w:lang w:eastAsia="zh-CN"/>
        </w:rPr>
        <w:t>投标文件格式</w:t>
      </w:r>
      <w:r>
        <w:rPr>
          <w:rFonts w:hint="eastAsia" w:ascii="Times New Roman" w:hAnsi="Times New Roman"/>
          <w:color w:val="auto"/>
          <w:lang w:eastAsia="zh-CN"/>
        </w:rPr>
        <w:t>”</w:t>
      </w:r>
      <w:r>
        <w:rPr>
          <w:rFonts w:ascii="Times New Roman" w:hAnsi="Times New Roman"/>
          <w:color w:val="auto"/>
          <w:lang w:eastAsia="zh-CN"/>
        </w:rPr>
        <w:t>外，投标文件商务技术</w:t>
      </w:r>
      <w:r>
        <w:rPr>
          <w:rFonts w:hint="eastAsia" w:ascii="Times New Roman" w:hAnsi="Times New Roman"/>
          <w:color w:val="auto"/>
          <w:lang w:eastAsia="zh-CN"/>
        </w:rPr>
        <w:t>部分</w:t>
      </w:r>
      <w:r>
        <w:rPr>
          <w:rFonts w:ascii="Times New Roman" w:hAnsi="Times New Roman"/>
          <w:color w:val="auto"/>
          <w:lang w:eastAsia="zh-CN"/>
        </w:rPr>
        <w:t>还应包括本须知第</w:t>
      </w:r>
      <w:r>
        <w:rPr>
          <w:rFonts w:hint="eastAsia" w:ascii="Times New Roman" w:hAnsi="Times New Roman"/>
          <w:color w:val="auto"/>
          <w:lang w:eastAsia="zh-CN"/>
        </w:rPr>
        <w:t>10</w:t>
      </w:r>
      <w:r>
        <w:rPr>
          <w:rFonts w:ascii="Times New Roman" w:hAnsi="Times New Roman"/>
          <w:color w:val="auto"/>
          <w:lang w:eastAsia="zh-CN"/>
        </w:rPr>
        <w:t>条的所有文件。</w:t>
      </w:r>
    </w:p>
    <w:p>
      <w:pPr>
        <w:pStyle w:val="12"/>
        <w:numPr>
          <w:ilvl w:val="1"/>
          <w:numId w:val="11"/>
        </w:numPr>
        <w:snapToGrid w:val="0"/>
        <w:spacing w:line="360" w:lineRule="auto"/>
        <w:ind w:left="723" w:hanging="723"/>
        <w:rPr>
          <w:rFonts w:ascii="Times New Roman" w:hAnsi="Times New Roman"/>
          <w:color w:val="auto"/>
          <w:lang w:eastAsia="zh-CN"/>
        </w:rPr>
      </w:pPr>
      <w:r>
        <w:rPr>
          <w:rFonts w:hint="eastAsia"/>
          <w:color w:val="auto"/>
          <w:lang w:eastAsia="zh-CN"/>
        </w:rPr>
        <w:t>投标文件需使用A4规格纸张，如使用较大规格幅面表达时需折叠成（A4）大小，并按照招标文件第六章</w:t>
      </w:r>
      <w:r>
        <w:rPr>
          <w:rFonts w:hint="eastAsia" w:ascii="Times New Roman" w:hAnsi="Times New Roman"/>
          <w:color w:val="auto"/>
          <w:lang w:eastAsia="zh-CN"/>
        </w:rPr>
        <w:t>对投标文件格式部分规定的顺序编制目录。由于编排混乱导致投标文件被误读或查找不到，责任由投标人承担。</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54" w:name="_Toc522883962"/>
      <w:r>
        <w:rPr>
          <w:rFonts w:hint="eastAsia" w:ascii="Times New Roman" w:cs="Arial"/>
          <w:color w:val="auto"/>
          <w:szCs w:val="24"/>
        </w:rPr>
        <w:t>证明服务符合招标文件规定的文件</w:t>
      </w:r>
      <w:bookmarkEnd w:id="54"/>
    </w:p>
    <w:p>
      <w:pPr>
        <w:pStyle w:val="12"/>
        <w:numPr>
          <w:ilvl w:val="1"/>
          <w:numId w:val="11"/>
        </w:numPr>
        <w:tabs>
          <w:tab w:val="left" w:pos="851"/>
        </w:tabs>
        <w:snapToGrid w:val="0"/>
        <w:spacing w:line="360" w:lineRule="auto"/>
        <w:ind w:left="723" w:hanging="723"/>
        <w:rPr>
          <w:rFonts w:ascii="Times New Roman" w:hAnsi="Times New Roman"/>
          <w:color w:val="auto"/>
          <w:lang w:eastAsia="zh-CN"/>
        </w:rPr>
      </w:pPr>
      <w:bookmarkStart w:id="55" w:name="_Toc522883963"/>
      <w:r>
        <w:rPr>
          <w:rFonts w:hint="eastAsia" w:ascii="Times New Roman" w:hAnsi="Times New Roman"/>
          <w:color w:val="auto"/>
          <w:lang w:eastAsia="zh-CN"/>
        </w:rPr>
        <w:t>潜在投标人应</w:t>
      </w:r>
      <w:r>
        <w:rPr>
          <w:rFonts w:hint="eastAsia" w:ascii="Times New Roman" w:hAnsi="Times New Roman"/>
          <w:color w:val="auto"/>
          <w:spacing w:val="-3"/>
          <w:lang w:eastAsia="zh-CN"/>
        </w:rPr>
        <w:t>对照招标文件采购需求，逐条说明所提供服务已对招标文件的采购需求做出了实质性的响应，或申明与采购需求条文的偏差和例外。</w:t>
      </w:r>
    </w:p>
    <w:p>
      <w:pPr>
        <w:pStyle w:val="12"/>
        <w:numPr>
          <w:ilvl w:val="1"/>
          <w:numId w:val="11"/>
        </w:numPr>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潜在投标人的投标文件应包含以下内容：</w:t>
      </w:r>
    </w:p>
    <w:p>
      <w:pPr>
        <w:pStyle w:val="12"/>
        <w:snapToGrid w:val="0"/>
        <w:spacing w:line="360" w:lineRule="auto"/>
        <w:ind w:left="720"/>
        <w:rPr>
          <w:rFonts w:ascii="Times New Roman" w:hAnsi="Times New Roman"/>
          <w:color w:val="auto"/>
          <w:lang w:eastAsia="zh-CN"/>
        </w:rPr>
      </w:pPr>
      <w:r>
        <w:rPr>
          <w:rFonts w:ascii="Times New Roman" w:hAnsi="Times New Roman"/>
          <w:color w:val="auto"/>
          <w:lang w:eastAsia="zh-CN"/>
        </w:rPr>
        <w:t>10.2.1</w:t>
      </w:r>
      <w:r>
        <w:rPr>
          <w:rFonts w:hint="eastAsia" w:ascii="Times New Roman" w:hAnsi="Times New Roman"/>
          <w:color w:val="auto"/>
          <w:lang w:eastAsia="zh-CN"/>
        </w:rPr>
        <w:t>对本项目的理解与认识；</w:t>
      </w:r>
    </w:p>
    <w:p>
      <w:pPr>
        <w:pStyle w:val="12"/>
        <w:snapToGrid w:val="0"/>
        <w:spacing w:line="360" w:lineRule="auto"/>
        <w:ind w:left="720"/>
        <w:rPr>
          <w:rFonts w:ascii="Times New Roman" w:hAnsi="Times New Roman"/>
          <w:color w:val="auto"/>
          <w:lang w:eastAsia="zh-CN"/>
        </w:rPr>
      </w:pPr>
      <w:r>
        <w:rPr>
          <w:rFonts w:ascii="Times New Roman" w:hAnsi="Times New Roman"/>
          <w:color w:val="auto"/>
          <w:lang w:eastAsia="zh-CN"/>
        </w:rPr>
        <w:t>10.2.2</w:t>
      </w:r>
      <w:r>
        <w:rPr>
          <w:rFonts w:hint="eastAsia" w:ascii="Times New Roman" w:hAnsi="Times New Roman"/>
          <w:color w:val="auto"/>
          <w:lang w:eastAsia="zh-CN"/>
        </w:rPr>
        <w:t>提供服务的范围和内容；</w:t>
      </w:r>
    </w:p>
    <w:p>
      <w:pPr>
        <w:pStyle w:val="12"/>
        <w:snapToGrid w:val="0"/>
        <w:spacing w:line="360" w:lineRule="auto"/>
        <w:ind w:left="720"/>
        <w:rPr>
          <w:rFonts w:ascii="Times New Roman" w:hAnsi="Times New Roman"/>
          <w:color w:val="auto"/>
          <w:lang w:eastAsia="zh-CN"/>
        </w:rPr>
      </w:pPr>
      <w:r>
        <w:rPr>
          <w:rFonts w:ascii="Times New Roman" w:hAnsi="Times New Roman"/>
          <w:color w:val="auto"/>
          <w:lang w:eastAsia="zh-CN"/>
        </w:rPr>
        <w:t>10.2.3</w:t>
      </w:r>
      <w:r>
        <w:rPr>
          <w:rFonts w:hint="eastAsia" w:ascii="Times New Roman" w:hAnsi="Times New Roman"/>
          <w:color w:val="auto"/>
          <w:lang w:eastAsia="zh-CN"/>
        </w:rPr>
        <w:t>服务工作方案；</w:t>
      </w:r>
    </w:p>
    <w:p>
      <w:pPr>
        <w:pStyle w:val="12"/>
        <w:snapToGrid w:val="0"/>
        <w:spacing w:line="360" w:lineRule="auto"/>
        <w:ind w:left="720"/>
        <w:rPr>
          <w:rFonts w:ascii="Times New Roman" w:hAnsi="Times New Roman"/>
          <w:color w:val="auto"/>
          <w:lang w:eastAsia="zh-CN"/>
        </w:rPr>
      </w:pPr>
      <w:r>
        <w:rPr>
          <w:rFonts w:ascii="Times New Roman" w:hAnsi="Times New Roman"/>
          <w:color w:val="auto"/>
          <w:lang w:eastAsia="zh-CN"/>
        </w:rPr>
        <w:t>10.2.4</w:t>
      </w:r>
      <w:r>
        <w:rPr>
          <w:rFonts w:hint="eastAsia" w:ascii="Times New Roman" w:hAnsi="Times New Roman"/>
          <w:color w:val="auto"/>
          <w:lang w:eastAsia="zh-CN"/>
        </w:rPr>
        <w:t>工作进度安排；</w:t>
      </w:r>
    </w:p>
    <w:p>
      <w:pPr>
        <w:pStyle w:val="12"/>
        <w:snapToGrid w:val="0"/>
        <w:spacing w:line="360" w:lineRule="auto"/>
        <w:ind w:left="720"/>
        <w:rPr>
          <w:rFonts w:ascii="Times New Roman" w:hAnsi="Times New Roman"/>
          <w:color w:val="auto"/>
          <w:lang w:eastAsia="zh-CN"/>
        </w:rPr>
      </w:pPr>
      <w:r>
        <w:rPr>
          <w:rFonts w:ascii="Times New Roman" w:hAnsi="Times New Roman"/>
          <w:color w:val="auto"/>
          <w:lang w:eastAsia="zh-CN"/>
        </w:rPr>
        <w:t>10.2.5</w:t>
      </w:r>
      <w:r>
        <w:rPr>
          <w:rFonts w:hint="eastAsia" w:ascii="Times New Roman" w:hAnsi="Times New Roman"/>
          <w:color w:val="auto"/>
          <w:lang w:eastAsia="zh-CN"/>
        </w:rPr>
        <w:t>质量控制管理；</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r>
        <w:rPr>
          <w:rFonts w:hint="eastAsia" w:ascii="Times New Roman" w:cs="Arial"/>
          <w:color w:val="auto"/>
          <w:szCs w:val="24"/>
        </w:rPr>
        <w:t>投标报价</w:t>
      </w:r>
      <w:bookmarkEnd w:id="55"/>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所有投标均以人民币报价。投标人的投标报价应遵守“中华人民共和国价格法”。</w:t>
      </w:r>
      <w:r>
        <w:rPr>
          <w:rFonts w:hint="eastAsia" w:ascii="Times New Roman" w:hAnsi="Times New Roman"/>
          <w:color w:val="auto"/>
          <w:lang w:eastAsia="zh-CN"/>
        </w:rPr>
        <w:t>投标人的报价不得超过采购项目预算金额，有投标最高限价的不得超过最高限价，否则将被作为无效投标处理。</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投标人应在投标报价表上标明相关服务的取费标准和总价。</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所有投标报价均以人民币元为计算单位。只要填报了一个确定数额的总价，无论分项价格是否全部填报了相应的金额或免费字样，报价应被视为已经包含但并不限于相关服务及其验收等的费用和所需缴纳的所有价格、税、费。由于投标报价填报不完整、不清楚或存在其他任何失误，所导致的任何不利后果均应当由投标人自行承担。</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投标人投报多个标段（包）的，应对每个标段（包）分别报价并分别编制开标一览表。</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投标人应按统一格式填写相关服务的取费标准、总价及其他事项。</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投标人对投标报价若有说明应在开标一览表显著处注明，只有开标时唱出的报价和优惠才会在评标时予以考虑。</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投标报价的优惠应对应开标一览表提供相应的明细清单。除报价优惠外，任何超出招标文件要求而额外赠送的服务项目、免费培训等其他形式的优惠，在评标时将不具有竞争优势。</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最低报价不能作为中标的保证。</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56" w:name="_Toc522883964"/>
      <w:r>
        <w:rPr>
          <w:rFonts w:hint="eastAsia" w:ascii="Times New Roman" w:cs="Arial"/>
          <w:color w:val="auto"/>
          <w:szCs w:val="24"/>
        </w:rPr>
        <w:t>投标保证金和中标服务费</w:t>
      </w:r>
      <w:bookmarkEnd w:id="56"/>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投标人应按照</w:t>
      </w:r>
      <w:r>
        <w:rPr>
          <w:rFonts w:hint="eastAsia" w:ascii="Times New Roman" w:hAnsi="Times New Roman"/>
          <w:color w:val="auto"/>
          <w:lang w:eastAsia="zh-CN"/>
        </w:rPr>
        <w:t>“</w:t>
      </w:r>
      <w:r>
        <w:rPr>
          <w:rFonts w:ascii="Times New Roman" w:hAnsi="Times New Roman"/>
          <w:color w:val="auto"/>
          <w:lang w:eastAsia="zh-CN"/>
        </w:rPr>
        <w:t>投标人须知</w:t>
      </w:r>
      <w:r>
        <w:rPr>
          <w:rFonts w:hint="eastAsia" w:ascii="Times New Roman" w:hAnsi="Times New Roman"/>
          <w:color w:val="auto"/>
          <w:lang w:eastAsia="zh-CN"/>
        </w:rPr>
        <w:t>”</w:t>
      </w:r>
      <w:r>
        <w:rPr>
          <w:rFonts w:ascii="Times New Roman" w:hAnsi="Times New Roman"/>
          <w:color w:val="auto"/>
          <w:lang w:eastAsia="zh-CN"/>
        </w:rPr>
        <w:t>前附表规定的金额、时间、形式缴纳投标保证金，并作为其投标的一部分。</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下列任何一种情形发生，投标保证金将不予退还：</w:t>
      </w:r>
    </w:p>
    <w:p>
      <w:pPr>
        <w:pStyle w:val="12"/>
        <w:numPr>
          <w:ilvl w:val="2"/>
          <w:numId w:val="7"/>
        </w:numPr>
        <w:snapToGrid w:val="0"/>
        <w:spacing w:line="360" w:lineRule="auto"/>
        <w:rPr>
          <w:rFonts w:ascii="Times New Roman" w:hAnsi="Times New Roman"/>
          <w:color w:val="auto"/>
          <w:lang w:eastAsia="zh-CN"/>
        </w:rPr>
      </w:pPr>
      <w:r>
        <w:rPr>
          <w:rFonts w:hint="eastAsia" w:ascii="Times New Roman" w:hAnsi="Times New Roman"/>
          <w:color w:val="auto"/>
          <w:lang w:eastAsia="zh-CN"/>
        </w:rPr>
        <w:t>投标有效期内</w:t>
      </w:r>
      <w:r>
        <w:rPr>
          <w:rFonts w:ascii="Times New Roman" w:hAnsi="Times New Roman"/>
          <w:color w:val="auto"/>
          <w:lang w:eastAsia="zh-CN"/>
        </w:rPr>
        <w:t>投标人撤</w:t>
      </w:r>
      <w:r>
        <w:rPr>
          <w:rFonts w:hint="eastAsia" w:ascii="Times New Roman" w:hAnsi="Times New Roman"/>
          <w:color w:val="auto"/>
          <w:lang w:eastAsia="zh-CN"/>
        </w:rPr>
        <w:t>销</w:t>
      </w:r>
      <w:r>
        <w:rPr>
          <w:rFonts w:ascii="Times New Roman" w:hAnsi="Times New Roman"/>
          <w:color w:val="auto"/>
          <w:lang w:eastAsia="zh-CN"/>
        </w:rPr>
        <w:t>投标的；</w:t>
      </w:r>
    </w:p>
    <w:p>
      <w:pPr>
        <w:pStyle w:val="12"/>
        <w:numPr>
          <w:ilvl w:val="2"/>
          <w:numId w:val="7"/>
        </w:numPr>
        <w:snapToGrid w:val="0"/>
        <w:spacing w:line="360" w:lineRule="auto"/>
        <w:ind w:left="1276" w:hanging="369"/>
        <w:rPr>
          <w:rFonts w:ascii="Times New Roman" w:hAnsi="Times New Roman"/>
          <w:color w:val="auto"/>
          <w:lang w:eastAsia="zh-CN"/>
        </w:rPr>
      </w:pPr>
      <w:r>
        <w:rPr>
          <w:rFonts w:ascii="Times New Roman" w:hAnsi="Times New Roman"/>
          <w:color w:val="auto"/>
          <w:lang w:eastAsia="zh-CN"/>
        </w:rPr>
        <w:t>投标文件中提供</w:t>
      </w:r>
      <w:r>
        <w:rPr>
          <w:rFonts w:hint="eastAsia" w:ascii="Times New Roman" w:hAnsi="Times New Roman"/>
          <w:color w:val="auto"/>
          <w:lang w:eastAsia="zh-CN"/>
        </w:rPr>
        <w:t>虚假材料的；</w:t>
      </w:r>
    </w:p>
    <w:p>
      <w:pPr>
        <w:pStyle w:val="12"/>
        <w:numPr>
          <w:ilvl w:val="2"/>
          <w:numId w:val="7"/>
        </w:numPr>
        <w:snapToGrid w:val="0"/>
        <w:spacing w:line="360" w:lineRule="auto"/>
        <w:ind w:left="1276" w:hanging="312"/>
        <w:rPr>
          <w:rFonts w:ascii="Times New Roman" w:hAnsi="Times New Roman"/>
          <w:color w:val="auto"/>
          <w:lang w:eastAsia="zh-CN"/>
        </w:rPr>
      </w:pPr>
      <w:r>
        <w:rPr>
          <w:rFonts w:hint="eastAsia" w:ascii="Times New Roman" w:hAnsi="Times New Roman"/>
          <w:color w:val="auto"/>
          <w:lang w:eastAsia="zh-CN"/>
        </w:rPr>
        <w:t>除因不可抗力或招标文件认可的情形以外，中标人不与采购人签订合同的；</w:t>
      </w:r>
    </w:p>
    <w:p>
      <w:pPr>
        <w:pStyle w:val="12"/>
        <w:numPr>
          <w:ilvl w:val="2"/>
          <w:numId w:val="7"/>
        </w:numPr>
        <w:snapToGrid w:val="0"/>
        <w:spacing w:line="360" w:lineRule="auto"/>
        <w:ind w:left="1276" w:hanging="312"/>
        <w:rPr>
          <w:rFonts w:ascii="Times New Roman" w:hAnsi="Times New Roman"/>
          <w:color w:val="auto"/>
          <w:lang w:eastAsia="zh-CN"/>
        </w:rPr>
      </w:pPr>
      <w:r>
        <w:rPr>
          <w:rFonts w:hint="eastAsia" w:ascii="Times New Roman" w:hAnsi="Times New Roman"/>
          <w:color w:val="auto"/>
          <w:lang w:eastAsia="zh-CN"/>
        </w:rPr>
        <w:t>投标人与采购人、其他投标人或者采购代理机构恶意串通的；</w:t>
      </w:r>
    </w:p>
    <w:p>
      <w:pPr>
        <w:pStyle w:val="12"/>
        <w:numPr>
          <w:ilvl w:val="2"/>
          <w:numId w:val="7"/>
        </w:numPr>
        <w:snapToGrid w:val="0"/>
        <w:spacing w:line="360" w:lineRule="auto"/>
        <w:ind w:left="1276" w:hanging="369"/>
        <w:rPr>
          <w:rFonts w:ascii="Times New Roman" w:hAnsi="Times New Roman"/>
          <w:color w:val="auto"/>
          <w:lang w:eastAsia="zh-CN"/>
        </w:rPr>
      </w:pPr>
      <w:r>
        <w:rPr>
          <w:rFonts w:hint="eastAsia" w:ascii="Times New Roman" w:hAnsi="Times New Roman"/>
          <w:color w:val="auto"/>
          <w:lang w:eastAsia="zh-CN"/>
        </w:rPr>
        <w:t>招标文件规定的其他情形。</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中标人的投标保证金，</w:t>
      </w:r>
      <w:r>
        <w:rPr>
          <w:rFonts w:hint="eastAsia" w:ascii="Times New Roman" w:hAnsi="Times New Roman"/>
          <w:color w:val="auto"/>
          <w:lang w:eastAsia="zh-CN"/>
        </w:rPr>
        <w:t>自与</w:t>
      </w:r>
      <w:r>
        <w:rPr>
          <w:rFonts w:ascii="Times New Roman" w:hAnsi="Times New Roman"/>
          <w:color w:val="auto"/>
          <w:lang w:eastAsia="zh-CN"/>
        </w:rPr>
        <w:t>采购人签订</w:t>
      </w:r>
      <w:r>
        <w:rPr>
          <w:rFonts w:hint="eastAsia" w:ascii="Times New Roman" w:hAnsi="Times New Roman"/>
          <w:color w:val="auto"/>
          <w:lang w:eastAsia="zh-CN"/>
        </w:rPr>
        <w:t>采购</w:t>
      </w:r>
      <w:r>
        <w:rPr>
          <w:rFonts w:ascii="Times New Roman" w:hAnsi="Times New Roman"/>
          <w:color w:val="auto"/>
          <w:lang w:eastAsia="zh-CN"/>
        </w:rPr>
        <w:t>合同</w:t>
      </w:r>
      <w:r>
        <w:rPr>
          <w:rFonts w:hint="eastAsia" w:ascii="Times New Roman" w:hAnsi="Times New Roman"/>
          <w:color w:val="auto"/>
          <w:lang w:eastAsia="zh-CN"/>
        </w:rPr>
        <w:t>起</w:t>
      </w:r>
      <w:r>
        <w:rPr>
          <w:rFonts w:ascii="Times New Roman" w:hAnsi="Times New Roman"/>
          <w:color w:val="auto"/>
          <w:lang w:eastAsia="zh-CN"/>
        </w:rPr>
        <w:t>5个工作日内无息退还中标人。未中标投标人的投标保证金，</w:t>
      </w:r>
      <w:r>
        <w:rPr>
          <w:rFonts w:hint="eastAsia" w:ascii="Times New Roman" w:hAnsi="Times New Roman"/>
          <w:color w:val="auto"/>
          <w:lang w:eastAsia="zh-CN"/>
        </w:rPr>
        <w:t>自</w:t>
      </w:r>
      <w:r>
        <w:rPr>
          <w:rFonts w:ascii="Times New Roman" w:hAnsi="Times New Roman"/>
          <w:color w:val="auto"/>
          <w:lang w:eastAsia="zh-CN"/>
        </w:rPr>
        <w:t>中标通知书发出之日起5个工作日内无息退还投标人。</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bookmarkStart w:id="57" w:name="_Toc522883965"/>
      <w:r>
        <w:rPr>
          <w:color w:val="auto"/>
          <w:lang w:eastAsia="zh-CN"/>
        </w:rPr>
        <w:t>“投标人须知前附表”</w:t>
      </w:r>
      <w:r>
        <w:rPr>
          <w:rFonts w:hint="eastAsia"/>
          <w:color w:val="auto"/>
          <w:lang w:eastAsia="zh-CN"/>
        </w:rPr>
        <w:t>中规定中标服务费由中标人支付的，</w:t>
      </w:r>
      <w:r>
        <w:rPr>
          <w:rFonts w:hint="eastAsia" w:ascii="Times New Roman" w:hAnsi="Times New Roman"/>
          <w:color w:val="auto"/>
          <w:lang w:eastAsia="zh-CN"/>
        </w:rPr>
        <w:t>中标人应按照“投标人须知前附表”中的规定在领取中标通知书时支付中标服务费。</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r>
        <w:rPr>
          <w:rFonts w:hint="eastAsia" w:ascii="Times New Roman" w:cs="Arial"/>
          <w:color w:val="auto"/>
          <w:szCs w:val="24"/>
        </w:rPr>
        <w:t>投标有效期</w:t>
      </w:r>
      <w:bookmarkEnd w:id="57"/>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投标有效期自提交投标文件的截止之日起计算，投标文件中承诺的投标有效期应当不少于“投标人须知前附表”中载明的投标有效期，投标有效期不满足要求的投标文件将被作为无效投标处理。</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bookmarkStart w:id="58" w:name="_Toc522883966"/>
      <w:r>
        <w:rPr>
          <w:rFonts w:hint="eastAsia" w:ascii="Times New Roman" w:hAnsi="Times New Roman"/>
          <w:color w:val="auto"/>
          <w:lang w:eastAsia="zh-CN"/>
        </w:rPr>
        <w:t>采购人可根据实际情况，在投标有效期截止之前，要求投标人延长投标的有效期。</w:t>
      </w:r>
      <w:r>
        <w:rPr>
          <w:rFonts w:hint="eastAsia"/>
          <w:color w:val="auto"/>
          <w:lang w:eastAsia="zh-CN"/>
        </w:rPr>
        <w:t>同意延长投标有效期</w:t>
      </w:r>
      <w:r>
        <w:rPr>
          <w:rFonts w:hint="eastAsia" w:ascii="Times New Roman" w:hAnsi="Times New Roman"/>
          <w:color w:val="auto"/>
          <w:lang w:eastAsia="zh-CN"/>
        </w:rPr>
        <w:t>的投标人将不会被要求和允许修改其投标，且招标文件中有关投标保证金的要求将在延长了的有效期内继续有效；</w:t>
      </w:r>
      <w:r>
        <w:rPr>
          <w:rFonts w:hint="eastAsia"/>
          <w:color w:val="auto"/>
          <w:lang w:eastAsia="zh-CN"/>
        </w:rPr>
        <w:t>拒绝延长投标有效期的投标人有权收回投标保证金，但</w:t>
      </w:r>
      <w:r>
        <w:rPr>
          <w:rFonts w:hint="eastAsia" w:ascii="Times New Roman" w:hAnsi="Times New Roman"/>
          <w:color w:val="auto"/>
          <w:lang w:eastAsia="zh-CN"/>
        </w:rPr>
        <w:t>其投标失效。上述要求和答复均将以书面形式提交。</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r>
        <w:rPr>
          <w:rFonts w:hint="eastAsia" w:ascii="Times New Roman" w:cs="Arial"/>
          <w:color w:val="auto"/>
          <w:szCs w:val="24"/>
        </w:rPr>
        <w:t>投标文件的份数、签署</w:t>
      </w:r>
      <w:bookmarkEnd w:id="58"/>
      <w:r>
        <w:rPr>
          <w:rFonts w:hint="eastAsia" w:ascii="Times New Roman" w:cs="Arial"/>
          <w:color w:val="auto"/>
          <w:szCs w:val="24"/>
        </w:rPr>
        <w:t>及装订</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color w:val="auto"/>
          <w:lang w:eastAsia="zh-CN"/>
        </w:rPr>
        <w:t>投标文件正本一份，副本份数见“投标人须知”前附表。正本和副本的封面右上角上应清楚地标记“正本”或“副本”的字样。投标人应根据“投标人须知”前附表的要求提供电子版文件。当副本和正本不一致或电子版文件和纸质正本文件不一致时，以纸质正本文件为准</w:t>
      </w:r>
      <w:r>
        <w:rPr>
          <w:color w:val="auto"/>
          <w:lang w:eastAsia="zh-CN"/>
        </w:rPr>
        <w:t>。</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投标文件的正本需打印或用不</w:t>
      </w:r>
      <w:r>
        <w:rPr>
          <w:rFonts w:hint="eastAsia" w:ascii="Times New Roman" w:hAnsi="Times New Roman"/>
          <w:color w:val="auto"/>
          <w:lang w:eastAsia="zh-CN"/>
        </w:rPr>
        <w:t>褪色</w:t>
      </w:r>
      <w:r>
        <w:rPr>
          <w:rFonts w:ascii="Times New Roman" w:hAnsi="Times New Roman"/>
          <w:color w:val="auto"/>
          <w:lang w:eastAsia="zh-CN"/>
        </w:rPr>
        <w:t>墨水书写，并按要求由投标人的法定代表人或经其授权代表在投标文件上签字并加盖投标人公章。授权代表须持有书面的</w:t>
      </w:r>
      <w:r>
        <w:rPr>
          <w:rFonts w:hint="eastAsia" w:ascii="Times New Roman" w:hAnsi="Times New Roman"/>
          <w:color w:val="auto"/>
          <w:lang w:eastAsia="zh-CN"/>
        </w:rPr>
        <w:t>“</w:t>
      </w:r>
      <w:r>
        <w:rPr>
          <w:rFonts w:ascii="Times New Roman" w:hAnsi="Times New Roman"/>
          <w:color w:val="auto"/>
          <w:lang w:eastAsia="zh-CN"/>
        </w:rPr>
        <w:t>法定代表人授权书</w:t>
      </w:r>
      <w:r>
        <w:rPr>
          <w:rFonts w:hint="eastAsia" w:ascii="Times New Roman" w:hAnsi="Times New Roman"/>
          <w:color w:val="auto"/>
          <w:lang w:eastAsia="zh-CN"/>
        </w:rPr>
        <w:t>”</w:t>
      </w:r>
      <w:r>
        <w:rPr>
          <w:rFonts w:ascii="Times New Roman" w:hAnsi="Times New Roman"/>
          <w:color w:val="auto"/>
          <w:lang w:eastAsia="zh-CN"/>
        </w:rPr>
        <w:t>，并将其附在投标文件中。如对投标文件进行了修改，则应由投标人的法定代表人或经其授权代表在修改的内容上签字。投标文件的副本可采用正本的复印件。</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以联合体形式投标的，招标文件中要求的签字、盖章由联合体牵头人法定代表人（或授权代表）签字、盖章即可（联合体协议除外）。</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任何行间插字、涂改和增删，必须由投标人法定代表人或经其授权代表签字后</w:t>
      </w:r>
      <w:r>
        <w:rPr>
          <w:rFonts w:hint="eastAsia" w:ascii="Times New Roman" w:hAnsi="Times New Roman"/>
          <w:color w:val="auto"/>
          <w:lang w:eastAsia="zh-CN"/>
        </w:rPr>
        <w:t>方可生效</w:t>
      </w:r>
      <w:r>
        <w:rPr>
          <w:rFonts w:ascii="Times New Roman" w:hAnsi="Times New Roman"/>
          <w:color w:val="auto"/>
          <w:lang w:eastAsia="zh-CN"/>
        </w:rPr>
        <w:t>。</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投标文件因字迹潦草或表达不清所引起的后果由投标人负责。</w:t>
      </w:r>
    </w:p>
    <w:p>
      <w:pPr>
        <w:pStyle w:val="12"/>
        <w:numPr>
          <w:ilvl w:val="1"/>
          <w:numId w:val="11"/>
        </w:numPr>
        <w:tabs>
          <w:tab w:val="left" w:pos="817"/>
        </w:tabs>
        <w:snapToGrid w:val="0"/>
        <w:spacing w:line="360" w:lineRule="auto"/>
        <w:ind w:left="723" w:hanging="723"/>
        <w:rPr>
          <w:rFonts w:ascii="Times New Roman" w:hAnsi="Times New Roman"/>
          <w:b/>
          <w:color w:val="auto"/>
          <w:lang w:eastAsia="zh-CN"/>
        </w:rPr>
      </w:pPr>
      <w:bookmarkStart w:id="59" w:name="_Toc522883967"/>
      <w:bookmarkStart w:id="60" w:name="_Toc519721496"/>
      <w:r>
        <w:rPr>
          <w:rFonts w:hint="eastAsia" w:cs="Arial"/>
          <w:bCs/>
          <w:color w:val="auto"/>
          <w:szCs w:val="21"/>
          <w:lang w:eastAsia="zh-CN"/>
        </w:rPr>
        <w:t>投标文件的纸张要求：除比较大的图表以外，所有文字和图表部分统一用</w:t>
      </w:r>
      <w:r>
        <w:rPr>
          <w:rFonts w:cs="Arial"/>
          <w:bCs/>
          <w:color w:val="auto"/>
          <w:szCs w:val="21"/>
          <w:lang w:eastAsia="zh-CN"/>
        </w:rPr>
        <w:t>A4白色复印纸，对于比较大的图表可使用白色A3复印纸，但须将A3纸折叠成A4纸大小并统一装订</w:t>
      </w:r>
      <w:r>
        <w:rPr>
          <w:rFonts w:hint="eastAsia" w:cs="Arial"/>
          <w:bCs/>
          <w:color w:val="auto"/>
          <w:szCs w:val="21"/>
          <w:lang w:eastAsia="zh-CN"/>
        </w:rPr>
        <w:t>；投标文件的正本与副本均需编制页码，正本与副本应分别装订，采用左侧胶装方式装</w:t>
      </w:r>
      <w:r>
        <w:rPr>
          <w:rFonts w:hint="eastAsia" w:cs="Arial"/>
          <w:color w:val="auto"/>
          <w:szCs w:val="21"/>
          <w:lang w:eastAsia="zh-CN"/>
        </w:rPr>
        <w:t>订，装订应牢固、不易拆散和换页，</w:t>
      </w:r>
      <w:r>
        <w:rPr>
          <w:rFonts w:hint="eastAsia" w:ascii="Times New Roman" w:hAnsi="Times New Roman"/>
          <w:color w:val="auto"/>
          <w:lang w:eastAsia="zh-CN"/>
        </w:rPr>
        <w:t>不得采用活页装订。</w:t>
      </w:r>
    </w:p>
    <w:p>
      <w:pPr>
        <w:pStyle w:val="4"/>
        <w:keepNext w:val="0"/>
        <w:keepLines w:val="0"/>
        <w:numPr>
          <w:ilvl w:val="1"/>
          <w:numId w:val="10"/>
        </w:numPr>
        <w:ind w:left="723" w:hanging="723"/>
        <w:rPr>
          <w:rFonts w:ascii="Times New Roman" w:hAnsi="Times New Roman"/>
          <w:color w:val="auto"/>
        </w:rPr>
      </w:pPr>
      <w:r>
        <w:rPr>
          <w:rFonts w:hint="eastAsia" w:ascii="Times New Roman" w:hAnsi="Times New Roman"/>
          <w:color w:val="auto"/>
        </w:rPr>
        <w:t>投标文件的递交</w:t>
      </w:r>
      <w:bookmarkEnd w:id="59"/>
      <w:bookmarkEnd w:id="60"/>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61" w:name="_Toc522883968"/>
      <w:r>
        <w:rPr>
          <w:rFonts w:hint="eastAsia" w:ascii="Times New Roman" w:cs="Arial"/>
          <w:color w:val="auto"/>
          <w:szCs w:val="24"/>
        </w:rPr>
        <w:t>投标文件的密封和标记</w:t>
      </w:r>
      <w:bookmarkEnd w:id="61"/>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投标时，投标人应将开标一览表、投标保证担保凭证（</w:t>
      </w:r>
      <w:r>
        <w:rPr>
          <w:rFonts w:hint="eastAsia" w:ascii="Times New Roman" w:hAnsi="Times New Roman"/>
          <w:color w:val="auto"/>
          <w:lang w:eastAsia="zh-CN"/>
        </w:rPr>
        <w:t>不适用）</w:t>
      </w:r>
      <w:r>
        <w:rPr>
          <w:rFonts w:ascii="Times New Roman" w:hAnsi="Times New Roman"/>
          <w:color w:val="auto"/>
          <w:lang w:eastAsia="zh-CN"/>
        </w:rPr>
        <w:t>、投标</w:t>
      </w:r>
      <w:r>
        <w:rPr>
          <w:rFonts w:hint="eastAsia" w:ascii="Times New Roman" w:hAnsi="Times New Roman"/>
          <w:color w:val="auto"/>
          <w:lang w:eastAsia="zh-CN"/>
        </w:rPr>
        <w:t>文件</w:t>
      </w:r>
      <w:r>
        <w:rPr>
          <w:rFonts w:ascii="Times New Roman" w:hAnsi="Times New Roman"/>
          <w:color w:val="auto"/>
          <w:lang w:eastAsia="zh-CN"/>
        </w:rPr>
        <w:t>、电子版</w:t>
      </w:r>
      <w:r>
        <w:rPr>
          <w:rFonts w:hint="eastAsia" w:ascii="Times New Roman" w:hAnsi="Times New Roman"/>
          <w:color w:val="auto"/>
          <w:lang w:eastAsia="zh-CN"/>
        </w:rPr>
        <w:t>分别密封提交</w:t>
      </w:r>
      <w:r>
        <w:rPr>
          <w:rFonts w:ascii="Times New Roman" w:hAnsi="Times New Roman"/>
          <w:color w:val="auto"/>
          <w:lang w:eastAsia="zh-CN"/>
        </w:rPr>
        <w:t>。投标人单独密封提交的</w:t>
      </w:r>
      <w:r>
        <w:rPr>
          <w:rFonts w:hint="eastAsia" w:ascii="Times New Roman" w:hAnsi="Times New Roman"/>
          <w:color w:val="auto"/>
          <w:lang w:eastAsia="zh-CN"/>
        </w:rPr>
        <w:t>“</w:t>
      </w:r>
      <w:r>
        <w:rPr>
          <w:rFonts w:ascii="Times New Roman" w:hAnsi="Times New Roman"/>
          <w:color w:val="auto"/>
          <w:lang w:eastAsia="zh-CN"/>
        </w:rPr>
        <w:t>开标一览表</w:t>
      </w:r>
      <w:r>
        <w:rPr>
          <w:rFonts w:hint="eastAsia" w:ascii="Times New Roman" w:hAnsi="Times New Roman"/>
          <w:color w:val="auto"/>
          <w:lang w:eastAsia="zh-CN"/>
        </w:rPr>
        <w:t>”</w:t>
      </w:r>
      <w:r>
        <w:rPr>
          <w:rFonts w:ascii="Times New Roman" w:hAnsi="Times New Roman"/>
          <w:color w:val="auto"/>
          <w:lang w:eastAsia="zh-CN"/>
        </w:rPr>
        <w:t>应为</w:t>
      </w:r>
      <w:r>
        <w:rPr>
          <w:rFonts w:hint="eastAsia" w:ascii="Times New Roman" w:hAnsi="Times New Roman"/>
          <w:color w:val="auto"/>
          <w:lang w:eastAsia="zh-CN"/>
        </w:rPr>
        <w:t>原件</w:t>
      </w:r>
      <w:r>
        <w:rPr>
          <w:rFonts w:ascii="Times New Roman" w:hAnsi="Times New Roman"/>
          <w:color w:val="auto"/>
          <w:lang w:eastAsia="zh-CN"/>
        </w:rPr>
        <w:t>，同时，</w:t>
      </w:r>
      <w:r>
        <w:rPr>
          <w:rFonts w:hint="eastAsia" w:ascii="Times New Roman" w:hAnsi="Times New Roman"/>
          <w:color w:val="auto"/>
          <w:lang w:eastAsia="zh-CN"/>
        </w:rPr>
        <w:t>投标文件正本中也应附有此表原件。</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如果投标文件未按上述要求密封，采购人或者采购代理机构</w:t>
      </w:r>
      <w:r>
        <w:rPr>
          <w:rFonts w:hint="eastAsia" w:ascii="Times New Roman" w:hAnsi="Times New Roman"/>
          <w:color w:val="auto"/>
          <w:lang w:eastAsia="zh-CN"/>
        </w:rPr>
        <w:t>将</w:t>
      </w:r>
      <w:r>
        <w:rPr>
          <w:rFonts w:ascii="Times New Roman" w:hAnsi="Times New Roman"/>
          <w:color w:val="auto"/>
          <w:lang w:eastAsia="zh-CN"/>
        </w:rPr>
        <w:t>予以拒收。</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所有</w:t>
      </w:r>
      <w:r>
        <w:rPr>
          <w:color w:val="auto"/>
          <w:spacing w:val="-3"/>
          <w:lang w:eastAsia="zh-CN"/>
        </w:rPr>
        <w:t>投标文件封套上</w:t>
      </w:r>
      <w:r>
        <w:rPr>
          <w:rFonts w:ascii="Times New Roman" w:hAnsi="Times New Roman"/>
          <w:color w:val="auto"/>
          <w:lang w:eastAsia="zh-CN"/>
        </w:rPr>
        <w:t>均应标明：</w:t>
      </w:r>
    </w:p>
    <w:p>
      <w:pPr>
        <w:pStyle w:val="12"/>
        <w:snapToGrid w:val="0"/>
        <w:spacing w:line="360" w:lineRule="auto"/>
        <w:ind w:left="723"/>
        <w:rPr>
          <w:rFonts w:ascii="Times New Roman" w:hAnsi="Times New Roman"/>
          <w:color w:val="auto"/>
          <w:lang w:eastAsia="zh-CN"/>
        </w:rPr>
      </w:pPr>
      <w:r>
        <w:rPr>
          <w:rFonts w:ascii="Times New Roman" w:hAnsi="Times New Roman"/>
          <w:color w:val="auto"/>
          <w:lang w:eastAsia="zh-CN"/>
        </w:rPr>
        <w:t>1）</w:t>
      </w:r>
      <w:r>
        <w:rPr>
          <w:color w:val="auto"/>
          <w:lang w:eastAsia="zh-CN"/>
        </w:rPr>
        <w:t>项目名称</w:t>
      </w:r>
    </w:p>
    <w:p>
      <w:pPr>
        <w:snapToGrid w:val="0"/>
        <w:spacing w:line="360" w:lineRule="auto"/>
        <w:ind w:left="723"/>
        <w:rPr>
          <w:color w:val="auto"/>
          <w:sz w:val="24"/>
          <w:u w:val="single"/>
          <w:lang w:eastAsia="zh-CN"/>
        </w:rPr>
      </w:pPr>
      <w:r>
        <w:rPr>
          <w:rFonts w:ascii="Times New Roman" w:hAnsi="Times New Roman"/>
          <w:color w:val="auto"/>
          <w:spacing w:val="-3"/>
          <w:sz w:val="24"/>
          <w:szCs w:val="24"/>
          <w:lang w:eastAsia="zh-CN"/>
        </w:rPr>
        <w:t>2）</w:t>
      </w:r>
      <w:r>
        <w:rPr>
          <w:color w:val="auto"/>
          <w:sz w:val="24"/>
          <w:lang w:eastAsia="zh-CN"/>
        </w:rPr>
        <w:t>招标编号</w:t>
      </w:r>
    </w:p>
    <w:p>
      <w:pPr>
        <w:snapToGrid w:val="0"/>
        <w:spacing w:line="360" w:lineRule="auto"/>
        <w:ind w:left="723"/>
        <w:rPr>
          <w:rFonts w:ascii="Times New Roman" w:hAnsi="Times New Roman"/>
          <w:color w:val="auto"/>
          <w:sz w:val="24"/>
          <w:szCs w:val="24"/>
          <w:lang w:eastAsia="zh-CN"/>
        </w:rPr>
      </w:pPr>
      <w:r>
        <w:rPr>
          <w:rFonts w:ascii="Times New Roman" w:hAnsi="Times New Roman"/>
          <w:color w:val="auto"/>
          <w:spacing w:val="-3"/>
          <w:sz w:val="24"/>
          <w:szCs w:val="24"/>
          <w:lang w:eastAsia="zh-CN"/>
        </w:rPr>
        <w:t>3）</w:t>
      </w:r>
      <w:r>
        <w:rPr>
          <w:rFonts w:hint="eastAsia" w:ascii="Times New Roman" w:hAnsi="Times New Roman"/>
          <w:b/>
          <w:color w:val="auto"/>
          <w:spacing w:val="-3"/>
          <w:sz w:val="24"/>
          <w:szCs w:val="24"/>
          <w:u w:val="single"/>
          <w:lang w:eastAsia="zh-CN"/>
        </w:rPr>
        <w:t>（开标日期、时间）</w:t>
      </w:r>
      <w:r>
        <w:rPr>
          <w:rFonts w:hint="eastAsia" w:ascii="Times New Roman" w:hAnsi="Times New Roman"/>
          <w:b/>
          <w:color w:val="auto"/>
          <w:sz w:val="24"/>
          <w:szCs w:val="24"/>
          <w:lang w:eastAsia="zh-CN"/>
        </w:rPr>
        <w:t>之前不得启封</w:t>
      </w:r>
    </w:p>
    <w:p>
      <w:pPr>
        <w:pStyle w:val="12"/>
        <w:snapToGrid w:val="0"/>
        <w:spacing w:line="360" w:lineRule="auto"/>
        <w:ind w:left="723"/>
        <w:rPr>
          <w:rFonts w:ascii="Times New Roman" w:hAnsi="Times New Roman"/>
          <w:color w:val="auto"/>
          <w:spacing w:val="-7"/>
          <w:lang w:eastAsia="zh-CN"/>
        </w:rPr>
      </w:pPr>
      <w:r>
        <w:rPr>
          <w:rFonts w:hint="eastAsia" w:ascii="Times New Roman" w:hAnsi="Times New Roman"/>
          <w:color w:val="auto"/>
          <w:spacing w:val="-3"/>
          <w:lang w:eastAsia="zh-CN"/>
        </w:rPr>
        <w:t>4</w:t>
      </w:r>
      <w:r>
        <w:rPr>
          <w:rFonts w:ascii="Times New Roman" w:hAnsi="Times New Roman"/>
          <w:color w:val="auto"/>
          <w:spacing w:val="-3"/>
          <w:lang w:eastAsia="zh-CN"/>
        </w:rPr>
        <w:t>）</w:t>
      </w:r>
      <w:r>
        <w:rPr>
          <w:rFonts w:ascii="Times New Roman" w:hAnsi="Times New Roman"/>
          <w:color w:val="auto"/>
          <w:spacing w:val="-4"/>
          <w:lang w:eastAsia="zh-CN"/>
        </w:rPr>
        <w:t>投标人名称和地址</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密封</w:t>
      </w:r>
      <w:r>
        <w:rPr>
          <w:rFonts w:hint="eastAsia" w:ascii="Times New Roman" w:hAnsi="Times New Roman"/>
          <w:color w:val="auto"/>
          <w:lang w:eastAsia="zh-CN"/>
        </w:rPr>
        <w:t>、</w:t>
      </w:r>
      <w:r>
        <w:rPr>
          <w:rFonts w:ascii="Times New Roman" w:hAnsi="Times New Roman"/>
          <w:color w:val="auto"/>
          <w:lang w:eastAsia="zh-CN"/>
        </w:rPr>
        <w:t>盖章</w:t>
      </w:r>
      <w:r>
        <w:rPr>
          <w:rFonts w:hint="eastAsia" w:ascii="Times New Roman" w:hAnsi="Times New Roman"/>
          <w:color w:val="auto"/>
          <w:lang w:eastAsia="zh-CN"/>
        </w:rPr>
        <w:t>、签字要求见“投标人须知”前附表。</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62" w:name="_Toc522883969"/>
      <w:r>
        <w:rPr>
          <w:rFonts w:hint="eastAsia" w:ascii="Times New Roman" w:cs="Arial"/>
          <w:color w:val="auto"/>
          <w:szCs w:val="24"/>
        </w:rPr>
        <w:t>投标地点、投标截止时间</w:t>
      </w:r>
      <w:bookmarkEnd w:id="62"/>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投标人应在招标公告</w:t>
      </w:r>
      <w:r>
        <w:rPr>
          <w:rFonts w:hint="eastAsia" w:ascii="Times New Roman" w:hAnsi="Times New Roman"/>
          <w:color w:val="auto"/>
          <w:lang w:eastAsia="zh-CN"/>
        </w:rPr>
        <w:t>（或更正公告）</w:t>
      </w:r>
      <w:r>
        <w:rPr>
          <w:rFonts w:ascii="Times New Roman" w:hAnsi="Times New Roman"/>
          <w:color w:val="auto"/>
          <w:lang w:eastAsia="zh-CN"/>
        </w:rPr>
        <w:t>中规定的截止时间前，递交投标文件，递交地点是招标公告</w:t>
      </w:r>
      <w:r>
        <w:rPr>
          <w:rFonts w:hint="eastAsia" w:ascii="Times New Roman" w:hAnsi="Times New Roman"/>
          <w:color w:val="auto"/>
          <w:lang w:eastAsia="zh-CN"/>
        </w:rPr>
        <w:t>（或更正公告）</w:t>
      </w:r>
      <w:r>
        <w:rPr>
          <w:rFonts w:ascii="Times New Roman" w:hAnsi="Times New Roman"/>
          <w:color w:val="auto"/>
          <w:lang w:eastAsia="zh-CN"/>
        </w:rPr>
        <w:t>中规定的地址。</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采购人有权按本须知的规定，通过修改招标文件延长投标截止时间。在此情况下，采购人或者采购代理机构和投标人受投标截止时间制约的所有权利和义务均应延长至新的截止时间。</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逾期送达的投标文件，采购人或者采购代理机构应当拒收。</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63" w:name="_Toc522883970"/>
      <w:r>
        <w:rPr>
          <w:rFonts w:hint="eastAsia" w:ascii="Times New Roman" w:cs="Arial"/>
          <w:color w:val="auto"/>
          <w:szCs w:val="24"/>
        </w:rPr>
        <w:t>投标文件的修改与撤回</w:t>
      </w:r>
      <w:bookmarkEnd w:id="63"/>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投标人在投标截止时间前，</w:t>
      </w:r>
      <w:r>
        <w:rPr>
          <w:color w:val="auto"/>
          <w:spacing w:val="-5"/>
          <w:lang w:eastAsia="zh-CN"/>
        </w:rPr>
        <w:t>可以修改或撤回已递交的投标文件，但应以书面形式通知</w:t>
      </w:r>
      <w:r>
        <w:rPr>
          <w:color w:val="auto"/>
          <w:lang w:eastAsia="zh-CN"/>
        </w:rPr>
        <w:t>采购人或采购代理机构</w:t>
      </w:r>
      <w:r>
        <w:rPr>
          <w:rFonts w:ascii="Times New Roman" w:hAnsi="Times New Roman"/>
          <w:color w:val="auto"/>
          <w:lang w:eastAsia="zh-CN"/>
        </w:rPr>
        <w:t>。</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投标人补充、修改的内容作为投标文件的组成部分</w:t>
      </w:r>
      <w:r>
        <w:rPr>
          <w:rFonts w:hint="eastAsia" w:ascii="Times New Roman" w:hAnsi="Times New Roman"/>
          <w:color w:val="auto"/>
          <w:lang w:eastAsia="zh-CN"/>
        </w:rPr>
        <w:t>，</w:t>
      </w:r>
      <w:r>
        <w:rPr>
          <w:rFonts w:ascii="Times New Roman" w:hAnsi="Times New Roman"/>
          <w:color w:val="auto"/>
          <w:lang w:eastAsia="zh-CN"/>
        </w:rPr>
        <w:t>应当按照招标文件要求签署、盖章、密封后</w:t>
      </w:r>
      <w:r>
        <w:rPr>
          <w:rFonts w:hint="eastAsia"/>
          <w:color w:val="auto"/>
          <w:lang w:eastAsia="zh-CN"/>
        </w:rPr>
        <w:t>递交，并标明“修改”字样</w:t>
      </w:r>
      <w:r>
        <w:rPr>
          <w:rFonts w:ascii="Times New Roman" w:hAnsi="Times New Roman"/>
          <w:color w:val="auto"/>
          <w:lang w:eastAsia="zh-CN"/>
        </w:rPr>
        <w:t>。投标人撤回投标的通知，必须由法定代表人或其授权代表签字并加盖公章，授权代表应当同时出具法定代表人授权书，并明确“撤回投标”的授权。</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在投标截止时间之后，投标人不得对其投标文件做任何补充或修改。</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投标人在投标有效期</w:t>
      </w:r>
      <w:r>
        <w:rPr>
          <w:rFonts w:hint="eastAsia" w:ascii="Times New Roman" w:hAnsi="Times New Roman"/>
          <w:color w:val="auto"/>
          <w:lang w:eastAsia="zh-CN"/>
        </w:rPr>
        <w:t>期间</w:t>
      </w:r>
      <w:r>
        <w:rPr>
          <w:rFonts w:ascii="Times New Roman" w:hAnsi="Times New Roman"/>
          <w:color w:val="auto"/>
          <w:lang w:eastAsia="zh-CN"/>
        </w:rPr>
        <w:t>不得撤</w:t>
      </w:r>
      <w:r>
        <w:rPr>
          <w:rFonts w:hint="eastAsia" w:ascii="Times New Roman" w:hAnsi="Times New Roman"/>
          <w:color w:val="auto"/>
          <w:lang w:eastAsia="zh-CN"/>
        </w:rPr>
        <w:t>销</w:t>
      </w:r>
      <w:r>
        <w:rPr>
          <w:rFonts w:ascii="Times New Roman" w:hAnsi="Times New Roman"/>
          <w:color w:val="auto"/>
          <w:lang w:eastAsia="zh-CN"/>
        </w:rPr>
        <w:t>其投标，否则其投标保证金将不予退还。</w:t>
      </w:r>
    </w:p>
    <w:p>
      <w:pPr>
        <w:pStyle w:val="4"/>
        <w:keepNext w:val="0"/>
        <w:keepLines w:val="0"/>
        <w:numPr>
          <w:ilvl w:val="1"/>
          <w:numId w:val="10"/>
        </w:numPr>
        <w:ind w:left="723" w:hanging="723"/>
        <w:rPr>
          <w:rFonts w:ascii="Times New Roman" w:hAnsi="Times New Roman"/>
          <w:color w:val="auto"/>
        </w:rPr>
      </w:pPr>
      <w:bookmarkStart w:id="64" w:name="_Toc522883971"/>
      <w:bookmarkStart w:id="65" w:name="_Toc519721497"/>
      <w:r>
        <w:rPr>
          <w:rFonts w:hint="eastAsia" w:ascii="Times New Roman" w:hAnsi="Times New Roman"/>
          <w:color w:val="auto"/>
        </w:rPr>
        <w:t>开标与评标</w:t>
      </w:r>
      <w:bookmarkEnd w:id="64"/>
      <w:bookmarkEnd w:id="65"/>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66" w:name="_Toc522883972"/>
      <w:r>
        <w:rPr>
          <w:rFonts w:hint="eastAsia" w:ascii="Times New Roman" w:cs="Arial"/>
          <w:color w:val="auto"/>
          <w:szCs w:val="24"/>
        </w:rPr>
        <w:t>开标</w:t>
      </w:r>
      <w:bookmarkEnd w:id="66"/>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采购代理机构将按投标邀请</w:t>
      </w:r>
      <w:r>
        <w:rPr>
          <w:rFonts w:ascii="Times New Roman" w:hAnsi="Times New Roman"/>
          <w:color w:val="auto"/>
          <w:lang w:eastAsia="zh-CN"/>
        </w:rPr>
        <w:t>/</w:t>
      </w:r>
      <w:r>
        <w:rPr>
          <w:rFonts w:hint="eastAsia" w:ascii="Times New Roman" w:hAnsi="Times New Roman"/>
          <w:color w:val="auto"/>
          <w:lang w:eastAsia="zh-CN"/>
        </w:rPr>
        <w:t>招标公告（或更正公告）的规定，在投标截止时间的同一时间和投标邀请</w:t>
      </w:r>
      <w:r>
        <w:rPr>
          <w:rFonts w:ascii="Times New Roman" w:hAnsi="Times New Roman"/>
          <w:color w:val="auto"/>
          <w:lang w:eastAsia="zh-CN"/>
        </w:rPr>
        <w:t>/</w:t>
      </w:r>
      <w:r>
        <w:rPr>
          <w:rFonts w:hint="eastAsia" w:ascii="Times New Roman" w:hAnsi="Times New Roman"/>
          <w:color w:val="auto"/>
          <w:lang w:eastAsia="zh-CN"/>
        </w:rPr>
        <w:t>招标公告（或更正公告）规定的地点组织开标。开标由采购代理机构主持，邀请投标人、采购人和有关方面代表参加。参加开标会的代表开标时应出示和递交的材料见“投标人须知前附表”，参加开标会的代表应签到以证明其出席。</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开标时，由采购人与投标人或其推选的代表检查投标文件的密封情况，经确认无误后，由采购代理机构工作人员当众拆封，宣布投标人名称、投标价格和招标文件规定的需要宣布的其它内容。</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开标时投标文件报价出现前后不一致的，除招标文件另有规定外，按照下列规定修正：</w:t>
      </w:r>
    </w:p>
    <w:p>
      <w:pPr>
        <w:pStyle w:val="12"/>
        <w:numPr>
          <w:ilvl w:val="2"/>
          <w:numId w:val="11"/>
        </w:numPr>
        <w:tabs>
          <w:tab w:val="left" w:pos="817"/>
        </w:tabs>
        <w:snapToGrid w:val="0"/>
        <w:spacing w:line="360" w:lineRule="auto"/>
        <w:ind w:left="728"/>
        <w:rPr>
          <w:rFonts w:ascii="Times New Roman" w:hAnsi="Times New Roman"/>
          <w:color w:val="auto"/>
          <w:lang w:eastAsia="zh-CN"/>
        </w:rPr>
      </w:pPr>
      <w:r>
        <w:rPr>
          <w:rFonts w:ascii="Times New Roman" w:hAnsi="Times New Roman"/>
          <w:color w:val="auto"/>
          <w:lang w:eastAsia="zh-CN"/>
        </w:rPr>
        <w:t>投标文件中开标一览表（报价表）内容与投标文件中相应内容不一致的，以开标一览表（报价表）为准；</w:t>
      </w:r>
    </w:p>
    <w:p>
      <w:pPr>
        <w:pStyle w:val="12"/>
        <w:numPr>
          <w:ilvl w:val="2"/>
          <w:numId w:val="11"/>
        </w:numPr>
        <w:tabs>
          <w:tab w:val="left" w:pos="817"/>
        </w:tabs>
        <w:snapToGrid w:val="0"/>
        <w:spacing w:line="360" w:lineRule="auto"/>
        <w:ind w:left="728"/>
        <w:rPr>
          <w:rFonts w:ascii="Times New Roman" w:hAnsi="Times New Roman"/>
          <w:color w:val="auto"/>
          <w:lang w:eastAsia="zh-CN"/>
        </w:rPr>
      </w:pPr>
      <w:r>
        <w:rPr>
          <w:rFonts w:ascii="Times New Roman" w:hAnsi="Times New Roman"/>
          <w:color w:val="auto"/>
          <w:lang w:eastAsia="zh-CN"/>
        </w:rPr>
        <w:t>大写金额和小写金额不一致的，以大写金额为准；</w:t>
      </w:r>
    </w:p>
    <w:p>
      <w:pPr>
        <w:pStyle w:val="12"/>
        <w:numPr>
          <w:ilvl w:val="2"/>
          <w:numId w:val="11"/>
        </w:numPr>
        <w:tabs>
          <w:tab w:val="left" w:pos="817"/>
        </w:tabs>
        <w:snapToGrid w:val="0"/>
        <w:spacing w:line="360" w:lineRule="auto"/>
        <w:ind w:left="728"/>
        <w:rPr>
          <w:rFonts w:ascii="Times New Roman" w:hAnsi="Times New Roman"/>
          <w:color w:val="auto"/>
          <w:lang w:eastAsia="zh-CN"/>
        </w:rPr>
      </w:pPr>
      <w:r>
        <w:rPr>
          <w:rFonts w:ascii="Times New Roman" w:hAnsi="Times New Roman"/>
          <w:color w:val="auto"/>
          <w:lang w:eastAsia="zh-CN"/>
        </w:rPr>
        <w:t>单价金额小数点或者百分比有明显错位的，以开标一览表的总价为准，并修改单价；</w:t>
      </w:r>
    </w:p>
    <w:p>
      <w:pPr>
        <w:pStyle w:val="12"/>
        <w:numPr>
          <w:ilvl w:val="2"/>
          <w:numId w:val="11"/>
        </w:numPr>
        <w:tabs>
          <w:tab w:val="left" w:pos="817"/>
        </w:tabs>
        <w:snapToGrid w:val="0"/>
        <w:spacing w:line="360" w:lineRule="auto"/>
        <w:ind w:left="728"/>
        <w:rPr>
          <w:rFonts w:ascii="Times New Roman" w:hAnsi="Times New Roman"/>
          <w:color w:val="auto"/>
          <w:lang w:eastAsia="zh-CN"/>
        </w:rPr>
      </w:pPr>
      <w:r>
        <w:rPr>
          <w:rFonts w:ascii="Times New Roman" w:hAnsi="Times New Roman"/>
          <w:color w:val="auto"/>
          <w:lang w:eastAsia="zh-CN"/>
        </w:rPr>
        <w:t>总价金额与按单价汇总金额不一致的，以单价金额计算结果为准。</w:t>
      </w:r>
    </w:p>
    <w:p>
      <w:pPr>
        <w:pStyle w:val="12"/>
        <w:numPr>
          <w:ilvl w:val="2"/>
          <w:numId w:val="11"/>
        </w:numPr>
        <w:tabs>
          <w:tab w:val="left" w:pos="817"/>
        </w:tabs>
        <w:snapToGrid w:val="0"/>
        <w:spacing w:line="360" w:lineRule="auto"/>
        <w:ind w:left="728"/>
        <w:rPr>
          <w:rFonts w:ascii="Times New Roman" w:hAnsi="Times New Roman"/>
          <w:color w:val="auto"/>
          <w:lang w:eastAsia="zh-CN"/>
        </w:rPr>
      </w:pPr>
      <w:r>
        <w:rPr>
          <w:rFonts w:ascii="Times New Roman" w:hAnsi="Times New Roman"/>
          <w:color w:val="auto"/>
          <w:lang w:eastAsia="zh-CN"/>
        </w:rPr>
        <w:t>同时出现两种以上不一致的，按照前款规定的顺序修正。修正后的报价经投标人确认后产生约束力，投标人不确认的，其投标无效。</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信用信息查询</w:t>
      </w:r>
    </w:p>
    <w:p>
      <w:pPr>
        <w:pStyle w:val="12"/>
        <w:numPr>
          <w:ilvl w:val="2"/>
          <w:numId w:val="11"/>
        </w:numPr>
        <w:tabs>
          <w:tab w:val="left" w:pos="817"/>
        </w:tabs>
        <w:snapToGrid w:val="0"/>
        <w:spacing w:line="360" w:lineRule="auto"/>
        <w:ind w:left="723" w:hanging="723"/>
        <w:rPr>
          <w:rFonts w:ascii="Times New Roman" w:hAnsi="Times New Roman"/>
          <w:color w:val="auto"/>
          <w:lang w:eastAsia="zh-CN"/>
        </w:rPr>
      </w:pPr>
      <w:r>
        <w:rPr>
          <w:rFonts w:hint="eastAsia" w:ascii="Times New Roman" w:hAnsi="Times New Roman"/>
          <w:color w:val="auto"/>
          <w:lang w:eastAsia="zh-CN"/>
        </w:rPr>
        <w:t>开标时将对各投标人的信用记录进行查询，投标人如有不良信用记录的将在开标记录表中如实记录，各投标人的授权代表须在开标记录表上签字确认。</w:t>
      </w:r>
    </w:p>
    <w:p>
      <w:pPr>
        <w:pStyle w:val="12"/>
        <w:numPr>
          <w:ilvl w:val="2"/>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信用信息查询渠道：</w:t>
      </w:r>
      <w:r>
        <w:rPr>
          <w:rFonts w:hint="eastAsia" w:ascii="Times New Roman" w:hAnsi="Times New Roman"/>
          <w:color w:val="auto"/>
          <w:lang w:eastAsia="zh-CN"/>
        </w:rPr>
        <w:t>信用中国（www.creditchina.gov.cn）</w:t>
      </w:r>
      <w:r>
        <w:rPr>
          <w:rFonts w:ascii="Times New Roman" w:hAnsi="Times New Roman"/>
          <w:color w:val="auto"/>
          <w:lang w:eastAsia="zh-CN"/>
        </w:rPr>
        <w:t>、中国政府采购网（www.ccgp.gov.cn）等。</w:t>
      </w:r>
    </w:p>
    <w:p>
      <w:pPr>
        <w:pStyle w:val="12"/>
        <w:numPr>
          <w:ilvl w:val="2"/>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信用信息查询</w:t>
      </w:r>
      <w:r>
        <w:rPr>
          <w:rFonts w:hint="eastAsia" w:ascii="Times New Roman" w:hAnsi="Times New Roman"/>
          <w:color w:val="auto"/>
          <w:lang w:eastAsia="zh-CN"/>
        </w:rPr>
        <w:t>时间</w:t>
      </w:r>
      <w:r>
        <w:rPr>
          <w:rFonts w:ascii="Times New Roman" w:hAnsi="Times New Roman"/>
          <w:color w:val="auto"/>
          <w:lang w:eastAsia="zh-CN"/>
        </w:rPr>
        <w:t>：</w:t>
      </w:r>
      <w:r>
        <w:rPr>
          <w:rFonts w:hint="eastAsia" w:ascii="Times New Roman" w:hAnsi="Times New Roman"/>
          <w:color w:val="auto"/>
          <w:lang w:eastAsia="zh-CN"/>
        </w:rPr>
        <w:t>开标</w:t>
      </w:r>
      <w:r>
        <w:rPr>
          <w:rFonts w:ascii="Times New Roman" w:hAnsi="Times New Roman"/>
          <w:color w:val="auto"/>
          <w:lang w:eastAsia="zh-CN"/>
        </w:rPr>
        <w:t>时查询投标人的信用信息记录。</w:t>
      </w:r>
    </w:p>
    <w:p>
      <w:pPr>
        <w:pStyle w:val="12"/>
        <w:numPr>
          <w:ilvl w:val="2"/>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信用信息查询记录和证据留存的具体方式：信用信息查询记录将以</w:t>
      </w:r>
      <w:r>
        <w:rPr>
          <w:rFonts w:hint="eastAsia" w:ascii="Times New Roman" w:hAnsi="Times New Roman"/>
          <w:color w:val="auto"/>
          <w:lang w:eastAsia="zh-CN"/>
        </w:rPr>
        <w:t>网页</w:t>
      </w:r>
      <w:r>
        <w:rPr>
          <w:rFonts w:ascii="Times New Roman" w:hAnsi="Times New Roman"/>
          <w:color w:val="auto"/>
          <w:lang w:eastAsia="zh-CN"/>
        </w:rPr>
        <w:t>打印或网页截屏形式与其他采购文件一并保存。</w:t>
      </w:r>
    </w:p>
    <w:p>
      <w:pPr>
        <w:pStyle w:val="12"/>
        <w:numPr>
          <w:ilvl w:val="1"/>
          <w:numId w:val="11"/>
        </w:numPr>
        <w:tabs>
          <w:tab w:val="left" w:pos="817"/>
        </w:tabs>
        <w:snapToGrid w:val="0"/>
        <w:spacing w:line="360" w:lineRule="auto"/>
        <w:ind w:left="723" w:hanging="723"/>
        <w:rPr>
          <w:rFonts w:ascii="Times New Roman" w:hAnsi="Times New Roman"/>
          <w:color w:val="auto"/>
          <w:lang w:eastAsia="zh-CN"/>
        </w:rPr>
      </w:pPr>
      <w:r>
        <w:rPr>
          <w:rFonts w:ascii="Times New Roman" w:hAnsi="Times New Roman"/>
          <w:color w:val="auto"/>
          <w:lang w:eastAsia="zh-CN"/>
        </w:rPr>
        <w:t>采购代理机构将对开标过程进行记录，由参加开标的各投标人代表和相关工作人员签字确认。投标人未参加开标的，视同认可开标结果。</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67" w:name="_Toc522883973"/>
      <w:r>
        <w:rPr>
          <w:rFonts w:hint="eastAsia" w:ascii="Times New Roman" w:cs="Arial"/>
          <w:color w:val="auto"/>
          <w:szCs w:val="24"/>
        </w:rPr>
        <w:t>评标过程及保密原则</w:t>
      </w:r>
      <w:bookmarkEnd w:id="67"/>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开标后到授予中标人合同止，凡与本次招标活动有关的人员对属于审查、澄清、评价的有关资料以及授标意向等，均不得向投标人及其他人员透露。</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有关人员对评标情况以及在评标过程中获悉的国家秘密、商业秘密负有保密责任。</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在评标期间，投标人试图影响采购人或者采购代理机构和评标委员会的任何活动，将导致其投标被</w:t>
      </w:r>
      <w:r>
        <w:rPr>
          <w:rFonts w:hint="eastAsia" w:ascii="Times New Roman" w:hAnsi="Times New Roman"/>
          <w:color w:val="auto"/>
          <w:sz w:val="24"/>
          <w:szCs w:val="24"/>
          <w:lang w:eastAsia="zh-CN"/>
        </w:rPr>
        <w:t>否决</w:t>
      </w:r>
      <w:r>
        <w:rPr>
          <w:rFonts w:ascii="Times New Roman" w:hAnsi="Times New Roman"/>
          <w:color w:val="auto"/>
          <w:sz w:val="24"/>
          <w:szCs w:val="24"/>
          <w:lang w:eastAsia="zh-CN"/>
        </w:rPr>
        <w:t>，并承担相应的法律责任。</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68" w:name="_Toc349730874"/>
      <w:bookmarkStart w:id="69" w:name="_Toc333600716"/>
      <w:bookmarkStart w:id="70" w:name="_Toc431224227"/>
      <w:bookmarkStart w:id="71" w:name="_Toc338944638"/>
      <w:bookmarkStart w:id="72" w:name="_Toc342294747"/>
      <w:bookmarkStart w:id="73" w:name="_Toc152045562"/>
      <w:bookmarkStart w:id="74" w:name="_Toc333599692"/>
      <w:bookmarkStart w:id="75" w:name="_Toc144974530"/>
      <w:bookmarkStart w:id="76" w:name="_Toc342296195"/>
      <w:bookmarkStart w:id="77" w:name="_Toc522883974"/>
      <w:bookmarkStart w:id="78" w:name="_Toc152042338"/>
      <w:bookmarkStart w:id="79" w:name="_Toc179632580"/>
      <w:bookmarkStart w:id="80" w:name="_Toc338943733"/>
      <w:r>
        <w:rPr>
          <w:rFonts w:hint="eastAsia" w:ascii="Times New Roman" w:cs="Arial"/>
          <w:color w:val="auto"/>
          <w:szCs w:val="24"/>
        </w:rPr>
        <w:t>评标</w:t>
      </w:r>
      <w:bookmarkEnd w:id="68"/>
      <w:bookmarkEnd w:id="69"/>
      <w:bookmarkEnd w:id="70"/>
      <w:bookmarkEnd w:id="71"/>
      <w:bookmarkEnd w:id="72"/>
      <w:bookmarkEnd w:id="73"/>
      <w:bookmarkEnd w:id="74"/>
      <w:bookmarkEnd w:id="75"/>
      <w:bookmarkEnd w:id="76"/>
      <w:bookmarkEnd w:id="77"/>
      <w:bookmarkEnd w:id="78"/>
      <w:bookmarkEnd w:id="79"/>
      <w:bookmarkEnd w:id="80"/>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评标委员会</w:t>
      </w:r>
    </w:p>
    <w:p>
      <w:pPr>
        <w:pStyle w:val="51"/>
        <w:numPr>
          <w:ilvl w:val="2"/>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评标委员会由采购人以及有关技术、经济等方面的专家组成，</w:t>
      </w:r>
      <w:r>
        <w:rPr>
          <w:rFonts w:ascii="Times New Roman" w:hAnsi="Times New Roman"/>
          <w:color w:val="auto"/>
          <w:sz w:val="24"/>
          <w:szCs w:val="24"/>
          <w:lang w:eastAsia="zh-CN"/>
        </w:rPr>
        <w:t>成员人数为五人（含）以上单数。其中，技术、经济等方面的专家不得少于成员总数的三分之二。采购金额在1000</w:t>
      </w:r>
      <w:r>
        <w:rPr>
          <w:rFonts w:hint="eastAsia" w:ascii="Times New Roman" w:hAnsi="Times New Roman"/>
          <w:color w:val="auto"/>
          <w:sz w:val="24"/>
          <w:szCs w:val="24"/>
          <w:lang w:eastAsia="zh-CN"/>
        </w:rPr>
        <w:t>万元以上、或技术复杂、或社会影响较大的项目，评标委员会成员人数应当为七人（含）以上单数。评标委员会成员人数以及技术、经济等方面专家的确定方式见“投标人须知”前附表。</w:t>
      </w:r>
    </w:p>
    <w:p>
      <w:pPr>
        <w:pStyle w:val="51"/>
        <w:numPr>
          <w:ilvl w:val="2"/>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评标委员会成员有下列情形之一的，应当回避：</w:t>
      </w:r>
    </w:p>
    <w:p>
      <w:pPr>
        <w:pStyle w:val="32"/>
        <w:widowControl w:val="0"/>
        <w:snapToGrid w:val="0"/>
        <w:spacing w:before="0" w:beforeAutospacing="0" w:after="0" w:afterAutospacing="0" w:line="360" w:lineRule="auto"/>
        <w:ind w:left="723"/>
        <w:rPr>
          <w:rFonts w:ascii="Times New Roman" w:hAnsi="Times New Roman"/>
          <w:color w:val="auto"/>
        </w:rPr>
      </w:pPr>
      <w:r>
        <w:rPr>
          <w:rFonts w:ascii="Times New Roman" w:hAnsi="Times New Roman"/>
          <w:color w:val="auto"/>
        </w:rPr>
        <w:t>（一）参加采购活动前3年内与供应商存在劳动关系；</w:t>
      </w:r>
    </w:p>
    <w:p>
      <w:pPr>
        <w:pStyle w:val="32"/>
        <w:widowControl w:val="0"/>
        <w:snapToGrid w:val="0"/>
        <w:spacing w:before="0" w:beforeAutospacing="0" w:after="0" w:afterAutospacing="0" w:line="360" w:lineRule="auto"/>
        <w:ind w:left="723"/>
        <w:rPr>
          <w:rFonts w:ascii="Times New Roman" w:hAnsi="Times New Roman"/>
          <w:color w:val="auto"/>
        </w:rPr>
      </w:pPr>
      <w:r>
        <w:rPr>
          <w:rFonts w:ascii="Times New Roman" w:hAnsi="Times New Roman"/>
          <w:color w:val="auto"/>
        </w:rPr>
        <w:t>（二）参加采购活动前3年内担任供应商的董事、监事；</w:t>
      </w:r>
    </w:p>
    <w:p>
      <w:pPr>
        <w:pStyle w:val="32"/>
        <w:widowControl w:val="0"/>
        <w:snapToGrid w:val="0"/>
        <w:spacing w:before="0" w:beforeAutospacing="0" w:after="0" w:afterAutospacing="0" w:line="360" w:lineRule="auto"/>
        <w:ind w:left="723"/>
        <w:rPr>
          <w:rFonts w:ascii="Times New Roman" w:hAnsi="Times New Roman"/>
          <w:color w:val="auto"/>
        </w:rPr>
      </w:pPr>
      <w:r>
        <w:rPr>
          <w:rFonts w:ascii="Times New Roman" w:hAnsi="Times New Roman"/>
          <w:color w:val="auto"/>
        </w:rPr>
        <w:t>（三）参加采购活动前3年内是供应商的控股股东或者实际控制人；</w:t>
      </w:r>
    </w:p>
    <w:p>
      <w:pPr>
        <w:pStyle w:val="32"/>
        <w:widowControl w:val="0"/>
        <w:snapToGrid w:val="0"/>
        <w:spacing w:before="0" w:beforeAutospacing="0" w:after="0" w:afterAutospacing="0" w:line="360" w:lineRule="auto"/>
        <w:ind w:left="723"/>
        <w:rPr>
          <w:rFonts w:ascii="Times New Roman" w:hAnsi="Times New Roman"/>
          <w:color w:val="auto"/>
        </w:rPr>
      </w:pPr>
      <w:r>
        <w:rPr>
          <w:rFonts w:ascii="Times New Roman" w:hAnsi="Times New Roman"/>
          <w:color w:val="auto"/>
        </w:rPr>
        <w:t>（四）与供应商的法定代表人或者负责人有夫妻、直系血亲、三代以内旁系血亲或者近姻亲关系；</w:t>
      </w:r>
    </w:p>
    <w:p>
      <w:pPr>
        <w:pStyle w:val="32"/>
        <w:widowControl w:val="0"/>
        <w:snapToGrid w:val="0"/>
        <w:spacing w:before="0" w:beforeAutospacing="0" w:after="0" w:afterAutospacing="0" w:line="360" w:lineRule="auto"/>
        <w:ind w:left="723"/>
        <w:rPr>
          <w:rFonts w:ascii="Times New Roman" w:hAnsi="Times New Roman"/>
          <w:color w:val="auto"/>
        </w:rPr>
      </w:pPr>
      <w:r>
        <w:rPr>
          <w:rFonts w:ascii="Times New Roman" w:hAnsi="Times New Roman"/>
          <w:color w:val="auto"/>
        </w:rPr>
        <w:t>（五）与供应商有其他可能影响政府采购活动公平、公正进行的关系。</w:t>
      </w:r>
    </w:p>
    <w:p>
      <w:pPr>
        <w:pStyle w:val="51"/>
        <w:numPr>
          <w:ilvl w:val="2"/>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评标委员会成员因缺席、回避、擅离职守或者因健康等原因不能继续履行评审专家职责的，采购人或者采购代理机构有权向相关监督管理部门通报。</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评标原则</w:t>
      </w:r>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评标活动遵循公平、公正、科学和择优的原则。</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评标</w:t>
      </w:r>
    </w:p>
    <w:p>
      <w:pPr>
        <w:snapToGrid w:val="0"/>
        <w:spacing w:line="360" w:lineRule="auto"/>
        <w:ind w:left="720"/>
        <w:rPr>
          <w:rFonts w:ascii="Times New Roman" w:hAnsi="Times New Roman"/>
          <w:color w:val="auto"/>
          <w:sz w:val="24"/>
          <w:szCs w:val="24"/>
          <w:lang w:eastAsia="zh-CN"/>
        </w:rPr>
      </w:pPr>
      <w:r>
        <w:rPr>
          <w:rFonts w:hint="eastAsia" w:ascii="Times New Roman" w:hAnsi="Times New Roman"/>
          <w:color w:val="auto"/>
          <w:sz w:val="24"/>
          <w:szCs w:val="24"/>
          <w:lang w:eastAsia="zh-CN"/>
        </w:rPr>
        <w:t>评标委员会按照第四章“资格审查及评标标准和方法”规定的方法、评审因素、标准和程序对投标文件进行评审。第四章“资格审查及评标标准和方法”没有规定的方法、评审因素和标准，不作为评标依据。</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采购人是否授权评标委员会确定中标人见</w:t>
      </w:r>
      <w:r>
        <w:rPr>
          <w:rFonts w:hint="eastAsia" w:ascii="Times New Roman" w:hAnsi="Times New Roman"/>
          <w:color w:val="auto"/>
          <w:sz w:val="24"/>
          <w:szCs w:val="24"/>
          <w:lang w:eastAsia="zh-CN"/>
        </w:rPr>
        <w:t>“投标人须知”前附表。</w:t>
      </w:r>
    </w:p>
    <w:p>
      <w:pPr>
        <w:pStyle w:val="4"/>
        <w:keepNext w:val="0"/>
        <w:keepLines w:val="0"/>
        <w:numPr>
          <w:ilvl w:val="1"/>
          <w:numId w:val="10"/>
        </w:numPr>
        <w:ind w:left="723" w:hanging="723"/>
        <w:rPr>
          <w:rFonts w:ascii="Times New Roman" w:hAnsi="Times New Roman"/>
          <w:color w:val="auto"/>
        </w:rPr>
      </w:pPr>
      <w:bookmarkStart w:id="81" w:name="_Toc522883975"/>
      <w:bookmarkStart w:id="82" w:name="_Toc519721498"/>
      <w:r>
        <w:rPr>
          <w:rFonts w:hint="eastAsia" w:ascii="Times New Roman" w:hAnsi="Times New Roman"/>
          <w:color w:val="auto"/>
        </w:rPr>
        <w:t>确定中标</w:t>
      </w:r>
      <w:bookmarkEnd w:id="81"/>
      <w:bookmarkEnd w:id="82"/>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83" w:name="_Toc522883976"/>
      <w:r>
        <w:rPr>
          <w:rFonts w:hint="eastAsia" w:ascii="Times New Roman" w:cs="Arial"/>
          <w:color w:val="auto"/>
          <w:szCs w:val="24"/>
        </w:rPr>
        <w:t>中标候选人的确定原则及标准</w:t>
      </w:r>
      <w:bookmarkEnd w:id="83"/>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color w:val="auto"/>
          <w:sz w:val="24"/>
          <w:szCs w:val="24"/>
          <w:lang w:eastAsia="zh-CN"/>
        </w:rPr>
        <w:t>评标委员会根据招标文件</w:t>
      </w:r>
      <w:r>
        <w:rPr>
          <w:rFonts w:hint="eastAsia"/>
          <w:color w:val="auto"/>
          <w:sz w:val="24"/>
          <w:szCs w:val="24"/>
          <w:lang w:eastAsia="zh-CN"/>
        </w:rPr>
        <w:t>规定</w:t>
      </w:r>
      <w:r>
        <w:rPr>
          <w:color w:val="auto"/>
          <w:sz w:val="24"/>
          <w:szCs w:val="24"/>
          <w:lang w:eastAsia="zh-CN"/>
        </w:rPr>
        <w:t>的评标方法和评审标准，</w:t>
      </w:r>
      <w:r>
        <w:rPr>
          <w:rFonts w:hint="eastAsia"/>
          <w:color w:val="auto"/>
          <w:sz w:val="24"/>
          <w:szCs w:val="24"/>
          <w:lang w:eastAsia="zh-CN"/>
        </w:rPr>
        <w:t>对投标人的投标文件进行评审。除“投标人须知”前附表规定评标委员会直接确定中标人外，采购人依据评标委员会推荐的中标候选人确定中标人，评标委员会推荐中标候选人的数量见“投标人须知”前附表</w:t>
      </w:r>
      <w:r>
        <w:rPr>
          <w:color w:val="auto"/>
          <w:spacing w:val="-12"/>
          <w:sz w:val="24"/>
          <w:szCs w:val="24"/>
          <w:lang w:eastAsia="zh-CN"/>
        </w:rPr>
        <w:t>。</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84" w:name="_Toc522883977"/>
      <w:r>
        <w:rPr>
          <w:rFonts w:hint="eastAsia" w:ascii="Times New Roman" w:cs="Arial"/>
          <w:color w:val="auto"/>
          <w:szCs w:val="24"/>
        </w:rPr>
        <w:t>确定中标人</w:t>
      </w:r>
      <w:bookmarkEnd w:id="84"/>
    </w:p>
    <w:p>
      <w:pPr>
        <w:pStyle w:val="51"/>
        <w:numPr>
          <w:ilvl w:val="1"/>
          <w:numId w:val="11"/>
        </w:numPr>
        <w:tabs>
          <w:tab w:val="left" w:pos="1057"/>
          <w:tab w:val="left" w:pos="1058"/>
        </w:tabs>
        <w:snapToGrid w:val="0"/>
        <w:spacing w:line="360" w:lineRule="auto"/>
        <w:ind w:left="723" w:hanging="723"/>
        <w:rPr>
          <w:rFonts w:ascii="Times New Roman" w:hAnsi="Times New Roman"/>
          <w:color w:val="auto"/>
          <w:spacing w:val="-5"/>
          <w:sz w:val="24"/>
          <w:szCs w:val="24"/>
          <w:lang w:eastAsia="zh-CN"/>
        </w:rPr>
      </w:pPr>
      <w:r>
        <w:rPr>
          <w:rFonts w:hint="eastAsia" w:ascii="Times New Roman" w:hAnsi="Times New Roman"/>
          <w:color w:val="auto"/>
          <w:spacing w:val="-5"/>
          <w:sz w:val="24"/>
          <w:szCs w:val="24"/>
          <w:lang w:eastAsia="zh-CN"/>
        </w:rPr>
        <w:t>采购人按照评标委员会推荐的中标候选人顺序确定中标人并向其授予合同。</w:t>
      </w:r>
      <w:r>
        <w:rPr>
          <w:rFonts w:hint="eastAsia" w:ascii="Times New Roman" w:hAnsi="Times New Roman"/>
          <w:color w:val="auto"/>
          <w:sz w:val="24"/>
          <w:szCs w:val="24"/>
          <w:lang w:eastAsia="zh-CN"/>
        </w:rPr>
        <w:t>排序</w:t>
      </w:r>
      <w:r>
        <w:rPr>
          <w:rFonts w:hint="eastAsia" w:ascii="Times New Roman" w:hAnsi="Times New Roman"/>
          <w:color w:val="auto"/>
          <w:spacing w:val="-5"/>
          <w:sz w:val="24"/>
          <w:szCs w:val="24"/>
          <w:lang w:eastAsia="zh-CN"/>
        </w:rPr>
        <w:t>在前的中标候选人因不可抗力或者自身原因不能履行合同，或者本文件规定应当提交履约保证金而在规定期限未能提交的，采购人将把合同授予排序其后的中标候选人。</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85" w:name="_Toc522883978"/>
      <w:r>
        <w:rPr>
          <w:rFonts w:hint="eastAsia" w:ascii="Times New Roman" w:cs="Arial"/>
          <w:color w:val="auto"/>
          <w:szCs w:val="24"/>
        </w:rPr>
        <w:t>接受和拒绝任何或所有投标的权利</w:t>
      </w:r>
      <w:bookmarkEnd w:id="85"/>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为维护国家和社会公共利益，采购人保留在授标之前任何时候接受或拒绝任何投标人中标的权利，且对受影响的投标人不承担任何责任。</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pacing w:val="-2"/>
          <w:sz w:val="24"/>
          <w:szCs w:val="24"/>
          <w:lang w:eastAsia="zh-CN"/>
        </w:rPr>
        <w:t>因</w:t>
      </w:r>
      <w:r>
        <w:rPr>
          <w:rFonts w:ascii="Times New Roman" w:hAnsi="Times New Roman"/>
          <w:color w:val="auto"/>
          <w:spacing w:val="-5"/>
          <w:sz w:val="24"/>
          <w:szCs w:val="24"/>
          <w:lang w:eastAsia="zh-CN"/>
        </w:rPr>
        <w:t>不可抗力</w:t>
      </w:r>
      <w:r>
        <w:rPr>
          <w:rFonts w:ascii="Times New Roman" w:hAnsi="Times New Roman"/>
          <w:color w:val="auto"/>
          <w:spacing w:val="-2"/>
          <w:sz w:val="24"/>
          <w:szCs w:val="24"/>
          <w:lang w:eastAsia="zh-CN"/>
        </w:rPr>
        <w:t>或中标人自身原因不能履约等情形，采购人保留与其他中标候选人签订合同的权利。</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86" w:name="_Toc522883979"/>
      <w:r>
        <w:rPr>
          <w:rFonts w:hint="eastAsia" w:ascii="Times New Roman" w:cs="Arial"/>
          <w:color w:val="auto"/>
          <w:szCs w:val="24"/>
        </w:rPr>
        <w:t>中标通知书</w:t>
      </w:r>
      <w:bookmarkEnd w:id="86"/>
    </w:p>
    <w:p>
      <w:pPr>
        <w:pStyle w:val="51"/>
        <w:numPr>
          <w:ilvl w:val="1"/>
          <w:numId w:val="11"/>
        </w:numPr>
        <w:tabs>
          <w:tab w:val="left" w:pos="1058"/>
        </w:tabs>
        <w:snapToGrid w:val="0"/>
        <w:spacing w:line="360" w:lineRule="auto"/>
        <w:ind w:left="723" w:hanging="723"/>
        <w:rPr>
          <w:rFonts w:ascii="Times New Roman" w:hAnsi="Times New Roman"/>
          <w:color w:val="auto"/>
          <w:sz w:val="24"/>
          <w:szCs w:val="24"/>
          <w:lang w:eastAsia="zh-CN"/>
        </w:rPr>
      </w:pPr>
      <w:r>
        <w:rPr>
          <w:rFonts w:hint="eastAsia"/>
          <w:color w:val="auto"/>
          <w:spacing w:val="-5"/>
          <w:sz w:val="24"/>
          <w:szCs w:val="24"/>
          <w:lang w:eastAsia="zh-CN"/>
        </w:rPr>
        <w:t>采购人在评标报告确定的中标候选人名单中按顺序确定中标人。中标候选人并列的，由采购人或者采购人委托评标委员会按照</w:t>
      </w:r>
      <w:r>
        <w:rPr>
          <w:rFonts w:hint="eastAsia"/>
          <w:color w:val="auto"/>
          <w:sz w:val="24"/>
          <w:szCs w:val="24"/>
          <w:lang w:eastAsia="zh-CN"/>
        </w:rPr>
        <w:t>“投标人须知”前附表</w:t>
      </w:r>
      <w:r>
        <w:rPr>
          <w:rFonts w:hint="eastAsia"/>
          <w:color w:val="auto"/>
          <w:spacing w:val="-5"/>
          <w:sz w:val="24"/>
          <w:szCs w:val="24"/>
          <w:lang w:eastAsia="zh-CN"/>
        </w:rPr>
        <w:t>规定的方式确定中标人；招标文件未规定的，采取随机抽取的方式确定。采购代理机构自中标人确定后在发布招标公告的同一媒体上公告中标结果。中标公告期限见“投标人须知”前附表。在公告中标结果的同时，采购人或者采购代理机构向中标人发出中标通知书。</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投标人可通过相关发布媒体查询中标结果。</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pacing w:val="-5"/>
          <w:sz w:val="24"/>
          <w:szCs w:val="24"/>
          <w:lang w:eastAsia="zh-CN"/>
        </w:rPr>
        <w:t>中标通知书</w:t>
      </w:r>
      <w:r>
        <w:rPr>
          <w:rFonts w:ascii="Times New Roman" w:hAnsi="Times New Roman"/>
          <w:color w:val="auto"/>
          <w:sz w:val="24"/>
          <w:szCs w:val="24"/>
          <w:lang w:eastAsia="zh-CN"/>
        </w:rPr>
        <w:t>是合同的组成部分。</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87" w:name="_Toc522883980"/>
      <w:r>
        <w:rPr>
          <w:rFonts w:hint="eastAsia" w:ascii="Times New Roman" w:cs="Arial"/>
          <w:color w:val="auto"/>
          <w:szCs w:val="24"/>
        </w:rPr>
        <w:t>签订合同</w:t>
      </w:r>
      <w:bookmarkEnd w:id="87"/>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pacing w:val="-4"/>
          <w:sz w:val="24"/>
          <w:szCs w:val="24"/>
          <w:lang w:eastAsia="zh-CN"/>
        </w:rPr>
        <w:t xml:space="preserve">中标人应当自中标通知书发出之日起 </w:t>
      </w:r>
      <w:r>
        <w:rPr>
          <w:rFonts w:ascii="Times New Roman" w:hAnsi="Times New Roman"/>
          <w:color w:val="auto"/>
          <w:sz w:val="24"/>
          <w:szCs w:val="24"/>
          <w:lang w:eastAsia="zh-CN"/>
        </w:rPr>
        <w:t>30</w:t>
      </w:r>
      <w:r>
        <w:rPr>
          <w:rFonts w:ascii="Times New Roman" w:hAnsi="Times New Roman"/>
          <w:color w:val="auto"/>
          <w:spacing w:val="-10"/>
          <w:sz w:val="24"/>
          <w:szCs w:val="24"/>
          <w:lang w:eastAsia="zh-CN"/>
        </w:rPr>
        <w:t>日内，与采购人签订政府采购合同。</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pacing w:val="-5"/>
          <w:sz w:val="24"/>
          <w:szCs w:val="24"/>
          <w:lang w:eastAsia="zh-CN"/>
        </w:rPr>
        <w:t>招标文件</w:t>
      </w:r>
      <w:r>
        <w:rPr>
          <w:rFonts w:ascii="Times New Roman" w:hAnsi="Times New Roman"/>
          <w:color w:val="auto"/>
          <w:sz w:val="24"/>
          <w:szCs w:val="24"/>
          <w:lang w:eastAsia="zh-CN"/>
        </w:rPr>
        <w:t>及其补充文件、中标人的投标文件及其澄清文件等，均为签订合同的依据。</w:t>
      </w:r>
    </w:p>
    <w:p>
      <w:pPr>
        <w:pStyle w:val="51"/>
        <w:numPr>
          <w:ilvl w:val="1"/>
          <w:numId w:val="11"/>
        </w:numPr>
        <w:tabs>
          <w:tab w:val="left" w:pos="1058"/>
        </w:tabs>
        <w:snapToGrid w:val="0"/>
        <w:spacing w:line="360" w:lineRule="auto"/>
        <w:ind w:left="723" w:hanging="723"/>
        <w:jc w:val="both"/>
        <w:rPr>
          <w:rFonts w:ascii="Times New Roman" w:hAnsi="Times New Roman"/>
          <w:color w:val="auto"/>
          <w:sz w:val="24"/>
          <w:szCs w:val="24"/>
          <w:lang w:eastAsia="zh-CN"/>
        </w:rPr>
      </w:pPr>
      <w:r>
        <w:rPr>
          <w:rFonts w:ascii="Times New Roman" w:hAnsi="Times New Roman"/>
          <w:color w:val="auto"/>
          <w:sz w:val="24"/>
          <w:szCs w:val="24"/>
          <w:lang w:eastAsia="zh-CN"/>
        </w:rPr>
        <w:t>中标人拒绝与采购人签订合同的，采购人可以按照评标报告推荐的中标候选人名单</w:t>
      </w:r>
      <w:r>
        <w:rPr>
          <w:rFonts w:hint="eastAsia" w:ascii="Times New Roman" w:hAnsi="Times New Roman"/>
          <w:color w:val="auto"/>
          <w:sz w:val="24"/>
          <w:szCs w:val="24"/>
          <w:lang w:eastAsia="zh-CN"/>
        </w:rPr>
        <w:t>顺序</w:t>
      </w:r>
      <w:r>
        <w:rPr>
          <w:rFonts w:ascii="Times New Roman" w:hAnsi="Times New Roman"/>
          <w:color w:val="auto"/>
          <w:sz w:val="24"/>
          <w:szCs w:val="24"/>
          <w:lang w:eastAsia="zh-CN"/>
        </w:rPr>
        <w:t>，确定下一候选人为中标人，也可以重新开展政府采购活动。</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政府采购合同履行中，采购人可以与中标人签订补充合同，但补充合同必须符合政府采购的相关法律法规等有关规定。</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88" w:name="_Toc522883981"/>
      <w:r>
        <w:rPr>
          <w:rFonts w:hint="eastAsia" w:ascii="Times New Roman" w:cs="Arial"/>
          <w:color w:val="auto"/>
          <w:szCs w:val="24"/>
        </w:rPr>
        <w:t>履约保证金</w:t>
      </w:r>
      <w:bookmarkEnd w:id="88"/>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color w:val="auto"/>
          <w:spacing w:val="-5"/>
          <w:sz w:val="24"/>
          <w:szCs w:val="24"/>
          <w:lang w:eastAsia="zh-CN"/>
        </w:rPr>
        <w:t>在签订合同前，中标人应按“投标人须知”前附表规定的形式、金额和招标文件第六章“投标文件格式”规定的或者事先经过采购人书面认可的履约保证金格式向采购人提交履约保证金。联合体中标的，其履约保证金以联合体各方或者联合体中牵头人的名义提交</w:t>
      </w:r>
      <w:r>
        <w:rPr>
          <w:color w:val="auto"/>
          <w:sz w:val="24"/>
          <w:szCs w:val="24"/>
          <w:lang w:eastAsia="zh-CN"/>
        </w:rPr>
        <w:t>。</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如果中标人没有按照招标文件规定提交履约保证金，采购人有权取消该中标决定，并没收其投标保证金。在此情况下，采购人可另选下一候选人，或重新招标。</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89" w:name="_Toc522883982"/>
      <w:r>
        <w:rPr>
          <w:rFonts w:hint="eastAsia" w:ascii="Times New Roman" w:cs="Arial"/>
          <w:color w:val="auto"/>
          <w:szCs w:val="24"/>
        </w:rPr>
        <w:t>废标情况</w:t>
      </w:r>
      <w:bookmarkEnd w:id="89"/>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在招标采购中，出现下列情形之一的，应予废标：</w:t>
      </w:r>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w:t>
      </w:r>
      <w:r>
        <w:rPr>
          <w:rFonts w:ascii="Times New Roman" w:hAnsi="Times New Roman"/>
          <w:color w:val="auto"/>
          <w:sz w:val="24"/>
          <w:szCs w:val="24"/>
          <w:lang w:eastAsia="zh-CN"/>
        </w:rPr>
        <w:t>1</w:t>
      </w:r>
      <w:r>
        <w:rPr>
          <w:rFonts w:hint="eastAsia" w:ascii="Times New Roman" w:hAnsi="Times New Roman"/>
          <w:color w:val="auto"/>
          <w:sz w:val="24"/>
          <w:szCs w:val="24"/>
          <w:lang w:eastAsia="zh-CN"/>
        </w:rPr>
        <w:t>）符合专业条件的投标人或者对招标文件作出实质响应的投标人不足三家的；</w:t>
      </w:r>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w:t>
      </w:r>
      <w:r>
        <w:rPr>
          <w:rFonts w:ascii="Times New Roman" w:hAnsi="Times New Roman"/>
          <w:color w:val="auto"/>
          <w:sz w:val="24"/>
          <w:szCs w:val="24"/>
          <w:lang w:eastAsia="zh-CN"/>
        </w:rPr>
        <w:t>2</w:t>
      </w:r>
      <w:r>
        <w:rPr>
          <w:rFonts w:hint="eastAsia" w:ascii="Times New Roman" w:hAnsi="Times New Roman"/>
          <w:color w:val="auto"/>
          <w:sz w:val="24"/>
          <w:szCs w:val="24"/>
          <w:lang w:eastAsia="zh-CN"/>
        </w:rPr>
        <w:t>）出现影响采购公正的违法、违规行为的；</w:t>
      </w:r>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w:t>
      </w:r>
      <w:r>
        <w:rPr>
          <w:rFonts w:ascii="Times New Roman" w:hAnsi="Times New Roman"/>
          <w:color w:val="auto"/>
          <w:sz w:val="24"/>
          <w:szCs w:val="24"/>
          <w:lang w:eastAsia="zh-CN"/>
        </w:rPr>
        <w:t>3</w:t>
      </w:r>
      <w:r>
        <w:rPr>
          <w:rFonts w:hint="eastAsia" w:ascii="Times New Roman" w:hAnsi="Times New Roman"/>
          <w:color w:val="auto"/>
          <w:sz w:val="24"/>
          <w:szCs w:val="24"/>
          <w:lang w:eastAsia="zh-CN"/>
        </w:rPr>
        <w:t>）投标人的报价均超过了采购预算，采购人不能支付的；</w:t>
      </w:r>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w:t>
      </w:r>
      <w:r>
        <w:rPr>
          <w:rFonts w:ascii="Times New Roman" w:hAnsi="Times New Roman"/>
          <w:color w:val="auto"/>
          <w:sz w:val="24"/>
          <w:szCs w:val="24"/>
          <w:lang w:eastAsia="zh-CN"/>
        </w:rPr>
        <w:t>4</w:t>
      </w:r>
      <w:r>
        <w:rPr>
          <w:rFonts w:hint="eastAsia" w:ascii="Times New Roman" w:hAnsi="Times New Roman"/>
          <w:color w:val="auto"/>
          <w:sz w:val="24"/>
          <w:szCs w:val="24"/>
          <w:lang w:eastAsia="zh-CN"/>
        </w:rPr>
        <w:t>）因重大变故，采购任务取消的。</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90" w:name="_Toc522883983"/>
      <w:r>
        <w:rPr>
          <w:rFonts w:hint="eastAsia" w:ascii="Times New Roman" w:cs="Arial"/>
          <w:color w:val="auto"/>
          <w:szCs w:val="24"/>
        </w:rPr>
        <w:t>投标人质疑</w:t>
      </w:r>
      <w:bookmarkEnd w:id="90"/>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pacing w:val="-5"/>
          <w:sz w:val="24"/>
          <w:szCs w:val="24"/>
          <w:lang w:eastAsia="zh-CN"/>
        </w:rPr>
        <w:t>提出质疑的投标人应当是参与所质疑项目采购活动的投标人。投标人</w:t>
      </w:r>
      <w:r>
        <w:rPr>
          <w:rFonts w:hint="eastAsia" w:ascii="Times New Roman" w:hAnsi="Times New Roman"/>
          <w:color w:val="auto"/>
          <w:sz w:val="24"/>
          <w:szCs w:val="24"/>
          <w:lang w:eastAsia="zh-CN"/>
        </w:rPr>
        <w:t>提出质疑的范围，只限于招标文件、招标过程以及中标结果三个方面的事项。</w:t>
      </w:r>
      <w:r>
        <w:rPr>
          <w:rFonts w:ascii="Times New Roman" w:hAnsi="Times New Roman"/>
          <w:color w:val="auto"/>
          <w:sz w:val="24"/>
          <w:szCs w:val="24"/>
          <w:lang w:eastAsia="zh-CN"/>
        </w:rPr>
        <w:t>投标人提出质疑的，应当</w:t>
      </w:r>
      <w:r>
        <w:rPr>
          <w:rFonts w:hint="eastAsia" w:ascii="Times New Roman" w:hAnsi="Times New Roman"/>
          <w:color w:val="auto"/>
          <w:sz w:val="24"/>
          <w:szCs w:val="24"/>
          <w:lang w:eastAsia="zh-CN"/>
        </w:rPr>
        <w:t>在知道或者应知其权益受到损害之日起7个工作日内</w:t>
      </w:r>
      <w:r>
        <w:rPr>
          <w:rFonts w:ascii="Times New Roman" w:hAnsi="Times New Roman"/>
          <w:color w:val="auto"/>
          <w:sz w:val="24"/>
          <w:szCs w:val="24"/>
          <w:lang w:eastAsia="zh-CN"/>
        </w:rPr>
        <w:t>提交书面质疑函和必要的证明材料</w:t>
      </w:r>
      <w:r>
        <w:rPr>
          <w:rFonts w:hint="eastAsia" w:ascii="Times New Roman" w:hAnsi="Times New Roman"/>
          <w:color w:val="auto"/>
          <w:sz w:val="24"/>
          <w:szCs w:val="24"/>
          <w:lang w:eastAsia="zh-CN"/>
        </w:rPr>
        <w:t>后向采购人或者采购代理机构提出。</w:t>
      </w:r>
    </w:p>
    <w:p>
      <w:pPr>
        <w:pStyle w:val="51"/>
        <w:numPr>
          <w:ilvl w:val="1"/>
          <w:numId w:val="11"/>
        </w:numPr>
        <w:tabs>
          <w:tab w:val="left" w:pos="1058"/>
        </w:tabs>
        <w:snapToGrid w:val="0"/>
        <w:spacing w:line="360" w:lineRule="auto"/>
        <w:ind w:left="723" w:hanging="723"/>
        <w:rPr>
          <w:rFonts w:ascii="Times New Roman" w:hAnsi="Times New Roman"/>
          <w:color w:val="auto"/>
          <w:sz w:val="24"/>
          <w:szCs w:val="24"/>
          <w:lang w:eastAsia="zh-CN"/>
        </w:rPr>
      </w:pPr>
      <w:r>
        <w:rPr>
          <w:rFonts w:ascii="Times New Roman" w:hAnsi="Times New Roman"/>
          <w:color w:val="auto"/>
          <w:sz w:val="24"/>
          <w:szCs w:val="24"/>
          <w:lang w:eastAsia="zh-CN"/>
        </w:rPr>
        <w:t>投标人可以委托代理人进行质疑。代理人提出质疑的，应当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投标人公章</w:t>
      </w:r>
      <w:r>
        <w:rPr>
          <w:rFonts w:hint="eastAsia" w:ascii="Times New Roman" w:hAnsi="Times New Roman"/>
          <w:color w:val="auto"/>
          <w:sz w:val="24"/>
          <w:szCs w:val="24"/>
          <w:lang w:eastAsia="zh-CN"/>
        </w:rPr>
        <w:t>。</w:t>
      </w:r>
    </w:p>
    <w:p>
      <w:pPr>
        <w:pStyle w:val="51"/>
        <w:numPr>
          <w:ilvl w:val="1"/>
          <w:numId w:val="11"/>
        </w:numPr>
        <w:tabs>
          <w:tab w:val="left" w:pos="1058"/>
        </w:tabs>
        <w:snapToGrid w:val="0"/>
        <w:spacing w:line="360" w:lineRule="auto"/>
        <w:ind w:left="723" w:hanging="723"/>
        <w:rPr>
          <w:rFonts w:ascii="Times New Roman" w:hAnsi="Times New Roman" w:cs="宋体..蓥栀."/>
          <w:color w:val="auto"/>
          <w:sz w:val="24"/>
          <w:szCs w:val="24"/>
          <w:lang w:eastAsia="zh-CN"/>
        </w:rPr>
      </w:pPr>
      <w:r>
        <w:rPr>
          <w:rFonts w:hint="eastAsia" w:ascii="Times New Roman" w:hAnsi="Times New Roman"/>
          <w:color w:val="auto"/>
          <w:spacing w:val="-5"/>
          <w:sz w:val="24"/>
          <w:szCs w:val="24"/>
          <w:lang w:eastAsia="zh-CN"/>
        </w:rPr>
        <w:t>投标人</w:t>
      </w:r>
      <w:r>
        <w:rPr>
          <w:rFonts w:hint="eastAsia" w:ascii="Times New Roman" w:hAnsi="Times New Roman" w:cs="宋体..蓥栀."/>
          <w:color w:val="auto"/>
          <w:sz w:val="24"/>
          <w:szCs w:val="24"/>
          <w:lang w:eastAsia="zh-CN"/>
        </w:rPr>
        <w:t>提出质疑应当提交质疑函和必要的证明材料。</w:t>
      </w:r>
      <w:r>
        <w:rPr>
          <w:rFonts w:ascii="Times New Roman" w:hAnsi="Times New Roman"/>
          <w:color w:val="auto"/>
          <w:sz w:val="24"/>
          <w:szCs w:val="24"/>
          <w:lang w:eastAsia="zh-CN"/>
        </w:rPr>
        <w:t>投</w:t>
      </w:r>
      <w:r>
        <w:rPr>
          <w:rFonts w:ascii="Times New Roman" w:hAnsi="Times New Roman" w:cs="宋体..蓥栀."/>
          <w:color w:val="auto"/>
          <w:sz w:val="24"/>
          <w:szCs w:val="24"/>
          <w:lang w:eastAsia="zh-CN"/>
        </w:rPr>
        <w:t>标人提交的质疑函应当</w:t>
      </w:r>
      <w:r>
        <w:rPr>
          <w:rFonts w:hint="eastAsia" w:ascii="Times New Roman" w:hAnsi="Times New Roman" w:cs="宋体..蓥栀."/>
          <w:color w:val="auto"/>
          <w:sz w:val="24"/>
          <w:szCs w:val="24"/>
          <w:lang w:eastAsia="zh-CN"/>
        </w:rPr>
        <w:t>符合《政府采购质疑和投诉办法》（财政部令第94号）的相关规定。否则，采购人或者采购代理机构可以拒收其质疑函。</w:t>
      </w:r>
    </w:p>
    <w:p>
      <w:pPr>
        <w:pStyle w:val="51"/>
        <w:numPr>
          <w:ilvl w:val="1"/>
          <w:numId w:val="11"/>
        </w:numPr>
        <w:tabs>
          <w:tab w:val="left" w:pos="1058"/>
        </w:tabs>
        <w:snapToGrid w:val="0"/>
        <w:spacing w:line="360" w:lineRule="auto"/>
        <w:ind w:left="723" w:hanging="723"/>
        <w:rPr>
          <w:rFonts w:ascii="Times New Roman" w:hAnsi="Times New Roman"/>
          <w:color w:val="auto"/>
          <w:sz w:val="24"/>
          <w:szCs w:val="24"/>
          <w:lang w:eastAsia="zh-CN"/>
        </w:rPr>
      </w:pPr>
      <w:r>
        <w:rPr>
          <w:rFonts w:hint="eastAsia" w:cs="宋体..蓥栀."/>
          <w:color w:val="auto"/>
          <w:sz w:val="24"/>
          <w:szCs w:val="24"/>
          <w:lang w:eastAsia="zh-CN"/>
        </w:rPr>
        <w:t>投标人不得进行虚假、恶意的质疑，不得扰乱政府采购正常的工作秩序。</w:t>
      </w:r>
    </w:p>
    <w:p>
      <w:pPr>
        <w:pStyle w:val="51"/>
        <w:numPr>
          <w:ilvl w:val="1"/>
          <w:numId w:val="11"/>
        </w:numPr>
        <w:tabs>
          <w:tab w:val="left" w:pos="1058"/>
        </w:tabs>
        <w:snapToGrid w:val="0"/>
        <w:spacing w:line="360" w:lineRule="auto"/>
        <w:ind w:left="723" w:hanging="723"/>
        <w:rPr>
          <w:rFonts w:ascii="Times New Roman" w:hAnsi="Times New Roman"/>
          <w:color w:val="auto"/>
          <w:sz w:val="24"/>
          <w:szCs w:val="24"/>
          <w:lang w:eastAsia="zh-CN"/>
        </w:rPr>
      </w:pPr>
      <w:r>
        <w:rPr>
          <w:rFonts w:hint="eastAsia" w:cs="宋体..蓥栀."/>
          <w:color w:val="auto"/>
          <w:sz w:val="24"/>
          <w:szCs w:val="24"/>
          <w:lang w:eastAsia="zh-CN"/>
        </w:rPr>
        <w:t>投标人如果捏造事实、提供虚假材料或者以非法手段取得证明材料进行质疑的，或在质疑过程中采取不正当手段诋毁、排挤其他投标人的，</w:t>
      </w:r>
      <w:r>
        <w:rPr>
          <w:rFonts w:hint="eastAsia" w:ascii="Times New Roman" w:hAnsi="Times New Roman"/>
          <w:color w:val="auto"/>
          <w:sz w:val="24"/>
          <w:szCs w:val="24"/>
          <w:lang w:eastAsia="zh-CN"/>
        </w:rPr>
        <w:t>属于虚假、恶意投诉，由财政部门列入不良行为记录名单，禁止其</w:t>
      </w:r>
      <w:r>
        <w:rPr>
          <w:rFonts w:ascii="Times New Roman" w:hAnsi="Times New Roman"/>
          <w:color w:val="auto"/>
          <w:sz w:val="24"/>
          <w:szCs w:val="24"/>
          <w:lang w:eastAsia="zh-CN"/>
        </w:rPr>
        <w:t>1</w:t>
      </w:r>
      <w:r>
        <w:rPr>
          <w:rFonts w:hint="eastAsia" w:ascii="Times New Roman" w:hAnsi="Times New Roman"/>
          <w:color w:val="auto"/>
          <w:sz w:val="24"/>
          <w:szCs w:val="24"/>
          <w:lang w:eastAsia="zh-CN"/>
        </w:rPr>
        <w:t>至</w:t>
      </w:r>
      <w:r>
        <w:rPr>
          <w:rFonts w:ascii="Times New Roman" w:hAnsi="Times New Roman"/>
          <w:color w:val="auto"/>
          <w:sz w:val="24"/>
          <w:szCs w:val="24"/>
          <w:lang w:eastAsia="zh-CN"/>
        </w:rPr>
        <w:t>3</w:t>
      </w:r>
      <w:r>
        <w:rPr>
          <w:rFonts w:hint="eastAsia" w:ascii="Times New Roman" w:hAnsi="Times New Roman"/>
          <w:color w:val="auto"/>
          <w:sz w:val="24"/>
          <w:szCs w:val="24"/>
          <w:lang w:eastAsia="zh-CN"/>
        </w:rPr>
        <w:t>年内参加政府采购活动</w:t>
      </w:r>
      <w:r>
        <w:rPr>
          <w:rFonts w:hint="eastAsia" w:cs="宋体..蓥栀."/>
          <w:color w:val="auto"/>
          <w:sz w:val="24"/>
          <w:szCs w:val="24"/>
          <w:lang w:eastAsia="zh-CN"/>
        </w:rPr>
        <w:t>。情节严重的，吊销营业执照，构成犯罪的，依法追究刑事责任。</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91" w:name="_Toc522883984"/>
      <w:r>
        <w:rPr>
          <w:rFonts w:hint="eastAsia" w:ascii="Times New Roman" w:cs="Arial"/>
          <w:color w:val="auto"/>
          <w:szCs w:val="24"/>
        </w:rPr>
        <w:t>投诉</w:t>
      </w:r>
      <w:bookmarkEnd w:id="91"/>
    </w:p>
    <w:p>
      <w:pPr>
        <w:pStyle w:val="70"/>
        <w:numPr>
          <w:ilvl w:val="0"/>
          <w:numId w:val="0"/>
        </w:numPr>
        <w:snapToGrid w:val="0"/>
        <w:spacing w:line="360" w:lineRule="auto"/>
        <w:ind w:left="723"/>
        <w:rPr>
          <w:rFonts w:ascii="Times New Roman" w:hAnsi="Times New Roman" w:cs="微软雅黑"/>
          <w:color w:val="auto"/>
          <w:sz w:val="24"/>
          <w:szCs w:val="24"/>
        </w:rPr>
      </w:pPr>
      <w:r>
        <w:rPr>
          <w:rFonts w:hint="eastAsia" w:ascii="Times New Roman" w:hAnsi="Times New Roman" w:cs="微软雅黑"/>
          <w:color w:val="auto"/>
          <w:sz w:val="24"/>
          <w:szCs w:val="24"/>
        </w:rPr>
        <w:t>质疑供应商对质疑答复不满意，或者采购人或者采购代理机构未在规定时间内作出答复的，可以在答复期满后15个工作日内向财政部门提起投诉。</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92" w:name="_Toc522883985"/>
      <w:r>
        <w:rPr>
          <w:rFonts w:hint="eastAsia" w:ascii="Times New Roman" w:cs="Arial"/>
          <w:color w:val="auto"/>
          <w:szCs w:val="24"/>
        </w:rPr>
        <w:t>保密和披露</w:t>
      </w:r>
      <w:bookmarkEnd w:id="92"/>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投标人自领取招标文件之日起，须承诺承担本招标项目下保密义务，不得将获得的信息向第三人泄露。</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采购人或采购代理机构有权将投标人提供的所有资料向有关政府部门或评审投标文件的有关人员披露。</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在</w:t>
      </w:r>
      <w:r>
        <w:rPr>
          <w:rFonts w:hint="eastAsia" w:ascii="Times New Roman" w:hAnsi="Times New Roman"/>
          <w:color w:val="auto"/>
          <w:spacing w:val="-5"/>
          <w:sz w:val="24"/>
          <w:szCs w:val="24"/>
          <w:lang w:eastAsia="zh-CN"/>
        </w:rPr>
        <w:t>采购</w:t>
      </w:r>
      <w:r>
        <w:rPr>
          <w:rFonts w:hint="eastAsia" w:ascii="Times New Roman" w:hAnsi="Times New Roman"/>
          <w:color w:val="auto"/>
          <w:sz w:val="24"/>
          <w:szCs w:val="24"/>
          <w:lang w:eastAsia="zh-CN"/>
        </w:rPr>
        <w:t>人或采购代理机构认为适当时、国家机关调查、审查、审计时以及其他符合法律规定的情形下，采购人或采购代理机构无须事先征求投标人同意而可以披露关于投标人的名称及地址、投标文件的有关信息、招标过程、合同文本及签署情况的资料等内容（但应当在合理的必要范围内）。对任何已经公布过的内容或与之内容相同的资料，以及投标人已经泄露或公开的，无须再承担保密责任。</w:t>
      </w:r>
    </w:p>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93" w:name="_Toc333599704"/>
      <w:bookmarkStart w:id="94" w:name="_Toc333600728"/>
      <w:bookmarkStart w:id="95" w:name="_Toc342294759"/>
      <w:bookmarkStart w:id="96" w:name="_Toc349730886"/>
      <w:bookmarkStart w:id="97" w:name="_Toc338944650"/>
      <w:bookmarkStart w:id="98" w:name="_Toc152042350"/>
      <w:bookmarkStart w:id="99" w:name="_Toc522883986"/>
      <w:bookmarkStart w:id="100" w:name="_Toc338943745"/>
      <w:bookmarkStart w:id="101" w:name="_Toc144974542"/>
      <w:bookmarkStart w:id="102" w:name="_Toc152045574"/>
      <w:bookmarkStart w:id="103" w:name="_Toc431224239"/>
      <w:bookmarkStart w:id="104" w:name="_Toc179632592"/>
      <w:bookmarkStart w:id="105" w:name="_Toc342296207"/>
      <w:r>
        <w:rPr>
          <w:rFonts w:hint="eastAsia" w:ascii="Times New Roman" w:cs="Arial"/>
          <w:color w:val="auto"/>
          <w:szCs w:val="24"/>
        </w:rPr>
        <w:t>纪律和监督</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bookmarkStart w:id="106" w:name="_Toc431224240"/>
      <w:bookmarkStart w:id="107" w:name="_Toc152045575"/>
      <w:bookmarkStart w:id="108" w:name="_Toc338943746"/>
      <w:bookmarkStart w:id="109" w:name="_Toc333587899"/>
      <w:bookmarkStart w:id="110" w:name="_Toc333600729"/>
      <w:bookmarkStart w:id="111" w:name="_Toc333599705"/>
      <w:bookmarkStart w:id="112" w:name="_Toc338944651"/>
      <w:bookmarkStart w:id="113" w:name="_Toc342294760"/>
      <w:bookmarkStart w:id="114" w:name="_Toc179632593"/>
      <w:bookmarkStart w:id="115" w:name="_Toc349730887"/>
      <w:bookmarkStart w:id="116" w:name="_Toc144974543"/>
      <w:bookmarkStart w:id="117" w:name="_Toc342296208"/>
      <w:bookmarkStart w:id="118" w:name="_Toc152042351"/>
      <w:r>
        <w:rPr>
          <w:rFonts w:hint="eastAsia" w:ascii="Times New Roman" w:hAnsi="Times New Roman"/>
          <w:color w:val="auto"/>
          <w:sz w:val="24"/>
          <w:szCs w:val="24"/>
          <w:lang w:eastAsia="zh-CN"/>
        </w:rPr>
        <w:t>对采购人的纪律要求</w:t>
      </w:r>
      <w:bookmarkEnd w:id="106"/>
      <w:bookmarkEnd w:id="107"/>
      <w:bookmarkEnd w:id="108"/>
      <w:bookmarkEnd w:id="109"/>
      <w:bookmarkEnd w:id="110"/>
      <w:bookmarkEnd w:id="111"/>
      <w:bookmarkEnd w:id="112"/>
      <w:bookmarkEnd w:id="113"/>
      <w:bookmarkEnd w:id="114"/>
      <w:bookmarkEnd w:id="115"/>
      <w:bookmarkEnd w:id="116"/>
      <w:bookmarkEnd w:id="117"/>
      <w:bookmarkEnd w:id="118"/>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采购人不得泄漏招标投标活动中应当保密的情况和资料，不得与投标人串通损害国家利益、社会公共利益或者他人合法权益。</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bookmarkStart w:id="119" w:name="_Toc342294761"/>
      <w:bookmarkStart w:id="120" w:name="_Toc349730888"/>
      <w:bookmarkStart w:id="121" w:name="_Toc144974544"/>
      <w:bookmarkStart w:id="122" w:name="_Toc333587900"/>
      <w:bookmarkStart w:id="123" w:name="_Toc152045576"/>
      <w:bookmarkStart w:id="124" w:name="_Toc179632594"/>
      <w:bookmarkStart w:id="125" w:name="_Toc333599706"/>
      <w:bookmarkStart w:id="126" w:name="_Toc338943747"/>
      <w:bookmarkStart w:id="127" w:name="_Toc333600730"/>
      <w:bookmarkStart w:id="128" w:name="_Toc338944652"/>
      <w:bookmarkStart w:id="129" w:name="_Toc152042352"/>
      <w:bookmarkStart w:id="130" w:name="_Toc431224241"/>
      <w:bookmarkStart w:id="131" w:name="_Toc342296209"/>
      <w:r>
        <w:rPr>
          <w:rFonts w:hint="eastAsia" w:ascii="Times New Roman" w:hAnsi="Times New Roman"/>
          <w:color w:val="auto"/>
          <w:sz w:val="24"/>
          <w:szCs w:val="24"/>
          <w:lang w:eastAsia="zh-CN"/>
        </w:rPr>
        <w:t>对投标人的纪律要求</w:t>
      </w:r>
      <w:bookmarkEnd w:id="119"/>
      <w:bookmarkEnd w:id="120"/>
      <w:bookmarkEnd w:id="121"/>
      <w:bookmarkEnd w:id="122"/>
      <w:bookmarkEnd w:id="123"/>
      <w:bookmarkEnd w:id="124"/>
      <w:bookmarkEnd w:id="125"/>
      <w:bookmarkEnd w:id="126"/>
      <w:bookmarkEnd w:id="127"/>
      <w:bookmarkEnd w:id="128"/>
      <w:bookmarkEnd w:id="129"/>
      <w:bookmarkEnd w:id="130"/>
      <w:bookmarkEnd w:id="131"/>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投标人不得相互串通投标或者与采购人</w:t>
      </w:r>
      <w:r>
        <w:rPr>
          <w:rFonts w:hint="eastAsia"/>
          <w:color w:val="auto"/>
          <w:sz w:val="24"/>
          <w:szCs w:val="24"/>
          <w:lang w:eastAsia="zh-CN"/>
        </w:rPr>
        <w:t>、采购代理机构</w:t>
      </w:r>
      <w:r>
        <w:rPr>
          <w:rFonts w:hint="eastAsia" w:ascii="Times New Roman" w:hAnsi="Times New Roman"/>
          <w:color w:val="auto"/>
          <w:sz w:val="24"/>
          <w:szCs w:val="24"/>
          <w:lang w:eastAsia="zh-CN"/>
        </w:rPr>
        <w:t>串通投标，不得向采购人或者评标委员会成员行贿谋取中标，不得以他人名义投标或者以其他方式弄虚作假骗取中标；投标人不得以任何方式干扰、影响评标工作。</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bookmarkStart w:id="132" w:name="_Toc338944653"/>
      <w:bookmarkStart w:id="133" w:name="_Toc333600731"/>
      <w:bookmarkStart w:id="134" w:name="_Toc342294762"/>
      <w:bookmarkStart w:id="135" w:name="_Toc144974545"/>
      <w:bookmarkStart w:id="136" w:name="_Toc333599707"/>
      <w:bookmarkStart w:id="137" w:name="_Toc342296210"/>
      <w:bookmarkStart w:id="138" w:name="_Toc431224242"/>
      <w:bookmarkStart w:id="139" w:name="_Toc338943748"/>
      <w:bookmarkStart w:id="140" w:name="_Toc179632595"/>
      <w:bookmarkStart w:id="141" w:name="_Toc152045577"/>
      <w:bookmarkStart w:id="142" w:name="_Toc152042353"/>
      <w:bookmarkStart w:id="143" w:name="_Toc349730889"/>
      <w:bookmarkStart w:id="144" w:name="_Toc333587901"/>
      <w:r>
        <w:rPr>
          <w:rFonts w:hint="eastAsia" w:ascii="Times New Roman" w:hAnsi="Times New Roman"/>
          <w:color w:val="auto"/>
          <w:sz w:val="24"/>
          <w:szCs w:val="24"/>
          <w:lang w:eastAsia="zh-CN"/>
        </w:rPr>
        <w:t>对评标委员会成员的纪律要求</w:t>
      </w:r>
      <w:bookmarkEnd w:id="132"/>
      <w:bookmarkEnd w:id="133"/>
      <w:bookmarkEnd w:id="134"/>
      <w:bookmarkEnd w:id="135"/>
      <w:bookmarkEnd w:id="136"/>
      <w:bookmarkEnd w:id="137"/>
      <w:bookmarkEnd w:id="138"/>
      <w:bookmarkEnd w:id="139"/>
      <w:bookmarkEnd w:id="140"/>
      <w:bookmarkEnd w:id="141"/>
      <w:bookmarkEnd w:id="142"/>
      <w:bookmarkEnd w:id="143"/>
      <w:bookmarkEnd w:id="144"/>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四章“资格审查及评标标准和方法”没有规定的评审因素和标准进行评标。</w:t>
      </w:r>
    </w:p>
    <w:p>
      <w:pPr>
        <w:pStyle w:val="51"/>
        <w:numPr>
          <w:ilvl w:val="1"/>
          <w:numId w:val="11"/>
        </w:numPr>
        <w:tabs>
          <w:tab w:val="left" w:pos="1057"/>
          <w:tab w:val="left" w:pos="1058"/>
        </w:tabs>
        <w:snapToGrid w:val="0"/>
        <w:spacing w:line="360" w:lineRule="auto"/>
        <w:ind w:left="723" w:hanging="723"/>
        <w:rPr>
          <w:rFonts w:ascii="Times New Roman" w:hAnsi="Times New Roman"/>
          <w:color w:val="auto"/>
          <w:sz w:val="24"/>
          <w:szCs w:val="24"/>
          <w:lang w:eastAsia="zh-CN"/>
        </w:rPr>
      </w:pPr>
      <w:bookmarkStart w:id="145" w:name="_Toc333587902"/>
      <w:bookmarkStart w:id="146" w:name="_Toc333600732"/>
      <w:bookmarkStart w:id="147" w:name="_Toc333599708"/>
      <w:bookmarkStart w:id="148" w:name="_Toc152042354"/>
      <w:bookmarkStart w:id="149" w:name="_Toc349730890"/>
      <w:bookmarkStart w:id="150" w:name="_Toc342296211"/>
      <w:bookmarkStart w:id="151" w:name="_Toc342294763"/>
      <w:bookmarkStart w:id="152" w:name="_Toc179632596"/>
      <w:bookmarkStart w:id="153" w:name="_Toc338943749"/>
      <w:bookmarkStart w:id="154" w:name="_Toc152045578"/>
      <w:bookmarkStart w:id="155" w:name="_Toc338944654"/>
      <w:bookmarkStart w:id="156" w:name="_Toc431224243"/>
      <w:bookmarkStart w:id="157" w:name="_Toc144974546"/>
      <w:r>
        <w:rPr>
          <w:rFonts w:hint="eastAsia" w:ascii="Times New Roman" w:hAnsi="Times New Roman"/>
          <w:color w:val="auto"/>
          <w:sz w:val="24"/>
          <w:szCs w:val="24"/>
          <w:lang w:eastAsia="zh-CN"/>
        </w:rPr>
        <w:t>对与评标活动有关的工作人员的纪律要求</w:t>
      </w:r>
      <w:bookmarkEnd w:id="145"/>
      <w:bookmarkEnd w:id="146"/>
      <w:bookmarkEnd w:id="147"/>
      <w:bookmarkEnd w:id="148"/>
      <w:bookmarkEnd w:id="149"/>
      <w:bookmarkEnd w:id="150"/>
      <w:bookmarkEnd w:id="151"/>
      <w:bookmarkEnd w:id="152"/>
      <w:bookmarkEnd w:id="153"/>
      <w:bookmarkEnd w:id="154"/>
      <w:bookmarkEnd w:id="155"/>
      <w:bookmarkEnd w:id="156"/>
    </w:p>
    <w:p>
      <w:pPr>
        <w:snapToGrid w:val="0"/>
        <w:spacing w:line="360" w:lineRule="auto"/>
        <w:ind w:left="723"/>
        <w:rPr>
          <w:rFonts w:ascii="Times New Roman" w:hAnsi="Times New Roman"/>
          <w:color w:val="auto"/>
          <w:sz w:val="24"/>
          <w:szCs w:val="24"/>
          <w:lang w:eastAsia="zh-CN"/>
        </w:rPr>
      </w:pPr>
      <w:bookmarkStart w:id="158" w:name="_Toc152042355"/>
      <w:r>
        <w:rPr>
          <w:rFonts w:hint="eastAsia" w:ascii="Times New Roman" w:hAnsi="Times New Roman"/>
          <w:color w:val="auto"/>
          <w:sz w:val="24"/>
          <w:szCs w:val="24"/>
          <w:lang w:eastAsia="zh-CN"/>
        </w:rPr>
        <w:t>与评标活动有关的工作人员不得收受他人的财物或者其他好处，不得向他人透漏对投标文件的评审和比较、中标候选人的推荐情况以及评标有关的其他情况。</w:t>
      </w:r>
      <w:bookmarkEnd w:id="158"/>
    </w:p>
    <w:bookmarkEnd w:id="157"/>
    <w:p>
      <w:pPr>
        <w:pStyle w:val="5"/>
        <w:keepNext w:val="0"/>
        <w:keepLines w:val="0"/>
        <w:numPr>
          <w:ilvl w:val="0"/>
          <w:numId w:val="11"/>
        </w:numPr>
        <w:snapToGrid w:val="0"/>
        <w:spacing w:before="0" w:after="0" w:line="360" w:lineRule="auto"/>
        <w:ind w:left="723" w:hanging="723"/>
        <w:rPr>
          <w:rFonts w:ascii="Times New Roman" w:cs="Arial"/>
          <w:color w:val="auto"/>
          <w:szCs w:val="24"/>
        </w:rPr>
      </w:pPr>
      <w:bookmarkStart w:id="159" w:name="_Toc333599710"/>
      <w:bookmarkStart w:id="160" w:name="_Toc349730892"/>
      <w:bookmarkStart w:id="161" w:name="_Toc152042357"/>
      <w:bookmarkStart w:id="162" w:name="_Toc152045580"/>
      <w:bookmarkStart w:id="163" w:name="_Toc338944656"/>
      <w:bookmarkStart w:id="164" w:name="_Toc342294765"/>
      <w:bookmarkStart w:id="165" w:name="_Toc338943751"/>
      <w:bookmarkStart w:id="166" w:name="_Toc144974547"/>
      <w:bookmarkStart w:id="167" w:name="_Toc522883987"/>
      <w:bookmarkStart w:id="168" w:name="_Toc342296213"/>
      <w:bookmarkStart w:id="169" w:name="_Toc179632598"/>
      <w:bookmarkStart w:id="170" w:name="_Toc431224245"/>
      <w:bookmarkStart w:id="171" w:name="_Toc333600734"/>
      <w:r>
        <w:rPr>
          <w:rFonts w:hint="eastAsia" w:ascii="Times New Roman" w:cs="Arial"/>
          <w:color w:val="auto"/>
          <w:szCs w:val="24"/>
        </w:rPr>
        <w:t>需要补充的其他内容</w:t>
      </w:r>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51"/>
        <w:numPr>
          <w:ilvl w:val="1"/>
          <w:numId w:val="11"/>
        </w:numPr>
        <w:tabs>
          <w:tab w:val="left" w:pos="1057"/>
          <w:tab w:val="left" w:pos="1058"/>
        </w:tabs>
        <w:snapToGrid w:val="0"/>
        <w:spacing w:line="306" w:lineRule="exact"/>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需要补充的其他内容：见“投标人须知”前附表。</w:t>
      </w:r>
    </w:p>
    <w:p>
      <w:pPr>
        <w:tabs>
          <w:tab w:val="left" w:pos="1057"/>
          <w:tab w:val="left" w:pos="1058"/>
        </w:tabs>
        <w:snapToGrid w:val="0"/>
        <w:spacing w:line="306" w:lineRule="exact"/>
        <w:rPr>
          <w:rFonts w:ascii="Times New Roman" w:hAnsi="Times New Roman"/>
          <w:color w:val="auto"/>
          <w:sz w:val="24"/>
          <w:szCs w:val="24"/>
          <w:lang w:eastAsia="zh-CN"/>
        </w:rPr>
      </w:pPr>
    </w:p>
    <w:p>
      <w:pPr>
        <w:spacing w:line="306" w:lineRule="exact"/>
        <w:rPr>
          <w:rFonts w:ascii="Times New Roman" w:hAnsi="Times New Roman"/>
          <w:color w:val="auto"/>
          <w:sz w:val="24"/>
          <w:szCs w:val="24"/>
          <w:lang w:eastAsia="zh-CN"/>
        </w:rPr>
      </w:pPr>
    </w:p>
    <w:p>
      <w:pPr>
        <w:pStyle w:val="34"/>
        <w:spacing w:before="120" w:after="120"/>
        <w:rPr>
          <w:rFonts w:ascii="Times New Roman" w:hAnsi="Times New Roman" w:eastAsia="宋体"/>
          <w:color w:val="auto"/>
          <w:lang w:eastAsia="zh-CN"/>
        </w:rPr>
        <w:sectPr>
          <w:pgSz w:w="11910" w:h="16840"/>
          <w:pgMar w:top="1588" w:right="1247" w:bottom="1247" w:left="1701" w:header="731" w:footer="992" w:gutter="0"/>
          <w:cols w:space="720" w:num="1"/>
        </w:sectPr>
      </w:pPr>
      <w:bookmarkStart w:id="172" w:name="_Toc508622434"/>
    </w:p>
    <w:p>
      <w:pPr>
        <w:pStyle w:val="34"/>
        <w:spacing w:before="120" w:after="120"/>
        <w:rPr>
          <w:rFonts w:ascii="Times New Roman" w:hAnsi="Times New Roman" w:eastAsia="宋体"/>
          <w:color w:val="auto"/>
          <w:lang w:eastAsia="zh-CN"/>
        </w:rPr>
      </w:pPr>
      <w:bookmarkStart w:id="173" w:name="_Toc42528022"/>
      <w:r>
        <w:rPr>
          <w:rFonts w:hint="eastAsia" w:ascii="Times New Roman" w:hAnsi="Times New Roman" w:eastAsia="宋体"/>
          <w:color w:val="auto"/>
          <w:lang w:eastAsia="zh-CN"/>
        </w:rPr>
        <w:t>第三章</w:t>
      </w:r>
      <w:r>
        <w:rPr>
          <w:rFonts w:ascii="Times New Roman" w:hAnsi="Times New Roman" w:eastAsia="宋体"/>
          <w:color w:val="auto"/>
          <w:lang w:eastAsia="zh-CN"/>
        </w:rPr>
        <w:t xml:space="preserve"> </w:t>
      </w:r>
      <w:bookmarkEnd w:id="172"/>
      <w:r>
        <w:rPr>
          <w:rFonts w:hint="eastAsia" w:ascii="Times New Roman" w:hAnsi="Times New Roman" w:eastAsia="宋体"/>
          <w:color w:val="auto"/>
          <w:lang w:eastAsia="zh-CN"/>
        </w:rPr>
        <w:t>采购需求</w:t>
      </w:r>
      <w:bookmarkEnd w:id="173"/>
    </w:p>
    <w:p>
      <w:pPr>
        <w:autoSpaceDE/>
        <w:autoSpaceDN/>
        <w:spacing w:line="360" w:lineRule="auto"/>
        <w:rPr>
          <w:rFonts w:cs="Times New Roman"/>
          <w:b/>
          <w:color w:val="auto"/>
          <w:kern w:val="2"/>
          <w:sz w:val="21"/>
          <w:szCs w:val="21"/>
          <w:lang w:eastAsia="zh-CN"/>
        </w:rPr>
      </w:pPr>
      <w:r>
        <w:rPr>
          <w:rFonts w:hint="eastAsia" w:cs="Times New Roman"/>
          <w:b/>
          <w:color w:val="auto"/>
          <w:kern w:val="2"/>
          <w:sz w:val="21"/>
          <w:szCs w:val="21"/>
          <w:lang w:eastAsia="zh-CN"/>
        </w:rPr>
        <w:t>一、项目名称及招标人</w:t>
      </w:r>
    </w:p>
    <w:p>
      <w:pPr>
        <w:autoSpaceDE/>
        <w:autoSpaceDN/>
        <w:spacing w:line="360" w:lineRule="auto"/>
        <w:rPr>
          <w:rFonts w:cs="Times New Roman"/>
          <w:color w:val="auto"/>
          <w:kern w:val="2"/>
          <w:sz w:val="21"/>
          <w:szCs w:val="21"/>
          <w:lang w:eastAsia="zh-CN"/>
        </w:rPr>
      </w:pPr>
      <w:r>
        <w:rPr>
          <w:rFonts w:hint="eastAsia" w:cs="Times New Roman"/>
          <w:color w:val="auto"/>
          <w:kern w:val="2"/>
          <w:sz w:val="21"/>
          <w:szCs w:val="21"/>
          <w:lang w:eastAsia="zh-CN"/>
        </w:rPr>
        <w:t>项目名称：2020年管庄乡平原生态林、自管绿化片林养护项目</w:t>
      </w:r>
    </w:p>
    <w:p>
      <w:pPr>
        <w:autoSpaceDE/>
        <w:autoSpaceDN/>
        <w:spacing w:line="360" w:lineRule="auto"/>
        <w:jc w:val="both"/>
        <w:rPr>
          <w:rFonts w:hAnsi="Times New Roman" w:cs="Times New Roman"/>
          <w:color w:val="auto"/>
          <w:kern w:val="2"/>
          <w:sz w:val="21"/>
          <w:szCs w:val="21"/>
          <w:lang w:eastAsia="zh-CN"/>
        </w:rPr>
      </w:pPr>
      <w:r>
        <w:rPr>
          <w:rFonts w:hint="eastAsia" w:cs="Times New Roman"/>
          <w:color w:val="auto"/>
          <w:kern w:val="2"/>
          <w:sz w:val="21"/>
          <w:szCs w:val="21"/>
          <w:lang w:eastAsia="zh-CN"/>
        </w:rPr>
        <w:t>招标人名称：</w:t>
      </w:r>
      <w:r>
        <w:rPr>
          <w:rFonts w:hint="eastAsia" w:ascii="Times New Roman" w:hAnsi="Times New Roman" w:cs="Times New Roman"/>
          <w:color w:val="auto"/>
          <w:sz w:val="21"/>
          <w:szCs w:val="21"/>
          <w:shd w:val="clear" w:color="auto" w:fill="FFFFFF"/>
          <w:lang w:eastAsia="zh-CN"/>
        </w:rPr>
        <w:t>北京市朝阳区管庄乡人民政府</w:t>
      </w:r>
    </w:p>
    <w:p>
      <w:pPr>
        <w:autoSpaceDE/>
        <w:autoSpaceDN/>
        <w:spacing w:line="360" w:lineRule="auto"/>
        <w:rPr>
          <w:rFonts w:cs="Times New Roman"/>
          <w:b/>
          <w:color w:val="auto"/>
          <w:kern w:val="2"/>
          <w:sz w:val="21"/>
          <w:szCs w:val="21"/>
          <w:lang w:eastAsia="zh-CN"/>
        </w:rPr>
      </w:pPr>
      <w:r>
        <w:rPr>
          <w:rFonts w:hint="eastAsia" w:cs="Times New Roman"/>
          <w:b/>
          <w:color w:val="auto"/>
          <w:kern w:val="2"/>
          <w:sz w:val="21"/>
          <w:szCs w:val="21"/>
          <w:lang w:eastAsia="zh-CN"/>
        </w:rPr>
        <w:t>二、具体要求</w:t>
      </w:r>
    </w:p>
    <w:p>
      <w:pPr>
        <w:autoSpaceDE/>
        <w:autoSpaceDN/>
        <w:spacing w:line="360" w:lineRule="auto"/>
        <w:jc w:val="both"/>
        <w:rPr>
          <w:rFonts w:hAnsi="Times New Roman" w:cs="Times New Roman"/>
          <w:color w:val="auto"/>
          <w:kern w:val="2"/>
          <w:sz w:val="21"/>
          <w:szCs w:val="21"/>
          <w:lang w:eastAsia="zh-CN"/>
        </w:rPr>
      </w:pPr>
      <w:r>
        <w:rPr>
          <w:rFonts w:hint="eastAsia" w:hAnsi="Times New Roman" w:cs="Times New Roman"/>
          <w:color w:val="auto"/>
          <w:kern w:val="2"/>
          <w:sz w:val="21"/>
          <w:szCs w:val="21"/>
          <w:lang w:eastAsia="zh-CN"/>
        </w:rPr>
        <w:t>养护期限：2020年7月15日至202</w:t>
      </w:r>
      <w:r>
        <w:rPr>
          <w:rFonts w:hint="eastAsia" w:hAnsi="Times New Roman" w:cs="Times New Roman"/>
          <w:color w:val="auto"/>
          <w:kern w:val="2"/>
          <w:sz w:val="21"/>
          <w:szCs w:val="21"/>
          <w:lang w:val="en-US" w:eastAsia="zh-CN"/>
        </w:rPr>
        <w:t>1</w:t>
      </w:r>
      <w:r>
        <w:rPr>
          <w:rFonts w:hint="eastAsia" w:hAnsi="Times New Roman" w:cs="Times New Roman"/>
          <w:color w:val="auto"/>
          <w:kern w:val="2"/>
          <w:sz w:val="21"/>
          <w:szCs w:val="21"/>
          <w:lang w:eastAsia="zh-CN"/>
        </w:rPr>
        <w:t>年7月14日</w:t>
      </w:r>
    </w:p>
    <w:p>
      <w:pPr>
        <w:autoSpaceDE/>
        <w:autoSpaceDN/>
        <w:spacing w:line="360" w:lineRule="auto"/>
        <w:jc w:val="both"/>
        <w:rPr>
          <w:rFonts w:hint="eastAsia" w:cs="Times New Roman"/>
          <w:color w:val="auto"/>
          <w:kern w:val="2"/>
          <w:sz w:val="21"/>
          <w:szCs w:val="21"/>
          <w:lang w:eastAsia="zh-CN"/>
        </w:rPr>
      </w:pPr>
      <w:r>
        <w:rPr>
          <w:rFonts w:hAnsi="Times New Roman" w:cs="Times New Roman"/>
          <w:color w:val="auto"/>
          <w:kern w:val="2"/>
          <w:sz w:val="21"/>
          <w:szCs w:val="21"/>
          <w:lang w:eastAsia="zh-CN"/>
        </w:rPr>
        <w:t>养护面积</w:t>
      </w:r>
      <w:r>
        <w:rPr>
          <w:rFonts w:hint="eastAsia" w:hAnsi="Times New Roman" w:cs="Times New Roman"/>
          <w:color w:val="auto"/>
          <w:kern w:val="2"/>
          <w:sz w:val="21"/>
          <w:szCs w:val="21"/>
          <w:lang w:val="en-US" w:eastAsia="zh-CN"/>
        </w:rPr>
        <w:t>及取费标准</w:t>
      </w:r>
      <w:r>
        <w:rPr>
          <w:rFonts w:hint="eastAsia" w:hAnsi="Times New Roman" w:cs="Times New Roman"/>
          <w:color w:val="auto"/>
          <w:kern w:val="2"/>
          <w:sz w:val="21"/>
          <w:szCs w:val="21"/>
          <w:lang w:eastAsia="zh-CN"/>
        </w:rPr>
        <w:t>：</w:t>
      </w:r>
      <w:r>
        <w:rPr>
          <w:rFonts w:hint="eastAsia" w:cs="Times New Roman"/>
          <w:color w:val="auto"/>
          <w:kern w:val="2"/>
          <w:sz w:val="21"/>
          <w:szCs w:val="21"/>
          <w:lang w:eastAsia="zh-CN"/>
        </w:rPr>
        <w:t>总面积：1170534.16平方米，自管绿化面积795022.04平方米，养护标准为每年每平方米15元，自管片林面积5010.27平方米，养护标准为每年每平方米4元，平原生态林370501.85平方米，养护标准为每年每平方米3.8元</w:t>
      </w:r>
    </w:p>
    <w:p>
      <w:pPr>
        <w:autoSpaceDE/>
        <w:autoSpaceDN/>
        <w:spacing w:line="360" w:lineRule="auto"/>
        <w:jc w:val="both"/>
        <w:rPr>
          <w:rFonts w:hAnsi="Times New Roman" w:cs="Times New Roman"/>
          <w:color w:val="auto"/>
          <w:kern w:val="2"/>
          <w:sz w:val="21"/>
          <w:szCs w:val="21"/>
          <w:lang w:eastAsia="zh-CN"/>
        </w:rPr>
      </w:pPr>
      <w:r>
        <w:rPr>
          <w:rFonts w:hint="eastAsia" w:cs="Times New Roman"/>
          <w:color w:val="auto"/>
          <w:kern w:val="2"/>
          <w:sz w:val="21"/>
          <w:szCs w:val="21"/>
          <w:lang w:eastAsia="zh-CN"/>
        </w:rPr>
        <w:t>2021年养护面积以财政局核定面积为准。</w:t>
      </w:r>
    </w:p>
    <w:p>
      <w:pPr>
        <w:autoSpaceDE/>
        <w:autoSpaceDN/>
        <w:spacing w:line="360" w:lineRule="auto"/>
        <w:jc w:val="both"/>
        <w:rPr>
          <w:rFonts w:hint="eastAsia" w:hAnsi="Times New Roman" w:cs="Times New Roman"/>
          <w:color w:val="auto"/>
          <w:kern w:val="2"/>
          <w:sz w:val="21"/>
          <w:szCs w:val="21"/>
          <w:lang w:eastAsia="zh-CN"/>
        </w:rPr>
      </w:pPr>
      <w:r>
        <w:rPr>
          <w:rFonts w:hint="eastAsia" w:hAnsi="Times New Roman" w:cs="Times New Roman"/>
          <w:color w:val="auto"/>
          <w:kern w:val="2"/>
          <w:sz w:val="21"/>
          <w:szCs w:val="21"/>
          <w:lang w:eastAsia="zh-CN"/>
        </w:rPr>
        <w:t xml:space="preserve">生态林管护单元：05492010001、05492040006、05492030005等，详见朝阳区平原生态林管护单元详细情况表。                                     </w:t>
      </w:r>
    </w:p>
    <w:p>
      <w:pPr>
        <w:autoSpaceDE/>
        <w:autoSpaceDN/>
        <w:spacing w:line="360" w:lineRule="auto"/>
        <w:jc w:val="both"/>
        <w:rPr>
          <w:rFonts w:hint="eastAsia" w:hAnsi="Times New Roman" w:cs="Times New Roman"/>
          <w:color w:val="auto"/>
          <w:kern w:val="2"/>
          <w:sz w:val="21"/>
          <w:szCs w:val="21"/>
          <w:lang w:eastAsia="zh-CN"/>
        </w:rPr>
      </w:pPr>
      <w:r>
        <w:rPr>
          <w:rFonts w:hint="eastAsia" w:hAnsi="Times New Roman" w:cs="Times New Roman"/>
          <w:color w:val="auto"/>
          <w:kern w:val="2"/>
          <w:sz w:val="21"/>
          <w:szCs w:val="21"/>
          <w:lang w:eastAsia="zh-CN"/>
        </w:rPr>
        <w:t xml:space="preserve">生态林管护地点： 管庄村、果家店村、八里桥村、西会村、东会村、司辛庄村、重兴寺村、郭家场村。                   </w:t>
      </w:r>
      <w:r>
        <w:rPr>
          <w:rFonts w:hint="eastAsia" w:hAnsi="Times New Roman" w:cs="Times New Roman"/>
          <w:color w:val="auto"/>
          <w:kern w:val="2"/>
          <w:sz w:val="21"/>
          <w:szCs w:val="21"/>
          <w:lang w:val="en-US" w:eastAsia="zh-CN"/>
        </w:rPr>
        <w:t xml:space="preserve">          </w:t>
      </w:r>
      <w:r>
        <w:rPr>
          <w:rFonts w:hint="eastAsia" w:hAnsi="Times New Roman" w:cs="Times New Roman"/>
          <w:color w:val="auto"/>
          <w:kern w:val="2"/>
          <w:sz w:val="21"/>
          <w:szCs w:val="21"/>
          <w:lang w:eastAsia="zh-CN"/>
        </w:rPr>
        <w:t xml:space="preserve">              </w:t>
      </w:r>
    </w:p>
    <w:p>
      <w:pPr>
        <w:autoSpaceDE/>
        <w:autoSpaceDN/>
        <w:spacing w:line="360" w:lineRule="auto"/>
        <w:jc w:val="both"/>
        <w:rPr>
          <w:rFonts w:hint="eastAsia" w:hAnsi="Times New Roman" w:cs="Times New Roman"/>
          <w:color w:val="auto"/>
          <w:kern w:val="2"/>
          <w:sz w:val="21"/>
          <w:szCs w:val="21"/>
          <w:lang w:eastAsia="zh-CN"/>
        </w:rPr>
      </w:pPr>
      <w:r>
        <w:rPr>
          <w:rFonts w:hint="eastAsia" w:hAnsi="Times New Roman" w:cs="Times New Roman"/>
          <w:color w:val="auto"/>
          <w:kern w:val="2"/>
          <w:sz w:val="21"/>
          <w:szCs w:val="21"/>
          <w:lang w:eastAsia="zh-CN"/>
        </w:rPr>
        <w:t xml:space="preserve">生态林林木现状： 毛白杨 、银杏、油松、侧柏、白蜡等，详见朝阳区平原生态林管护单元详细情况表。                                        </w:t>
      </w:r>
    </w:p>
    <w:p>
      <w:pPr>
        <w:autoSpaceDE/>
        <w:autoSpaceDN/>
        <w:spacing w:line="360" w:lineRule="auto"/>
        <w:jc w:val="both"/>
        <w:rPr>
          <w:rFonts w:hint="eastAsia" w:hAnsi="Times New Roman" w:cs="Times New Roman"/>
          <w:color w:val="auto"/>
          <w:kern w:val="2"/>
          <w:sz w:val="21"/>
          <w:szCs w:val="21"/>
          <w:lang w:eastAsia="zh-CN"/>
        </w:rPr>
      </w:pPr>
      <w:r>
        <w:rPr>
          <w:rFonts w:hint="eastAsia" w:hAnsi="Times New Roman" w:cs="Times New Roman"/>
          <w:color w:val="auto"/>
          <w:kern w:val="2"/>
          <w:sz w:val="21"/>
          <w:szCs w:val="21"/>
          <w:lang w:eastAsia="zh-CN"/>
        </w:rPr>
        <w:t>乡自管公园绿地管护地点： 八里桥公园、瑞祥里中心花园、灌渠沟两侧、八里桥</w:t>
      </w:r>
      <w:r>
        <w:rPr>
          <w:rFonts w:hAnsi="Times New Roman" w:cs="Times New Roman"/>
          <w:color w:val="auto"/>
          <w:kern w:val="2"/>
          <w:sz w:val="21"/>
          <w:szCs w:val="21"/>
          <w:lang w:eastAsia="zh-CN"/>
        </w:rPr>
        <w:t>1号路两侧绿化</w:t>
      </w:r>
      <w:r>
        <w:rPr>
          <w:rFonts w:hint="eastAsia" w:hAnsi="Times New Roman" w:cs="Times New Roman"/>
          <w:color w:val="auto"/>
          <w:kern w:val="2"/>
          <w:sz w:val="21"/>
          <w:szCs w:val="21"/>
          <w:lang w:eastAsia="zh-CN"/>
        </w:rPr>
        <w:t>、通惠河南岸绿地、邮局小区等自管绿化；铁道桥北侧和双桥附中北侧绿化两块自管片林；详见管庄乡自管绿地详细情况表。</w:t>
      </w:r>
    </w:p>
    <w:p>
      <w:pPr>
        <w:autoSpaceDE/>
        <w:autoSpaceDN/>
        <w:spacing w:line="360" w:lineRule="auto"/>
        <w:rPr>
          <w:rFonts w:cs="Times New Roman"/>
          <w:b/>
          <w:color w:val="auto"/>
          <w:kern w:val="2"/>
          <w:sz w:val="21"/>
          <w:szCs w:val="21"/>
          <w:lang w:eastAsia="zh-CN"/>
        </w:rPr>
      </w:pPr>
      <w:r>
        <w:rPr>
          <w:rFonts w:hint="eastAsia" w:cs="Times New Roman"/>
          <w:b/>
          <w:color w:val="auto"/>
          <w:kern w:val="2"/>
          <w:sz w:val="21"/>
          <w:szCs w:val="21"/>
          <w:lang w:eastAsia="zh-CN"/>
        </w:rPr>
        <w:t>三、养护内容及要求</w:t>
      </w:r>
    </w:p>
    <w:p>
      <w:pPr>
        <w:autoSpaceDE/>
        <w:autoSpaceDN/>
        <w:spacing w:line="360" w:lineRule="auto"/>
        <w:ind w:firstLine="422" w:firstLineChars="200"/>
        <w:rPr>
          <w:rFonts w:cs="Times New Roman"/>
          <w:color w:val="auto"/>
          <w:kern w:val="2"/>
          <w:sz w:val="21"/>
          <w:szCs w:val="21"/>
          <w:lang w:eastAsia="zh-CN"/>
        </w:rPr>
      </w:pPr>
      <w:r>
        <w:rPr>
          <w:rFonts w:hint="eastAsia" w:cs="Times New Roman"/>
          <w:b/>
          <w:color w:val="auto"/>
          <w:kern w:val="2"/>
          <w:sz w:val="21"/>
          <w:szCs w:val="21"/>
          <w:lang w:eastAsia="zh-CN"/>
        </w:rPr>
        <w:t>1.养护内容：</w:t>
      </w:r>
      <w:r>
        <w:rPr>
          <w:rFonts w:hint="eastAsia" w:cs="Times New Roman"/>
          <w:color w:val="auto"/>
          <w:kern w:val="2"/>
          <w:sz w:val="21"/>
          <w:szCs w:val="21"/>
          <w:lang w:eastAsia="zh-CN"/>
        </w:rPr>
        <w:t>包括但不限于除草、病虫害防治、苗木补植、修剪、浇水施肥、垃圾清运、巡查管理等。</w:t>
      </w:r>
    </w:p>
    <w:p>
      <w:pPr>
        <w:autoSpaceDE/>
        <w:autoSpaceDN/>
        <w:spacing w:line="360" w:lineRule="auto"/>
        <w:ind w:firstLine="422" w:firstLineChars="200"/>
        <w:rPr>
          <w:rFonts w:cs="Times New Roman"/>
          <w:b/>
          <w:color w:val="auto"/>
          <w:kern w:val="2"/>
          <w:sz w:val="21"/>
          <w:szCs w:val="21"/>
          <w:lang w:eastAsia="zh-CN"/>
        </w:rPr>
      </w:pPr>
      <w:r>
        <w:rPr>
          <w:rFonts w:hint="eastAsia" w:cs="Times New Roman"/>
          <w:b/>
          <w:color w:val="auto"/>
          <w:kern w:val="2"/>
          <w:sz w:val="21"/>
          <w:szCs w:val="21"/>
          <w:lang w:eastAsia="zh-CN"/>
        </w:rPr>
        <w:t>2.养护</w:t>
      </w:r>
      <w:r>
        <w:rPr>
          <w:rFonts w:hint="eastAsia" w:cs="Times New Roman"/>
          <w:b/>
          <w:color w:val="auto"/>
          <w:kern w:val="2"/>
          <w:sz w:val="21"/>
          <w:szCs w:val="21"/>
          <w:lang w:val="en-US" w:eastAsia="zh-CN"/>
        </w:rPr>
        <w:t>标准</w:t>
      </w:r>
      <w:r>
        <w:rPr>
          <w:rFonts w:hint="eastAsia" w:cs="Times New Roman"/>
          <w:b/>
          <w:color w:val="auto"/>
          <w:kern w:val="2"/>
          <w:sz w:val="21"/>
          <w:szCs w:val="21"/>
          <w:lang w:eastAsia="zh-CN"/>
        </w:rPr>
        <w:t>：符合《北京市城市绿地建设和管理等级质量标准（试行）》相关要求，详见附件。自管绿化养护等级为一级，自管片林和生态林养护等级为三级。</w:t>
      </w:r>
    </w:p>
    <w:p>
      <w:pPr>
        <w:autoSpaceDE/>
        <w:autoSpaceDN/>
        <w:spacing w:line="360" w:lineRule="auto"/>
        <w:ind w:left="0" w:leftChars="0" w:firstLine="0" w:firstLineChars="0"/>
        <w:jc w:val="both"/>
        <w:rPr>
          <w:rFonts w:hint="eastAsia" w:cs="Times New Roman"/>
          <w:b/>
          <w:color w:val="auto"/>
          <w:kern w:val="2"/>
          <w:sz w:val="21"/>
          <w:szCs w:val="21"/>
          <w:lang w:eastAsia="zh-CN"/>
        </w:rPr>
      </w:pPr>
      <w:r>
        <w:rPr>
          <w:rFonts w:hint="eastAsia" w:cs="Times New Roman"/>
          <w:b/>
          <w:color w:val="auto"/>
          <w:kern w:val="2"/>
          <w:sz w:val="21"/>
          <w:szCs w:val="21"/>
          <w:lang w:eastAsia="zh-CN"/>
        </w:rPr>
        <w:t>四、附件</w:t>
      </w:r>
    </w:p>
    <w:p>
      <w:pPr>
        <w:autoSpaceDE/>
        <w:autoSpaceDN/>
        <w:spacing w:line="360" w:lineRule="auto"/>
        <w:ind w:firstLine="210" w:firstLineChars="100"/>
        <w:jc w:val="both"/>
        <w:rPr>
          <w:rFonts w:hAnsi="Times New Roman" w:cs="Times New Roman"/>
          <w:color w:val="auto"/>
          <w:kern w:val="2"/>
          <w:sz w:val="21"/>
          <w:szCs w:val="21"/>
          <w:lang w:eastAsia="zh-CN"/>
        </w:rPr>
      </w:pPr>
      <w:r>
        <w:rPr>
          <w:rFonts w:hint="eastAsia" w:hAnsi="Times New Roman" w:cs="Times New Roman"/>
          <w:color w:val="auto"/>
          <w:kern w:val="2"/>
          <w:sz w:val="21"/>
          <w:szCs w:val="21"/>
          <w:lang w:eastAsia="zh-CN"/>
        </w:rPr>
        <w:t>附件1：</w:t>
      </w:r>
      <w:r>
        <w:rPr>
          <w:rFonts w:hint="eastAsia" w:cs="Times New Roman"/>
          <w:b/>
          <w:color w:val="auto"/>
          <w:kern w:val="2"/>
          <w:sz w:val="21"/>
          <w:szCs w:val="21"/>
          <w:lang w:eastAsia="zh-CN"/>
        </w:rPr>
        <w:t>北京市城市绿地建设和管理等级质量标准（试行）</w:t>
      </w:r>
    </w:p>
    <w:p>
      <w:pPr>
        <w:autoSpaceDE/>
        <w:autoSpaceDN/>
        <w:spacing w:line="360" w:lineRule="auto"/>
        <w:jc w:val="center"/>
        <w:rPr>
          <w:rFonts w:cs="Times New Roman"/>
          <w:color w:val="auto"/>
          <w:kern w:val="2"/>
          <w:sz w:val="21"/>
          <w:szCs w:val="21"/>
          <w:lang w:eastAsia="zh-CN"/>
        </w:rPr>
      </w:pPr>
      <w:r>
        <w:rPr>
          <w:rFonts w:hint="eastAsia" w:cs="Times New Roman"/>
          <w:color w:val="auto"/>
          <w:kern w:val="2"/>
          <w:sz w:val="21"/>
          <w:szCs w:val="21"/>
          <w:lang w:eastAsia="zh-CN"/>
        </w:rPr>
        <w:t>北京市城市绿地建设和管理等级质量标准（试行）</w:t>
      </w:r>
    </w:p>
    <w:p>
      <w:pPr>
        <w:autoSpaceDE/>
        <w:autoSpaceDN/>
        <w:spacing w:after="120" w:line="360" w:lineRule="auto"/>
        <w:ind w:left="440" w:leftChars="200" w:firstLine="560"/>
        <w:jc w:val="both"/>
        <w:rPr>
          <w:rFonts w:cs="Times New Roman"/>
          <w:color w:val="auto"/>
          <w:kern w:val="2"/>
          <w:sz w:val="21"/>
          <w:szCs w:val="21"/>
          <w:lang w:val="zh-CN" w:eastAsia="zh-CN"/>
        </w:rPr>
      </w:pPr>
      <w:r>
        <w:rPr>
          <w:rFonts w:hint="eastAsia" w:cs="Times New Roman"/>
          <w:color w:val="auto"/>
          <w:kern w:val="2"/>
          <w:sz w:val="21"/>
          <w:szCs w:val="21"/>
          <w:lang w:val="zh-CN" w:eastAsia="zh-CN"/>
        </w:rPr>
        <w:t>为了使我市的城市绿地逐步纳入科学化、规范化建设的轨道，开展绿地分级分类管理，进一步提高园林绿化建设和养护管理工作的水平；根据我市的实际情况，制定《北京市城市绿地建设和管理等级质量标准》。</w:t>
      </w:r>
    </w:p>
    <w:p>
      <w:pPr>
        <w:autoSpaceDE/>
        <w:autoSpaceDN/>
        <w:spacing w:line="360" w:lineRule="auto"/>
        <w:jc w:val="both"/>
        <w:rPr>
          <w:rFonts w:cs="Times New Roman"/>
          <w:b/>
          <w:color w:val="auto"/>
          <w:kern w:val="2"/>
          <w:sz w:val="21"/>
          <w:szCs w:val="21"/>
          <w:lang w:eastAsia="zh-CN"/>
        </w:rPr>
      </w:pPr>
      <w:r>
        <w:rPr>
          <w:rFonts w:cs="Times New Roman"/>
          <w:color w:val="auto"/>
          <w:kern w:val="2"/>
          <w:sz w:val="21"/>
          <w:szCs w:val="21"/>
          <w:lang w:eastAsia="zh-CN"/>
        </w:rPr>
        <w:t xml:space="preserve">   </w:t>
      </w:r>
      <w:r>
        <w:rPr>
          <w:rFonts w:cs="Times New Roman"/>
          <w:b/>
          <w:color w:val="auto"/>
          <w:kern w:val="2"/>
          <w:sz w:val="21"/>
          <w:szCs w:val="21"/>
          <w:lang w:eastAsia="zh-CN"/>
        </w:rPr>
        <w:t xml:space="preserve"> </w:t>
      </w:r>
      <w:r>
        <w:rPr>
          <w:rFonts w:hint="eastAsia" w:cs="Times New Roman"/>
          <w:b/>
          <w:color w:val="auto"/>
          <w:kern w:val="2"/>
          <w:sz w:val="21"/>
          <w:szCs w:val="21"/>
          <w:lang w:eastAsia="zh-CN"/>
        </w:rPr>
        <w:t>一、特级绿地质量标准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（一）绿地建设质量标准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绿地规模</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绿地面积在</w:t>
      </w:r>
      <w:r>
        <w:rPr>
          <w:rFonts w:cs="Times New Roman"/>
          <w:color w:val="auto"/>
          <w:kern w:val="2"/>
          <w:sz w:val="21"/>
          <w:szCs w:val="21"/>
          <w:lang w:eastAsia="zh-CN"/>
        </w:rPr>
        <w:t>3000</w:t>
      </w:r>
      <w:r>
        <w:rPr>
          <w:rFonts w:hint="eastAsia" w:cs="Times New Roman"/>
          <w:color w:val="auto"/>
          <w:kern w:val="2"/>
          <w:sz w:val="21"/>
          <w:szCs w:val="21"/>
          <w:lang w:eastAsia="zh-CN"/>
        </w:rPr>
        <w:t>平方米（含</w:t>
      </w:r>
      <w:r>
        <w:rPr>
          <w:rFonts w:cs="Times New Roman"/>
          <w:color w:val="auto"/>
          <w:kern w:val="2"/>
          <w:sz w:val="21"/>
          <w:szCs w:val="21"/>
          <w:lang w:eastAsia="zh-CN"/>
        </w:rPr>
        <w:t>3000</w:t>
      </w:r>
      <w:r>
        <w:rPr>
          <w:rFonts w:hint="eastAsia" w:cs="Times New Roman"/>
          <w:color w:val="auto"/>
          <w:kern w:val="2"/>
          <w:sz w:val="21"/>
          <w:szCs w:val="21"/>
          <w:lang w:eastAsia="zh-CN"/>
        </w:rPr>
        <w:t>平方米）以上。</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绿地中植物种植应以乔木为主，乔灌木种植面积比例原则上控制在绿地面积的</w:t>
      </w:r>
      <w:r>
        <w:rPr>
          <w:rFonts w:cs="Times New Roman"/>
          <w:color w:val="auto"/>
          <w:kern w:val="2"/>
          <w:sz w:val="21"/>
          <w:szCs w:val="21"/>
          <w:lang w:eastAsia="zh-CN"/>
        </w:rPr>
        <w:t>70%</w:t>
      </w:r>
      <w:r>
        <w:rPr>
          <w:rFonts w:hint="eastAsia" w:cs="Times New Roman"/>
          <w:color w:val="auto"/>
          <w:kern w:val="2"/>
          <w:sz w:val="21"/>
          <w:szCs w:val="21"/>
          <w:lang w:eastAsia="zh-CN"/>
        </w:rPr>
        <w:t>左右，其余为非林下草坪和地被植物。具体的绿地建设中各项目所占用地面积比例，执行《中华人民共和国行业标准公园设计规范》。</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w:t>
      </w:r>
      <w:r>
        <w:rPr>
          <w:rFonts w:cs="Times New Roman"/>
          <w:color w:val="auto"/>
          <w:kern w:val="2"/>
          <w:sz w:val="21"/>
          <w:szCs w:val="21"/>
          <w:lang w:eastAsia="zh-CN"/>
        </w:rPr>
        <w:t>3</w:t>
      </w:r>
      <w:r>
        <w:rPr>
          <w:rFonts w:hint="eastAsia" w:cs="Times New Roman"/>
          <w:color w:val="auto"/>
          <w:kern w:val="2"/>
          <w:sz w:val="21"/>
          <w:szCs w:val="21"/>
          <w:lang w:eastAsia="zh-CN"/>
        </w:rPr>
        <w:t>）道路绿化，绿地率市区主干道不低于</w:t>
      </w:r>
      <w:r>
        <w:rPr>
          <w:rFonts w:cs="Times New Roman"/>
          <w:color w:val="auto"/>
          <w:kern w:val="2"/>
          <w:sz w:val="21"/>
          <w:szCs w:val="21"/>
          <w:lang w:eastAsia="zh-CN"/>
        </w:rPr>
        <w:t>30%</w:t>
      </w:r>
      <w:r>
        <w:rPr>
          <w:rFonts w:hint="eastAsia" w:cs="Times New Roman"/>
          <w:color w:val="auto"/>
          <w:kern w:val="2"/>
          <w:sz w:val="21"/>
          <w:szCs w:val="21"/>
          <w:lang w:eastAsia="zh-CN"/>
        </w:rPr>
        <w:t>，次干道不低于</w:t>
      </w:r>
      <w:r>
        <w:rPr>
          <w:rFonts w:cs="Times New Roman"/>
          <w:color w:val="auto"/>
          <w:kern w:val="2"/>
          <w:sz w:val="21"/>
          <w:szCs w:val="21"/>
          <w:lang w:eastAsia="zh-CN"/>
        </w:rPr>
        <w:t>20%</w:t>
      </w:r>
      <w:r>
        <w:rPr>
          <w:rFonts w:hint="eastAsia" w:cs="Times New Roman"/>
          <w:color w:val="auto"/>
          <w:kern w:val="2"/>
          <w:sz w:val="21"/>
          <w:szCs w:val="21"/>
          <w:lang w:eastAsia="zh-CN"/>
        </w:rPr>
        <w:t>，其他等级道路不低于</w:t>
      </w:r>
      <w:r>
        <w:rPr>
          <w:rFonts w:cs="Times New Roman"/>
          <w:color w:val="auto"/>
          <w:kern w:val="2"/>
          <w:sz w:val="21"/>
          <w:szCs w:val="21"/>
          <w:lang w:eastAsia="zh-CN"/>
        </w:rPr>
        <w:t>15%</w:t>
      </w:r>
      <w:r>
        <w:rPr>
          <w:rFonts w:hint="eastAsia" w:cs="Times New Roman"/>
          <w:color w:val="auto"/>
          <w:kern w:val="2"/>
          <w:sz w:val="21"/>
          <w:szCs w:val="21"/>
          <w:lang w:eastAsia="zh-CN"/>
        </w:rPr>
        <w:t>；道路长度在</w:t>
      </w:r>
      <w:r>
        <w:rPr>
          <w:rFonts w:cs="Times New Roman"/>
          <w:color w:val="auto"/>
          <w:kern w:val="2"/>
          <w:sz w:val="21"/>
          <w:szCs w:val="21"/>
          <w:lang w:eastAsia="zh-CN"/>
        </w:rPr>
        <w:t>1000</w:t>
      </w:r>
      <w:r>
        <w:rPr>
          <w:rFonts w:hint="eastAsia" w:cs="Times New Roman"/>
          <w:color w:val="auto"/>
          <w:kern w:val="2"/>
          <w:sz w:val="21"/>
          <w:szCs w:val="21"/>
          <w:lang w:eastAsia="zh-CN"/>
        </w:rPr>
        <w:t>米（含</w:t>
      </w:r>
      <w:r>
        <w:rPr>
          <w:rFonts w:cs="Times New Roman"/>
          <w:color w:val="auto"/>
          <w:kern w:val="2"/>
          <w:sz w:val="21"/>
          <w:szCs w:val="21"/>
          <w:lang w:eastAsia="zh-CN"/>
        </w:rPr>
        <w:t>1000</w:t>
      </w:r>
      <w:r>
        <w:rPr>
          <w:rFonts w:hint="eastAsia" w:cs="Times New Roman"/>
          <w:color w:val="auto"/>
          <w:kern w:val="2"/>
          <w:sz w:val="21"/>
          <w:szCs w:val="21"/>
          <w:lang w:eastAsia="zh-CN"/>
        </w:rPr>
        <w:t>米）以上或符合该条道路的规划设计要求。</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w:t>
      </w:r>
      <w:r>
        <w:rPr>
          <w:rFonts w:cs="Times New Roman"/>
          <w:color w:val="auto"/>
          <w:kern w:val="2"/>
          <w:sz w:val="21"/>
          <w:szCs w:val="21"/>
          <w:lang w:eastAsia="zh-CN"/>
        </w:rPr>
        <w:t>4</w:t>
      </w:r>
      <w:r>
        <w:rPr>
          <w:rFonts w:hint="eastAsia" w:cs="Times New Roman"/>
          <w:color w:val="auto"/>
          <w:kern w:val="2"/>
          <w:sz w:val="21"/>
          <w:szCs w:val="21"/>
          <w:lang w:eastAsia="zh-CN"/>
        </w:rPr>
        <w:t>）道路绿化，乔灌木种植面积应占绿地面积的</w:t>
      </w:r>
      <w:r>
        <w:rPr>
          <w:rFonts w:cs="Times New Roman"/>
          <w:color w:val="auto"/>
          <w:kern w:val="2"/>
          <w:sz w:val="21"/>
          <w:szCs w:val="21"/>
          <w:lang w:eastAsia="zh-CN"/>
        </w:rPr>
        <w:t>80%</w:t>
      </w:r>
      <w:r>
        <w:rPr>
          <w:rFonts w:hint="eastAsia" w:cs="Times New Roman"/>
          <w:color w:val="auto"/>
          <w:kern w:val="2"/>
          <w:sz w:val="21"/>
          <w:szCs w:val="21"/>
          <w:lang w:eastAsia="zh-CN"/>
        </w:rPr>
        <w:t>，其余为非林下草坪和地被植物。</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w:t>
      </w:r>
      <w:r>
        <w:rPr>
          <w:rFonts w:cs="Times New Roman"/>
          <w:color w:val="auto"/>
          <w:kern w:val="2"/>
          <w:sz w:val="21"/>
          <w:szCs w:val="21"/>
          <w:lang w:eastAsia="zh-CN"/>
        </w:rPr>
        <w:t>5</w:t>
      </w:r>
      <w:r>
        <w:rPr>
          <w:rFonts w:hint="eastAsia" w:cs="Times New Roman"/>
          <w:color w:val="auto"/>
          <w:kern w:val="2"/>
          <w:sz w:val="21"/>
          <w:szCs w:val="21"/>
          <w:lang w:eastAsia="zh-CN"/>
        </w:rPr>
        <w:t>）立交桥区绿地，乔灌木种植面积应占绿地面积的</w:t>
      </w:r>
      <w:r>
        <w:rPr>
          <w:rFonts w:cs="Times New Roman"/>
          <w:color w:val="auto"/>
          <w:kern w:val="2"/>
          <w:sz w:val="21"/>
          <w:szCs w:val="21"/>
          <w:lang w:eastAsia="zh-CN"/>
        </w:rPr>
        <w:t>60%</w:t>
      </w:r>
      <w:r>
        <w:rPr>
          <w:rFonts w:hint="eastAsia" w:cs="Times New Roman"/>
          <w:color w:val="auto"/>
          <w:kern w:val="2"/>
          <w:sz w:val="21"/>
          <w:szCs w:val="21"/>
          <w:lang w:eastAsia="zh-CN"/>
        </w:rPr>
        <w:t>至</w:t>
      </w:r>
      <w:r>
        <w:rPr>
          <w:rFonts w:cs="Times New Roman"/>
          <w:color w:val="auto"/>
          <w:kern w:val="2"/>
          <w:sz w:val="21"/>
          <w:szCs w:val="21"/>
          <w:lang w:eastAsia="zh-CN"/>
        </w:rPr>
        <w:t>70%</w:t>
      </w:r>
      <w:r>
        <w:rPr>
          <w:rFonts w:hint="eastAsia" w:cs="Times New Roman"/>
          <w:color w:val="auto"/>
          <w:kern w:val="2"/>
          <w:sz w:val="21"/>
          <w:szCs w:val="21"/>
          <w:lang w:eastAsia="zh-CN"/>
        </w:rPr>
        <w:t>。</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植物配置</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内植物配置应因地制宜，采取多种配置形式，注重按植物群落结构进行科学配置，力求以上层大乔木、中层小乔木和灌木、下层地被植物的形式，扩大绿地的复层结构比例。乔灌花草相结合，提高绿地内物种的丰富度，植物种类（含品种）不低于</w:t>
      </w:r>
      <w:r>
        <w:rPr>
          <w:rFonts w:cs="Times New Roman"/>
          <w:color w:val="auto"/>
          <w:kern w:val="2"/>
          <w:sz w:val="21"/>
          <w:szCs w:val="21"/>
          <w:lang w:eastAsia="zh-CN"/>
        </w:rPr>
        <w:t>20</w:t>
      </w:r>
      <w:r>
        <w:rPr>
          <w:rFonts w:hint="eastAsia" w:cs="Times New Roman"/>
          <w:color w:val="auto"/>
          <w:kern w:val="2"/>
          <w:sz w:val="21"/>
          <w:szCs w:val="21"/>
          <w:lang w:eastAsia="zh-CN"/>
        </w:rPr>
        <w:t>种（含</w:t>
      </w:r>
      <w:r>
        <w:rPr>
          <w:rFonts w:cs="Times New Roman"/>
          <w:color w:val="auto"/>
          <w:kern w:val="2"/>
          <w:sz w:val="21"/>
          <w:szCs w:val="21"/>
          <w:lang w:eastAsia="zh-CN"/>
        </w:rPr>
        <w:t>20</w:t>
      </w:r>
      <w:r>
        <w:rPr>
          <w:rFonts w:hint="eastAsia" w:cs="Times New Roman"/>
          <w:color w:val="auto"/>
          <w:kern w:val="2"/>
          <w:sz w:val="21"/>
          <w:szCs w:val="21"/>
          <w:lang w:eastAsia="zh-CN"/>
        </w:rPr>
        <w:t>种），非林下草坪所占比例在</w:t>
      </w:r>
      <w:r>
        <w:rPr>
          <w:rFonts w:cs="Times New Roman"/>
          <w:color w:val="auto"/>
          <w:kern w:val="2"/>
          <w:sz w:val="21"/>
          <w:szCs w:val="21"/>
          <w:lang w:eastAsia="zh-CN"/>
        </w:rPr>
        <w:t>30%</w:t>
      </w:r>
      <w:r>
        <w:rPr>
          <w:rFonts w:hint="eastAsia" w:cs="Times New Roman"/>
          <w:color w:val="auto"/>
          <w:kern w:val="2"/>
          <w:sz w:val="21"/>
          <w:szCs w:val="21"/>
          <w:lang w:eastAsia="zh-CN"/>
        </w:rPr>
        <w:t>（含</w:t>
      </w:r>
      <w:r>
        <w:rPr>
          <w:rFonts w:cs="Times New Roman"/>
          <w:color w:val="auto"/>
          <w:kern w:val="2"/>
          <w:sz w:val="21"/>
          <w:szCs w:val="21"/>
          <w:lang w:eastAsia="zh-CN"/>
        </w:rPr>
        <w:t>30%</w:t>
      </w:r>
      <w:r>
        <w:rPr>
          <w:rFonts w:hint="eastAsia" w:cs="Times New Roman"/>
          <w:color w:val="auto"/>
          <w:kern w:val="2"/>
          <w:sz w:val="21"/>
          <w:szCs w:val="21"/>
          <w:lang w:eastAsia="zh-CN"/>
        </w:rPr>
        <w:t>）以下。</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植物规格与密度协调，层次和色彩配比合理。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行道树或行列树木应整齐、美观，树间株距符合该植物的生物学特性和设计要求，高度、干径、树形近似，树木保持直立，无倾斜，观赏面朝向合理。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绿地环境</w:t>
      </w:r>
    </w:p>
    <w:p>
      <w:pPr>
        <w:autoSpaceDE/>
        <w:autoSpaceDN/>
        <w:spacing w:line="360" w:lineRule="auto"/>
        <w:ind w:firstLine="420" w:firstLineChars="200"/>
        <w:jc w:val="both"/>
        <w:rPr>
          <w:rFonts w:cs="Times New Roman"/>
          <w:color w:val="auto"/>
          <w:kern w:val="2"/>
          <w:sz w:val="21"/>
          <w:szCs w:val="21"/>
          <w:lang w:eastAsia="zh-CN"/>
        </w:rPr>
      </w:pPr>
      <w:r>
        <w:rPr>
          <w:rFonts w:cs="Times New Roman"/>
          <w:color w:val="auto"/>
          <w:kern w:val="2"/>
          <w:sz w:val="21"/>
          <w:szCs w:val="21"/>
          <w:lang w:eastAsia="zh-CN"/>
        </w:rPr>
        <w:t>(1)</w:t>
      </w:r>
      <w:r>
        <w:rPr>
          <w:rFonts w:hint="eastAsia" w:cs="Times New Roman"/>
          <w:color w:val="auto"/>
          <w:kern w:val="2"/>
          <w:sz w:val="21"/>
          <w:szCs w:val="21"/>
          <w:lang w:eastAsia="zh-CN"/>
        </w:rPr>
        <w:t>绿地范围内无违章建筑，无废弃的线杆、构筑物等设施，无违法广告、牌示，绿地设施完整，绿地整洁率和设施完整率在</w:t>
      </w:r>
      <w:r>
        <w:rPr>
          <w:rFonts w:cs="Times New Roman"/>
          <w:color w:val="auto"/>
          <w:kern w:val="2"/>
          <w:sz w:val="21"/>
          <w:szCs w:val="21"/>
          <w:lang w:eastAsia="zh-CN"/>
        </w:rPr>
        <w:t>95%</w:t>
      </w:r>
      <w:r>
        <w:rPr>
          <w:rFonts w:hint="eastAsia" w:cs="Times New Roman"/>
          <w:color w:val="auto"/>
          <w:kern w:val="2"/>
          <w:sz w:val="21"/>
          <w:szCs w:val="21"/>
          <w:lang w:eastAsia="zh-CN"/>
        </w:rPr>
        <w:t>（含</w:t>
      </w:r>
      <w:r>
        <w:rPr>
          <w:rFonts w:cs="Times New Roman"/>
          <w:color w:val="auto"/>
          <w:kern w:val="2"/>
          <w:sz w:val="21"/>
          <w:szCs w:val="21"/>
          <w:lang w:eastAsia="zh-CN"/>
        </w:rPr>
        <w:t>95%</w:t>
      </w:r>
      <w:r>
        <w:rPr>
          <w:rFonts w:hint="eastAsia" w:cs="Times New Roman"/>
          <w:color w:val="auto"/>
          <w:kern w:val="2"/>
          <w:sz w:val="21"/>
          <w:szCs w:val="21"/>
          <w:lang w:eastAsia="zh-CN"/>
        </w:rPr>
        <w:t>）以上。</w:t>
      </w:r>
      <w:r>
        <w:rPr>
          <w:rFonts w:cs="Times New Roman"/>
          <w:color w:val="auto"/>
          <w:kern w:val="2"/>
          <w:sz w:val="21"/>
          <w:szCs w:val="21"/>
          <w:lang w:eastAsia="zh-CN"/>
        </w:rPr>
        <w:t xml:space="preserve">  </w:t>
      </w:r>
    </w:p>
    <w:p>
      <w:pPr>
        <w:autoSpaceDE/>
        <w:autoSpaceDN/>
        <w:spacing w:line="360" w:lineRule="auto"/>
        <w:ind w:firstLine="420" w:firstLineChars="200"/>
        <w:jc w:val="both"/>
        <w:rPr>
          <w:rFonts w:cs="Times New Roman"/>
          <w:color w:val="auto"/>
          <w:kern w:val="2"/>
          <w:sz w:val="21"/>
          <w:szCs w:val="21"/>
          <w:lang w:eastAsia="zh-CN"/>
        </w:rPr>
      </w:pPr>
      <w:r>
        <w:rPr>
          <w:rFonts w:cs="Times New Roman"/>
          <w:color w:val="auto"/>
          <w:kern w:val="2"/>
          <w:sz w:val="21"/>
          <w:szCs w:val="21"/>
          <w:lang w:eastAsia="zh-CN"/>
        </w:rPr>
        <w:t>(2)</w:t>
      </w:r>
      <w:r>
        <w:rPr>
          <w:rFonts w:hint="eastAsia" w:cs="Times New Roman"/>
          <w:color w:val="auto"/>
          <w:kern w:val="2"/>
          <w:sz w:val="21"/>
          <w:szCs w:val="21"/>
          <w:lang w:eastAsia="zh-CN"/>
        </w:rPr>
        <w:t>地下设施覆土绿化应以实现永久性绿化为建设标准，以植物造景为主，形成以乔木为主的合理种植结构。其覆土厚度应不低于</w:t>
      </w:r>
      <w:r>
        <w:rPr>
          <w:rFonts w:cs="Times New Roman"/>
          <w:color w:val="auto"/>
          <w:kern w:val="2"/>
          <w:sz w:val="21"/>
          <w:szCs w:val="21"/>
          <w:lang w:eastAsia="zh-CN"/>
        </w:rPr>
        <w:t>3</w:t>
      </w:r>
      <w:r>
        <w:rPr>
          <w:rFonts w:hint="eastAsia" w:cs="Times New Roman"/>
          <w:color w:val="auto"/>
          <w:kern w:val="2"/>
          <w:sz w:val="21"/>
          <w:szCs w:val="21"/>
          <w:lang w:eastAsia="zh-CN"/>
        </w:rPr>
        <w:t>米，以符合常绿和落叶乔木、灌木、草坪等不同植物生长对栽植土层厚度的要求，为大乔木的充分生长奠定基础。</w:t>
      </w:r>
    </w:p>
    <w:p>
      <w:pPr>
        <w:autoSpaceDE/>
        <w:autoSpaceDN/>
        <w:spacing w:line="360" w:lineRule="auto"/>
        <w:ind w:firstLine="420" w:firstLineChars="200"/>
        <w:jc w:val="both"/>
        <w:rPr>
          <w:rFonts w:cs="Times New Roman"/>
          <w:color w:val="auto"/>
          <w:kern w:val="2"/>
          <w:sz w:val="21"/>
          <w:szCs w:val="21"/>
          <w:lang w:eastAsia="zh-CN"/>
        </w:rPr>
      </w:pPr>
      <w:r>
        <w:rPr>
          <w:rFonts w:hint="eastAsia" w:cs="Times New Roman"/>
          <w:color w:val="auto"/>
          <w:kern w:val="2"/>
          <w:sz w:val="21"/>
          <w:szCs w:val="21"/>
          <w:lang w:eastAsia="zh-CN"/>
        </w:rPr>
        <w:t>（二）绿地管理质量标准</w:t>
      </w:r>
    </w:p>
    <w:p>
      <w:pPr>
        <w:autoSpaceDE/>
        <w:autoSpaceDN/>
        <w:spacing w:line="360" w:lineRule="auto"/>
        <w:ind w:firstLine="420" w:firstLineChars="200"/>
        <w:jc w:val="both"/>
        <w:rPr>
          <w:rFonts w:cs="Times New Roman"/>
          <w:color w:val="auto"/>
          <w:kern w:val="2"/>
          <w:sz w:val="21"/>
          <w:szCs w:val="21"/>
          <w:lang w:eastAsia="zh-CN"/>
        </w:rPr>
      </w:pPr>
      <w:r>
        <w:rPr>
          <w:rFonts w:hint="eastAsia" w:cs="Times New Roman"/>
          <w:color w:val="auto"/>
          <w:kern w:val="2"/>
          <w:sz w:val="21"/>
          <w:szCs w:val="21"/>
          <w:lang w:eastAsia="zh-CN"/>
        </w:rPr>
        <w:t>在满足《城市园林绿化养护管理标准》中特级养护质量标准、技术措施和要求的基础上，还应达到：</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植物生长</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植物生长正常，枯枝干杈现象所占比例低于</w:t>
      </w:r>
      <w:r>
        <w:rPr>
          <w:rFonts w:cs="Times New Roman"/>
          <w:color w:val="auto"/>
          <w:kern w:val="2"/>
          <w:sz w:val="21"/>
          <w:szCs w:val="21"/>
          <w:lang w:eastAsia="zh-CN"/>
        </w:rPr>
        <w:t>5%</w:t>
      </w:r>
      <w:r>
        <w:rPr>
          <w:rFonts w:hint="eastAsia" w:cs="Times New Roman"/>
          <w:color w:val="auto"/>
          <w:kern w:val="2"/>
          <w:sz w:val="21"/>
          <w:szCs w:val="21"/>
          <w:lang w:eastAsia="zh-CN"/>
        </w:rPr>
        <w:t>，草坪覆盖率在</w:t>
      </w:r>
      <w:r>
        <w:rPr>
          <w:rFonts w:cs="Times New Roman"/>
          <w:color w:val="auto"/>
          <w:kern w:val="2"/>
          <w:sz w:val="21"/>
          <w:szCs w:val="21"/>
          <w:lang w:eastAsia="zh-CN"/>
        </w:rPr>
        <w:t>99%</w:t>
      </w:r>
      <w:r>
        <w:rPr>
          <w:rFonts w:hint="eastAsia" w:cs="Times New Roman"/>
          <w:color w:val="auto"/>
          <w:kern w:val="2"/>
          <w:sz w:val="21"/>
          <w:szCs w:val="21"/>
          <w:lang w:eastAsia="zh-CN"/>
        </w:rPr>
        <w:t>（含</w:t>
      </w:r>
      <w:r>
        <w:rPr>
          <w:rFonts w:cs="Times New Roman"/>
          <w:color w:val="auto"/>
          <w:kern w:val="2"/>
          <w:sz w:val="21"/>
          <w:szCs w:val="21"/>
          <w:lang w:eastAsia="zh-CN"/>
        </w:rPr>
        <w:t>99%</w:t>
      </w:r>
      <w:r>
        <w:rPr>
          <w:rFonts w:hint="eastAsia" w:cs="Times New Roman"/>
          <w:color w:val="auto"/>
          <w:kern w:val="2"/>
          <w:sz w:val="21"/>
          <w:szCs w:val="21"/>
          <w:lang w:eastAsia="zh-CN"/>
        </w:rPr>
        <w:t>）以上。</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病虫危害景观度在</w:t>
      </w:r>
      <w:r>
        <w:rPr>
          <w:rFonts w:cs="Times New Roman"/>
          <w:color w:val="auto"/>
          <w:kern w:val="2"/>
          <w:sz w:val="21"/>
          <w:szCs w:val="21"/>
          <w:lang w:eastAsia="zh-CN"/>
        </w:rPr>
        <w:t>5%</w:t>
      </w:r>
      <w:r>
        <w:rPr>
          <w:rFonts w:hint="eastAsia" w:cs="Times New Roman"/>
          <w:color w:val="auto"/>
          <w:kern w:val="2"/>
          <w:sz w:val="21"/>
          <w:szCs w:val="21"/>
          <w:lang w:eastAsia="zh-CN"/>
        </w:rPr>
        <w:t>（含</w:t>
      </w:r>
      <w:r>
        <w:rPr>
          <w:rFonts w:cs="Times New Roman"/>
          <w:color w:val="auto"/>
          <w:kern w:val="2"/>
          <w:sz w:val="21"/>
          <w:szCs w:val="21"/>
          <w:lang w:eastAsia="zh-CN"/>
        </w:rPr>
        <w:t>5%</w:t>
      </w:r>
      <w:r>
        <w:rPr>
          <w:rFonts w:hint="eastAsia" w:cs="Times New Roman"/>
          <w:color w:val="auto"/>
          <w:kern w:val="2"/>
          <w:sz w:val="21"/>
          <w:szCs w:val="21"/>
          <w:lang w:eastAsia="zh-CN"/>
        </w:rPr>
        <w:t>）以下，其中蛀干害虫有虫株率在</w:t>
      </w:r>
      <w:r>
        <w:rPr>
          <w:rFonts w:cs="Times New Roman"/>
          <w:color w:val="auto"/>
          <w:kern w:val="2"/>
          <w:sz w:val="21"/>
          <w:szCs w:val="21"/>
          <w:lang w:eastAsia="zh-CN"/>
        </w:rPr>
        <w:t>2%</w:t>
      </w:r>
      <w:r>
        <w:rPr>
          <w:rFonts w:hint="eastAsia" w:cs="Times New Roman"/>
          <w:color w:val="auto"/>
          <w:kern w:val="2"/>
          <w:sz w:val="21"/>
          <w:szCs w:val="21"/>
          <w:lang w:eastAsia="zh-CN"/>
        </w:rPr>
        <w:t>（含</w:t>
      </w:r>
      <w:r>
        <w:rPr>
          <w:rFonts w:cs="Times New Roman"/>
          <w:color w:val="auto"/>
          <w:kern w:val="2"/>
          <w:sz w:val="21"/>
          <w:szCs w:val="21"/>
          <w:lang w:eastAsia="zh-CN"/>
        </w:rPr>
        <w:t>2%</w:t>
      </w:r>
      <w:r>
        <w:rPr>
          <w:rFonts w:hint="eastAsia" w:cs="Times New Roman"/>
          <w:color w:val="auto"/>
          <w:kern w:val="2"/>
          <w:sz w:val="21"/>
          <w:szCs w:val="21"/>
          <w:lang w:eastAsia="zh-CN"/>
        </w:rPr>
        <w:t>）以下，黄叶、焦叶和吃花、吃树叶现象在</w:t>
      </w:r>
      <w:r>
        <w:rPr>
          <w:rFonts w:cs="Times New Roman"/>
          <w:color w:val="auto"/>
          <w:kern w:val="2"/>
          <w:sz w:val="21"/>
          <w:szCs w:val="21"/>
          <w:lang w:eastAsia="zh-CN"/>
        </w:rPr>
        <w:t>5%</w:t>
      </w:r>
      <w:r>
        <w:rPr>
          <w:rFonts w:hint="eastAsia" w:cs="Times New Roman"/>
          <w:color w:val="auto"/>
          <w:kern w:val="2"/>
          <w:sz w:val="21"/>
          <w:szCs w:val="21"/>
          <w:lang w:eastAsia="zh-CN"/>
        </w:rPr>
        <w:t>（含</w:t>
      </w:r>
      <w:r>
        <w:rPr>
          <w:rFonts w:cs="Times New Roman"/>
          <w:color w:val="auto"/>
          <w:kern w:val="2"/>
          <w:sz w:val="21"/>
          <w:szCs w:val="21"/>
          <w:lang w:eastAsia="zh-CN"/>
        </w:rPr>
        <w:t>5%</w:t>
      </w:r>
      <w:r>
        <w:rPr>
          <w:rFonts w:hint="eastAsia" w:cs="Times New Roman"/>
          <w:color w:val="auto"/>
          <w:kern w:val="2"/>
          <w:sz w:val="21"/>
          <w:szCs w:val="21"/>
          <w:lang w:eastAsia="zh-CN"/>
        </w:rPr>
        <w:t>）以下。</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绿地设施</w:t>
      </w:r>
    </w:p>
    <w:p>
      <w:pPr>
        <w:autoSpaceDE/>
        <w:autoSpaceDN/>
        <w:spacing w:line="360" w:lineRule="auto"/>
        <w:ind w:firstLine="420" w:firstLineChars="200"/>
        <w:jc w:val="both"/>
        <w:rPr>
          <w:rFonts w:cs="Times New Roman"/>
          <w:color w:val="auto"/>
          <w:kern w:val="2"/>
          <w:sz w:val="21"/>
          <w:szCs w:val="21"/>
          <w:lang w:eastAsia="zh-CN"/>
        </w:rPr>
      </w:pPr>
      <w:r>
        <w:rPr>
          <w:rFonts w:hint="eastAsia" w:cs="Times New Roman"/>
          <w:color w:val="auto"/>
          <w:kern w:val="2"/>
          <w:sz w:val="21"/>
          <w:szCs w:val="21"/>
          <w:lang w:eastAsia="zh-CN"/>
        </w:rPr>
        <w:t>绿地的给排水设施、护栏、园路、灯饰、路椅、果皮箱及体育健身器械等附属设施</w:t>
      </w:r>
      <w:r>
        <w:rPr>
          <w:rFonts w:cs="Times New Roman"/>
          <w:color w:val="auto"/>
          <w:kern w:val="2"/>
          <w:sz w:val="21"/>
          <w:szCs w:val="21"/>
          <w:lang w:eastAsia="zh-CN"/>
        </w:rPr>
        <w:t xml:space="preserve"> </w:t>
      </w:r>
      <w:r>
        <w:rPr>
          <w:rFonts w:hint="eastAsia" w:cs="Times New Roman"/>
          <w:color w:val="auto"/>
          <w:kern w:val="2"/>
          <w:sz w:val="21"/>
          <w:szCs w:val="21"/>
          <w:lang w:eastAsia="zh-CN"/>
        </w:rPr>
        <w:t>，要求完整无损，整齐洁净，维护及时，设施完好率在</w:t>
      </w:r>
      <w:r>
        <w:rPr>
          <w:rFonts w:cs="Times New Roman"/>
          <w:color w:val="auto"/>
          <w:kern w:val="2"/>
          <w:sz w:val="21"/>
          <w:szCs w:val="21"/>
          <w:lang w:eastAsia="zh-CN"/>
        </w:rPr>
        <w:t>95%</w:t>
      </w:r>
      <w:r>
        <w:rPr>
          <w:rFonts w:hint="eastAsia" w:cs="Times New Roman"/>
          <w:color w:val="auto"/>
          <w:kern w:val="2"/>
          <w:sz w:val="21"/>
          <w:szCs w:val="21"/>
          <w:lang w:eastAsia="zh-CN"/>
        </w:rPr>
        <w:t>（含</w:t>
      </w:r>
      <w:r>
        <w:rPr>
          <w:rFonts w:cs="Times New Roman"/>
          <w:color w:val="auto"/>
          <w:kern w:val="2"/>
          <w:sz w:val="21"/>
          <w:szCs w:val="21"/>
          <w:lang w:eastAsia="zh-CN"/>
        </w:rPr>
        <w:t>95%</w:t>
      </w:r>
      <w:r>
        <w:rPr>
          <w:rFonts w:hint="eastAsia" w:cs="Times New Roman"/>
          <w:color w:val="auto"/>
          <w:kern w:val="2"/>
          <w:sz w:val="21"/>
          <w:szCs w:val="21"/>
          <w:lang w:eastAsia="zh-CN"/>
        </w:rPr>
        <w:t>）以上。</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管理措施</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绿地范围内的古树名木须档案齐全，管理责任落实，保护措施到位，古树名木生长正常。</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树木修剪科学、合理，对银杏、毛白杨等具明显主干树种，在保证主枝顶芽不受伤害的前提下，保持主侧枝分布均匀；对国槐、栾树等圆冠形树种应注重培养树冠基本骨架，主侧枝先端一致，树冠整齐。</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要及时解决树木与行人、车辆、建筑物、电线、交通信号灯及标识等方面的矛盾。</w:t>
      </w:r>
      <w:r>
        <w:rPr>
          <w:rFonts w:cs="Times New Roman"/>
          <w:color w:val="auto"/>
          <w:kern w:val="2"/>
          <w:sz w:val="21"/>
          <w:szCs w:val="21"/>
          <w:lang w:eastAsia="zh-CN"/>
        </w:rPr>
        <w:t xml:space="preserve">         </w:t>
      </w:r>
    </w:p>
    <w:p>
      <w:pPr>
        <w:autoSpaceDE/>
        <w:autoSpaceDN/>
        <w:spacing w:line="360" w:lineRule="auto"/>
        <w:jc w:val="both"/>
        <w:rPr>
          <w:rFonts w:cs="Times New Roman"/>
          <w:b/>
          <w:color w:val="auto"/>
          <w:kern w:val="2"/>
          <w:sz w:val="21"/>
          <w:szCs w:val="21"/>
          <w:lang w:eastAsia="zh-CN"/>
        </w:rPr>
      </w:pPr>
      <w:r>
        <w:rPr>
          <w:rFonts w:cs="Times New Roman"/>
          <w:color w:val="auto"/>
          <w:kern w:val="2"/>
          <w:sz w:val="21"/>
          <w:szCs w:val="21"/>
          <w:lang w:eastAsia="zh-CN"/>
        </w:rPr>
        <w:t xml:space="preserve">     </w:t>
      </w:r>
      <w:r>
        <w:rPr>
          <w:rFonts w:hint="eastAsia" w:cs="Times New Roman"/>
          <w:b/>
          <w:color w:val="auto"/>
          <w:kern w:val="2"/>
          <w:sz w:val="21"/>
          <w:szCs w:val="21"/>
          <w:lang w:eastAsia="zh-CN"/>
        </w:rPr>
        <w:t>二、一级绿地质量标准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（一）绿地建设质量标准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绿地规模</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绿地面积在</w:t>
      </w:r>
      <w:r>
        <w:rPr>
          <w:rFonts w:cs="Times New Roman"/>
          <w:color w:val="auto"/>
          <w:kern w:val="2"/>
          <w:sz w:val="21"/>
          <w:szCs w:val="21"/>
          <w:lang w:eastAsia="zh-CN"/>
        </w:rPr>
        <w:t>2000</w:t>
      </w:r>
      <w:r>
        <w:rPr>
          <w:rFonts w:hint="eastAsia" w:cs="Times New Roman"/>
          <w:color w:val="auto"/>
          <w:kern w:val="2"/>
          <w:sz w:val="21"/>
          <w:szCs w:val="21"/>
          <w:lang w:eastAsia="zh-CN"/>
        </w:rPr>
        <w:t>平方米（含</w:t>
      </w:r>
      <w:r>
        <w:rPr>
          <w:rFonts w:cs="Times New Roman"/>
          <w:color w:val="auto"/>
          <w:kern w:val="2"/>
          <w:sz w:val="21"/>
          <w:szCs w:val="21"/>
          <w:lang w:eastAsia="zh-CN"/>
        </w:rPr>
        <w:t>2000</w:t>
      </w:r>
      <w:r>
        <w:rPr>
          <w:rFonts w:hint="eastAsia" w:cs="Times New Roman"/>
          <w:color w:val="auto"/>
          <w:kern w:val="2"/>
          <w:sz w:val="21"/>
          <w:szCs w:val="21"/>
          <w:lang w:eastAsia="zh-CN"/>
        </w:rPr>
        <w:t>平方米）以上。</w:t>
      </w:r>
      <w:r>
        <w:rPr>
          <w:rFonts w:cs="Times New Roman"/>
          <w:color w:val="auto"/>
          <w:kern w:val="2"/>
          <w:sz w:val="21"/>
          <w:szCs w:val="21"/>
          <w:lang w:eastAsia="zh-CN"/>
        </w:rPr>
        <w:t xml:space="preserve"> </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绿地中植物种植应以乔木为主，乔灌木种植面积比例原则上控制在绿地面积的</w:t>
      </w:r>
      <w:r>
        <w:rPr>
          <w:rFonts w:cs="Times New Roman"/>
          <w:color w:val="auto"/>
          <w:kern w:val="2"/>
          <w:sz w:val="21"/>
          <w:szCs w:val="21"/>
          <w:lang w:eastAsia="zh-CN"/>
        </w:rPr>
        <w:t>70%</w:t>
      </w:r>
      <w:r>
        <w:rPr>
          <w:rFonts w:hint="eastAsia" w:cs="Times New Roman"/>
          <w:color w:val="auto"/>
          <w:kern w:val="2"/>
          <w:sz w:val="21"/>
          <w:szCs w:val="21"/>
          <w:lang w:eastAsia="zh-CN"/>
        </w:rPr>
        <w:t>左右，其余为非林下草坪和地被植物。</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w:t>
      </w:r>
      <w:r>
        <w:rPr>
          <w:rFonts w:cs="Times New Roman"/>
          <w:color w:val="auto"/>
          <w:kern w:val="2"/>
          <w:sz w:val="21"/>
          <w:szCs w:val="21"/>
          <w:lang w:eastAsia="zh-CN"/>
        </w:rPr>
        <w:t>3</w:t>
      </w:r>
      <w:r>
        <w:rPr>
          <w:rFonts w:hint="eastAsia" w:cs="Times New Roman"/>
          <w:color w:val="auto"/>
          <w:kern w:val="2"/>
          <w:sz w:val="21"/>
          <w:szCs w:val="21"/>
          <w:lang w:eastAsia="zh-CN"/>
        </w:rPr>
        <w:t>）道路绿化，绿地率市区主干道不低于</w:t>
      </w:r>
      <w:r>
        <w:rPr>
          <w:rFonts w:cs="Times New Roman"/>
          <w:color w:val="auto"/>
          <w:kern w:val="2"/>
          <w:sz w:val="21"/>
          <w:szCs w:val="21"/>
          <w:lang w:eastAsia="zh-CN"/>
        </w:rPr>
        <w:t>30%</w:t>
      </w:r>
      <w:r>
        <w:rPr>
          <w:rFonts w:hint="eastAsia" w:cs="Times New Roman"/>
          <w:color w:val="auto"/>
          <w:kern w:val="2"/>
          <w:sz w:val="21"/>
          <w:szCs w:val="21"/>
          <w:lang w:eastAsia="zh-CN"/>
        </w:rPr>
        <w:t>，次干道不低于</w:t>
      </w:r>
      <w:r>
        <w:rPr>
          <w:rFonts w:cs="Times New Roman"/>
          <w:color w:val="auto"/>
          <w:kern w:val="2"/>
          <w:sz w:val="21"/>
          <w:szCs w:val="21"/>
          <w:lang w:eastAsia="zh-CN"/>
        </w:rPr>
        <w:t>20%</w:t>
      </w:r>
      <w:r>
        <w:rPr>
          <w:rFonts w:hint="eastAsia" w:cs="Times New Roman"/>
          <w:color w:val="auto"/>
          <w:kern w:val="2"/>
          <w:sz w:val="21"/>
          <w:szCs w:val="21"/>
          <w:lang w:eastAsia="zh-CN"/>
        </w:rPr>
        <w:t>，其他等级道路不低于</w:t>
      </w:r>
      <w:r>
        <w:rPr>
          <w:rFonts w:cs="Times New Roman"/>
          <w:color w:val="auto"/>
          <w:kern w:val="2"/>
          <w:sz w:val="21"/>
          <w:szCs w:val="21"/>
          <w:lang w:eastAsia="zh-CN"/>
        </w:rPr>
        <w:t>15%</w:t>
      </w:r>
      <w:r>
        <w:rPr>
          <w:rFonts w:hint="eastAsia" w:cs="Times New Roman"/>
          <w:color w:val="auto"/>
          <w:kern w:val="2"/>
          <w:sz w:val="21"/>
          <w:szCs w:val="21"/>
          <w:lang w:eastAsia="zh-CN"/>
        </w:rPr>
        <w:t>；道路长度在</w:t>
      </w:r>
      <w:r>
        <w:rPr>
          <w:rFonts w:cs="Times New Roman"/>
          <w:color w:val="auto"/>
          <w:kern w:val="2"/>
          <w:sz w:val="21"/>
          <w:szCs w:val="21"/>
          <w:lang w:eastAsia="zh-CN"/>
        </w:rPr>
        <w:t>1000</w:t>
      </w:r>
      <w:r>
        <w:rPr>
          <w:rFonts w:hint="eastAsia" w:cs="Times New Roman"/>
          <w:color w:val="auto"/>
          <w:kern w:val="2"/>
          <w:sz w:val="21"/>
          <w:szCs w:val="21"/>
          <w:lang w:eastAsia="zh-CN"/>
        </w:rPr>
        <w:t>米（含</w:t>
      </w:r>
      <w:r>
        <w:rPr>
          <w:rFonts w:cs="Times New Roman"/>
          <w:color w:val="auto"/>
          <w:kern w:val="2"/>
          <w:sz w:val="21"/>
          <w:szCs w:val="21"/>
          <w:lang w:eastAsia="zh-CN"/>
        </w:rPr>
        <w:t>1000</w:t>
      </w:r>
      <w:r>
        <w:rPr>
          <w:rFonts w:hint="eastAsia" w:cs="Times New Roman"/>
          <w:color w:val="auto"/>
          <w:kern w:val="2"/>
          <w:sz w:val="21"/>
          <w:szCs w:val="21"/>
          <w:lang w:eastAsia="zh-CN"/>
        </w:rPr>
        <w:t>米）以上或符合该条道路的规划设计要求。</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w:t>
      </w:r>
      <w:r>
        <w:rPr>
          <w:rFonts w:cs="Times New Roman"/>
          <w:color w:val="auto"/>
          <w:kern w:val="2"/>
          <w:sz w:val="21"/>
          <w:szCs w:val="21"/>
          <w:lang w:eastAsia="zh-CN"/>
        </w:rPr>
        <w:t>4</w:t>
      </w:r>
      <w:r>
        <w:rPr>
          <w:rFonts w:hint="eastAsia" w:cs="Times New Roman"/>
          <w:color w:val="auto"/>
          <w:kern w:val="2"/>
          <w:sz w:val="21"/>
          <w:szCs w:val="21"/>
          <w:lang w:eastAsia="zh-CN"/>
        </w:rPr>
        <w:t>）道路绿化，乔灌木种植面积应占绿地面积的</w:t>
      </w:r>
      <w:r>
        <w:rPr>
          <w:rFonts w:cs="Times New Roman"/>
          <w:color w:val="auto"/>
          <w:kern w:val="2"/>
          <w:sz w:val="21"/>
          <w:szCs w:val="21"/>
          <w:lang w:eastAsia="zh-CN"/>
        </w:rPr>
        <w:t>80%</w:t>
      </w:r>
      <w:r>
        <w:rPr>
          <w:rFonts w:hint="eastAsia" w:cs="Times New Roman"/>
          <w:color w:val="auto"/>
          <w:kern w:val="2"/>
          <w:sz w:val="21"/>
          <w:szCs w:val="21"/>
          <w:lang w:eastAsia="zh-CN"/>
        </w:rPr>
        <w:t>，其余为非林下草坪和地被植物。</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w:t>
      </w:r>
      <w:r>
        <w:rPr>
          <w:rFonts w:cs="Times New Roman"/>
          <w:color w:val="auto"/>
          <w:kern w:val="2"/>
          <w:sz w:val="21"/>
          <w:szCs w:val="21"/>
          <w:lang w:eastAsia="zh-CN"/>
        </w:rPr>
        <w:t>5</w:t>
      </w:r>
      <w:r>
        <w:rPr>
          <w:rFonts w:hint="eastAsia" w:cs="Times New Roman"/>
          <w:color w:val="auto"/>
          <w:kern w:val="2"/>
          <w:sz w:val="21"/>
          <w:szCs w:val="21"/>
          <w:lang w:eastAsia="zh-CN"/>
        </w:rPr>
        <w:t>）立交桥区绿地，乔灌木种植面积应占绿地面积的</w:t>
      </w:r>
      <w:r>
        <w:rPr>
          <w:rFonts w:cs="Times New Roman"/>
          <w:color w:val="auto"/>
          <w:kern w:val="2"/>
          <w:sz w:val="21"/>
          <w:szCs w:val="21"/>
          <w:lang w:eastAsia="zh-CN"/>
        </w:rPr>
        <w:t>60%</w:t>
      </w:r>
      <w:r>
        <w:rPr>
          <w:rFonts w:hint="eastAsia" w:cs="Times New Roman"/>
          <w:color w:val="auto"/>
          <w:kern w:val="2"/>
          <w:sz w:val="21"/>
          <w:szCs w:val="21"/>
          <w:lang w:eastAsia="zh-CN"/>
        </w:rPr>
        <w:t>至</w:t>
      </w:r>
      <w:r>
        <w:rPr>
          <w:rFonts w:cs="Times New Roman"/>
          <w:color w:val="auto"/>
          <w:kern w:val="2"/>
          <w:sz w:val="21"/>
          <w:szCs w:val="21"/>
          <w:lang w:eastAsia="zh-CN"/>
        </w:rPr>
        <w:t>70%</w:t>
      </w:r>
      <w:r>
        <w:rPr>
          <w:rFonts w:hint="eastAsia" w:cs="Times New Roman"/>
          <w:color w:val="auto"/>
          <w:kern w:val="2"/>
          <w:sz w:val="21"/>
          <w:szCs w:val="21"/>
          <w:lang w:eastAsia="zh-CN"/>
        </w:rPr>
        <w:t>。</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植物配置</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内植物配置应因地制宜，采取多种配置形式，注重按植物群落结构进行科学配置，力求以上层大乔木、中层小乔木和灌木、下层地被植物的形式，扩大绿地的复层结构比例。乔灌花草相结合，提高绿地内物种的丰富度，植物种类（含品种）不低于</w:t>
      </w:r>
      <w:r>
        <w:rPr>
          <w:rFonts w:cs="Times New Roman"/>
          <w:color w:val="auto"/>
          <w:kern w:val="2"/>
          <w:sz w:val="21"/>
          <w:szCs w:val="21"/>
          <w:lang w:eastAsia="zh-CN"/>
        </w:rPr>
        <w:t>20</w:t>
      </w:r>
      <w:r>
        <w:rPr>
          <w:rFonts w:hint="eastAsia" w:cs="Times New Roman"/>
          <w:color w:val="auto"/>
          <w:kern w:val="2"/>
          <w:sz w:val="21"/>
          <w:szCs w:val="21"/>
          <w:lang w:eastAsia="zh-CN"/>
        </w:rPr>
        <w:t>种（含</w:t>
      </w:r>
      <w:r>
        <w:rPr>
          <w:rFonts w:cs="Times New Roman"/>
          <w:color w:val="auto"/>
          <w:kern w:val="2"/>
          <w:sz w:val="21"/>
          <w:szCs w:val="21"/>
          <w:lang w:eastAsia="zh-CN"/>
        </w:rPr>
        <w:t>20</w:t>
      </w:r>
      <w:r>
        <w:rPr>
          <w:rFonts w:hint="eastAsia" w:cs="Times New Roman"/>
          <w:color w:val="auto"/>
          <w:kern w:val="2"/>
          <w:sz w:val="21"/>
          <w:szCs w:val="21"/>
          <w:lang w:eastAsia="zh-CN"/>
        </w:rPr>
        <w:t>种），非林下草坪所占比例在</w:t>
      </w:r>
      <w:r>
        <w:rPr>
          <w:rFonts w:cs="Times New Roman"/>
          <w:color w:val="auto"/>
          <w:kern w:val="2"/>
          <w:sz w:val="21"/>
          <w:szCs w:val="21"/>
          <w:lang w:eastAsia="zh-CN"/>
        </w:rPr>
        <w:t>30%</w:t>
      </w:r>
      <w:r>
        <w:rPr>
          <w:rFonts w:hint="eastAsia" w:cs="Times New Roman"/>
          <w:color w:val="auto"/>
          <w:kern w:val="2"/>
          <w:sz w:val="21"/>
          <w:szCs w:val="21"/>
          <w:lang w:eastAsia="zh-CN"/>
        </w:rPr>
        <w:t>（含</w:t>
      </w:r>
      <w:r>
        <w:rPr>
          <w:rFonts w:cs="Times New Roman"/>
          <w:color w:val="auto"/>
          <w:kern w:val="2"/>
          <w:sz w:val="21"/>
          <w:szCs w:val="21"/>
          <w:lang w:eastAsia="zh-CN"/>
        </w:rPr>
        <w:t>30%</w:t>
      </w:r>
      <w:r>
        <w:rPr>
          <w:rFonts w:hint="eastAsia" w:cs="Times New Roman"/>
          <w:color w:val="auto"/>
          <w:kern w:val="2"/>
          <w:sz w:val="21"/>
          <w:szCs w:val="21"/>
          <w:lang w:eastAsia="zh-CN"/>
        </w:rPr>
        <w:t>）以下。</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植物规格与密度协调，层次和色彩配比合理。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行道树或行列树木整齐、美观，树间株距符合该植物的生物学特性和设计要求，高度、干径、树形近似，树木保持直立，无倾斜，观赏面朝向合理。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绿地环境</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绿地范围内无违章建筑，无废弃的线杆、构筑物等设施，无违法广告、牌示，绿地设施完整，绿地整洁率和设施完整率在</w:t>
      </w:r>
      <w:r>
        <w:rPr>
          <w:rFonts w:cs="Times New Roman"/>
          <w:color w:val="auto"/>
          <w:kern w:val="2"/>
          <w:sz w:val="21"/>
          <w:szCs w:val="21"/>
          <w:lang w:eastAsia="zh-CN"/>
        </w:rPr>
        <w:t>80%</w:t>
      </w:r>
      <w:r>
        <w:rPr>
          <w:rFonts w:hint="eastAsia" w:cs="Times New Roman"/>
          <w:color w:val="auto"/>
          <w:kern w:val="2"/>
          <w:sz w:val="21"/>
          <w:szCs w:val="21"/>
          <w:lang w:eastAsia="zh-CN"/>
        </w:rPr>
        <w:t>（含</w:t>
      </w:r>
      <w:r>
        <w:rPr>
          <w:rFonts w:cs="Times New Roman"/>
          <w:color w:val="auto"/>
          <w:kern w:val="2"/>
          <w:sz w:val="21"/>
          <w:szCs w:val="21"/>
          <w:lang w:eastAsia="zh-CN"/>
        </w:rPr>
        <w:t>80%</w:t>
      </w:r>
      <w:r>
        <w:rPr>
          <w:rFonts w:hint="eastAsia" w:cs="Times New Roman"/>
          <w:color w:val="auto"/>
          <w:kern w:val="2"/>
          <w:sz w:val="21"/>
          <w:szCs w:val="21"/>
          <w:lang w:eastAsia="zh-CN"/>
        </w:rPr>
        <w:t>）以上。</w:t>
      </w:r>
      <w:r>
        <w:rPr>
          <w:rFonts w:cs="Times New Roman"/>
          <w:color w:val="auto"/>
          <w:kern w:val="2"/>
          <w:sz w:val="21"/>
          <w:szCs w:val="21"/>
          <w:lang w:eastAsia="zh-CN"/>
        </w:rPr>
        <w:t xml:space="preserve">  </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地下设施覆土绿化应以实现永久性绿化为建设标准，以植物造景为主，形成以乔木为主的合理的种植结构。其覆土厚度应不低于</w:t>
      </w:r>
      <w:r>
        <w:rPr>
          <w:rFonts w:cs="Times New Roman"/>
          <w:color w:val="auto"/>
          <w:kern w:val="2"/>
          <w:sz w:val="21"/>
          <w:szCs w:val="21"/>
          <w:lang w:eastAsia="zh-CN"/>
        </w:rPr>
        <w:t>2</w:t>
      </w:r>
      <w:r>
        <w:rPr>
          <w:rFonts w:hint="eastAsia" w:cs="Times New Roman"/>
          <w:color w:val="auto"/>
          <w:kern w:val="2"/>
          <w:sz w:val="21"/>
          <w:szCs w:val="21"/>
          <w:lang w:eastAsia="zh-CN"/>
        </w:rPr>
        <w:t>米，以符合常绿和落叶乔木、灌木、草坪等不同植物生长对栽植土层厚度的要求，为乔木的正常生长奠定基础。</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（二）绿地管理质量标准</w:t>
      </w:r>
    </w:p>
    <w:p>
      <w:pPr>
        <w:autoSpaceDE/>
        <w:autoSpaceDN/>
        <w:spacing w:line="360" w:lineRule="auto"/>
        <w:ind w:firstLine="420" w:firstLineChars="200"/>
        <w:jc w:val="both"/>
        <w:rPr>
          <w:rFonts w:cs="Times New Roman"/>
          <w:color w:val="auto"/>
          <w:kern w:val="2"/>
          <w:sz w:val="21"/>
          <w:szCs w:val="21"/>
          <w:lang w:eastAsia="zh-CN"/>
        </w:rPr>
      </w:pPr>
      <w:r>
        <w:rPr>
          <w:rFonts w:hint="eastAsia" w:cs="Times New Roman"/>
          <w:color w:val="auto"/>
          <w:kern w:val="2"/>
          <w:sz w:val="21"/>
          <w:szCs w:val="21"/>
          <w:lang w:eastAsia="zh-CN"/>
        </w:rPr>
        <w:t>在满足《城市园林绿化养护管理标准》中一级养护质量标准、技术措施和要求的基础上，还应达到：</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植物生长</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植物生长正常，枯枝干杈现象所占比例低于</w:t>
      </w:r>
      <w:r>
        <w:rPr>
          <w:rFonts w:cs="Times New Roman"/>
          <w:color w:val="auto"/>
          <w:kern w:val="2"/>
          <w:sz w:val="21"/>
          <w:szCs w:val="21"/>
          <w:lang w:eastAsia="zh-CN"/>
        </w:rPr>
        <w:t>10%</w:t>
      </w:r>
      <w:r>
        <w:rPr>
          <w:rFonts w:hint="eastAsia" w:cs="Times New Roman"/>
          <w:color w:val="auto"/>
          <w:kern w:val="2"/>
          <w:sz w:val="21"/>
          <w:szCs w:val="21"/>
          <w:lang w:eastAsia="zh-CN"/>
        </w:rPr>
        <w:t>，草坪覆盖率在</w:t>
      </w:r>
      <w:r>
        <w:rPr>
          <w:rFonts w:cs="Times New Roman"/>
          <w:color w:val="auto"/>
          <w:kern w:val="2"/>
          <w:sz w:val="21"/>
          <w:szCs w:val="21"/>
          <w:lang w:eastAsia="zh-CN"/>
        </w:rPr>
        <w:t>85%</w:t>
      </w:r>
      <w:r>
        <w:rPr>
          <w:rFonts w:hint="eastAsia" w:cs="Times New Roman"/>
          <w:color w:val="auto"/>
          <w:kern w:val="2"/>
          <w:sz w:val="21"/>
          <w:szCs w:val="21"/>
          <w:lang w:eastAsia="zh-CN"/>
        </w:rPr>
        <w:t>（含</w:t>
      </w:r>
      <w:r>
        <w:rPr>
          <w:rFonts w:cs="Times New Roman"/>
          <w:color w:val="auto"/>
          <w:kern w:val="2"/>
          <w:sz w:val="21"/>
          <w:szCs w:val="21"/>
          <w:lang w:eastAsia="zh-CN"/>
        </w:rPr>
        <w:t>85%</w:t>
      </w:r>
      <w:r>
        <w:rPr>
          <w:rFonts w:hint="eastAsia" w:cs="Times New Roman"/>
          <w:color w:val="auto"/>
          <w:kern w:val="2"/>
          <w:sz w:val="21"/>
          <w:szCs w:val="21"/>
          <w:lang w:eastAsia="zh-CN"/>
        </w:rPr>
        <w:t>）以上。</w:t>
      </w:r>
    </w:p>
    <w:p>
      <w:pPr>
        <w:autoSpaceDE/>
        <w:autoSpaceDN/>
        <w:spacing w:line="360" w:lineRule="auto"/>
        <w:ind w:firstLine="420" w:firstLineChars="200"/>
        <w:jc w:val="both"/>
        <w:rPr>
          <w:rFonts w:cs="Times New Roman"/>
          <w:color w:val="auto"/>
          <w:kern w:val="2"/>
          <w:sz w:val="21"/>
          <w:szCs w:val="21"/>
          <w:lang w:eastAsia="zh-CN"/>
        </w:rPr>
      </w:pPr>
      <w:r>
        <w:rPr>
          <w:rFonts w:cs="Times New Roman"/>
          <w:color w:val="auto"/>
          <w:kern w:val="2"/>
          <w:sz w:val="21"/>
          <w:szCs w:val="21"/>
          <w:lang w:eastAsia="zh-CN"/>
        </w:rPr>
        <w:t>(2)</w:t>
      </w:r>
      <w:r>
        <w:rPr>
          <w:rFonts w:hint="eastAsia" w:cs="Times New Roman"/>
          <w:color w:val="auto"/>
          <w:kern w:val="2"/>
          <w:sz w:val="21"/>
          <w:szCs w:val="21"/>
          <w:lang w:eastAsia="zh-CN"/>
        </w:rPr>
        <w:t>病虫危害景观度在</w:t>
      </w:r>
      <w:r>
        <w:rPr>
          <w:rFonts w:cs="Times New Roman"/>
          <w:color w:val="auto"/>
          <w:kern w:val="2"/>
          <w:sz w:val="21"/>
          <w:szCs w:val="21"/>
          <w:lang w:eastAsia="zh-CN"/>
        </w:rPr>
        <w:t>10%</w:t>
      </w:r>
      <w:r>
        <w:rPr>
          <w:rFonts w:hint="eastAsia" w:cs="Times New Roman"/>
          <w:color w:val="auto"/>
          <w:kern w:val="2"/>
          <w:sz w:val="21"/>
          <w:szCs w:val="21"/>
          <w:lang w:eastAsia="zh-CN"/>
        </w:rPr>
        <w:t>（含</w:t>
      </w:r>
      <w:r>
        <w:rPr>
          <w:rFonts w:cs="Times New Roman"/>
          <w:color w:val="auto"/>
          <w:kern w:val="2"/>
          <w:sz w:val="21"/>
          <w:szCs w:val="21"/>
          <w:lang w:eastAsia="zh-CN"/>
        </w:rPr>
        <w:t>10%</w:t>
      </w:r>
      <w:r>
        <w:rPr>
          <w:rFonts w:hint="eastAsia" w:cs="Times New Roman"/>
          <w:color w:val="auto"/>
          <w:kern w:val="2"/>
          <w:sz w:val="21"/>
          <w:szCs w:val="21"/>
          <w:lang w:eastAsia="zh-CN"/>
        </w:rPr>
        <w:t>）以下，其中蛀干害虫有虫株率在</w:t>
      </w:r>
      <w:r>
        <w:rPr>
          <w:rFonts w:cs="Times New Roman"/>
          <w:color w:val="auto"/>
          <w:kern w:val="2"/>
          <w:sz w:val="21"/>
          <w:szCs w:val="21"/>
          <w:lang w:eastAsia="zh-CN"/>
        </w:rPr>
        <w:t>4%</w:t>
      </w:r>
      <w:r>
        <w:rPr>
          <w:rFonts w:hint="eastAsia" w:cs="Times New Roman"/>
          <w:color w:val="auto"/>
          <w:kern w:val="2"/>
          <w:sz w:val="21"/>
          <w:szCs w:val="21"/>
          <w:lang w:eastAsia="zh-CN"/>
        </w:rPr>
        <w:t>（含</w:t>
      </w:r>
      <w:r>
        <w:rPr>
          <w:rFonts w:cs="Times New Roman"/>
          <w:color w:val="auto"/>
          <w:kern w:val="2"/>
          <w:sz w:val="21"/>
          <w:szCs w:val="21"/>
          <w:lang w:eastAsia="zh-CN"/>
        </w:rPr>
        <w:t>4%</w:t>
      </w:r>
      <w:r>
        <w:rPr>
          <w:rFonts w:hint="eastAsia" w:cs="Times New Roman"/>
          <w:color w:val="auto"/>
          <w:kern w:val="2"/>
          <w:sz w:val="21"/>
          <w:szCs w:val="21"/>
          <w:lang w:eastAsia="zh-CN"/>
        </w:rPr>
        <w:t>）以下，黄叶、焦叶和吃花、吃树叶现象在</w:t>
      </w:r>
      <w:r>
        <w:rPr>
          <w:rFonts w:cs="Times New Roman"/>
          <w:color w:val="auto"/>
          <w:kern w:val="2"/>
          <w:sz w:val="21"/>
          <w:szCs w:val="21"/>
          <w:lang w:eastAsia="zh-CN"/>
        </w:rPr>
        <w:t>10%</w:t>
      </w:r>
      <w:r>
        <w:rPr>
          <w:rFonts w:hint="eastAsia" w:cs="Times New Roman"/>
          <w:color w:val="auto"/>
          <w:kern w:val="2"/>
          <w:sz w:val="21"/>
          <w:szCs w:val="21"/>
          <w:lang w:eastAsia="zh-CN"/>
        </w:rPr>
        <w:t>（含</w:t>
      </w:r>
      <w:r>
        <w:rPr>
          <w:rFonts w:cs="Times New Roman"/>
          <w:color w:val="auto"/>
          <w:kern w:val="2"/>
          <w:sz w:val="21"/>
          <w:szCs w:val="21"/>
          <w:lang w:eastAsia="zh-CN"/>
        </w:rPr>
        <w:t>10%</w:t>
      </w:r>
      <w:r>
        <w:rPr>
          <w:rFonts w:hint="eastAsia" w:cs="Times New Roman"/>
          <w:color w:val="auto"/>
          <w:kern w:val="2"/>
          <w:sz w:val="21"/>
          <w:szCs w:val="21"/>
          <w:lang w:eastAsia="zh-CN"/>
        </w:rPr>
        <w:t>）以下。</w:t>
      </w:r>
    </w:p>
    <w:p>
      <w:pPr>
        <w:autoSpaceDE/>
        <w:autoSpaceDN/>
        <w:spacing w:line="360" w:lineRule="auto"/>
        <w:ind w:firstLine="420" w:firstLineChars="200"/>
        <w:jc w:val="both"/>
        <w:rPr>
          <w:rFonts w:cs="Times New Roman"/>
          <w:color w:val="auto"/>
          <w:kern w:val="2"/>
          <w:sz w:val="21"/>
          <w:szCs w:val="21"/>
          <w:lang w:eastAsia="zh-CN"/>
        </w:rPr>
      </w:pPr>
      <w:r>
        <w:rPr>
          <w:rFonts w:cs="Times New Roman"/>
          <w:color w:val="auto"/>
          <w:kern w:val="2"/>
          <w:sz w:val="21"/>
          <w:szCs w:val="21"/>
          <w:lang w:eastAsia="zh-CN"/>
        </w:rPr>
        <w:t>2.</w:t>
      </w:r>
      <w:r>
        <w:rPr>
          <w:rFonts w:hint="eastAsia" w:cs="Times New Roman"/>
          <w:color w:val="auto"/>
          <w:kern w:val="2"/>
          <w:sz w:val="21"/>
          <w:szCs w:val="21"/>
          <w:lang w:eastAsia="zh-CN"/>
        </w:rPr>
        <w:t>绿地设施</w:t>
      </w:r>
    </w:p>
    <w:p>
      <w:pPr>
        <w:autoSpaceDE/>
        <w:autoSpaceDN/>
        <w:spacing w:line="360" w:lineRule="auto"/>
        <w:ind w:firstLine="420" w:firstLineChars="200"/>
        <w:jc w:val="both"/>
        <w:rPr>
          <w:rFonts w:cs="Times New Roman"/>
          <w:color w:val="auto"/>
          <w:kern w:val="2"/>
          <w:sz w:val="21"/>
          <w:szCs w:val="21"/>
          <w:lang w:eastAsia="zh-CN"/>
        </w:rPr>
      </w:pPr>
      <w:r>
        <w:rPr>
          <w:rFonts w:hint="eastAsia" w:cs="Times New Roman"/>
          <w:color w:val="auto"/>
          <w:kern w:val="2"/>
          <w:sz w:val="21"/>
          <w:szCs w:val="21"/>
          <w:lang w:eastAsia="zh-CN"/>
        </w:rPr>
        <w:t>绿地给排水设施、护栏、园路、灯饰、路椅、果皮箱、及体育健身器械等附属设施</w:t>
      </w:r>
      <w:r>
        <w:rPr>
          <w:rFonts w:cs="Times New Roman"/>
          <w:color w:val="auto"/>
          <w:kern w:val="2"/>
          <w:sz w:val="21"/>
          <w:szCs w:val="21"/>
          <w:lang w:eastAsia="zh-CN"/>
        </w:rPr>
        <w:t xml:space="preserve"> </w:t>
      </w:r>
      <w:r>
        <w:rPr>
          <w:rFonts w:hint="eastAsia" w:cs="Times New Roman"/>
          <w:color w:val="auto"/>
          <w:kern w:val="2"/>
          <w:sz w:val="21"/>
          <w:szCs w:val="21"/>
          <w:lang w:eastAsia="zh-CN"/>
        </w:rPr>
        <w:t>，要求完整无损，整齐洁净，维护及时，设施完率在</w:t>
      </w:r>
      <w:r>
        <w:rPr>
          <w:rFonts w:cs="Times New Roman"/>
          <w:color w:val="auto"/>
          <w:kern w:val="2"/>
          <w:sz w:val="21"/>
          <w:szCs w:val="21"/>
          <w:lang w:eastAsia="zh-CN"/>
        </w:rPr>
        <w:t>85%</w:t>
      </w:r>
      <w:r>
        <w:rPr>
          <w:rFonts w:hint="eastAsia" w:cs="Times New Roman"/>
          <w:color w:val="auto"/>
          <w:kern w:val="2"/>
          <w:sz w:val="21"/>
          <w:szCs w:val="21"/>
          <w:lang w:eastAsia="zh-CN"/>
        </w:rPr>
        <w:t>（含</w:t>
      </w:r>
      <w:r>
        <w:rPr>
          <w:rFonts w:cs="Times New Roman"/>
          <w:color w:val="auto"/>
          <w:kern w:val="2"/>
          <w:sz w:val="21"/>
          <w:szCs w:val="21"/>
          <w:lang w:eastAsia="zh-CN"/>
        </w:rPr>
        <w:t>85%</w:t>
      </w:r>
      <w:r>
        <w:rPr>
          <w:rFonts w:hint="eastAsia" w:cs="Times New Roman"/>
          <w:color w:val="auto"/>
          <w:kern w:val="2"/>
          <w:sz w:val="21"/>
          <w:szCs w:val="21"/>
          <w:lang w:eastAsia="zh-CN"/>
        </w:rPr>
        <w:t>）以上。</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管理措施</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绿地范围内的古树名木须档案齐全，管理责任落实，保护措施到位，古树名木生长正常。</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树木修剪科学、合理，对银杏、毛白杨等具明显主干树种，在保证主枝顶芽不受伤害的前提下，保持主侧枝分布均匀；对国槐、栾树等圆冠形树种应注重培养树冠基本骨架，主侧枝先端一致，树冠整齐。</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要及时解决树木与行人、车辆、建筑物、电线、交通信号灯及标识等方面的矛盾。</w:t>
      </w:r>
    </w:p>
    <w:p>
      <w:pPr>
        <w:autoSpaceDE/>
        <w:autoSpaceDN/>
        <w:spacing w:line="360" w:lineRule="auto"/>
        <w:jc w:val="both"/>
        <w:rPr>
          <w:rFonts w:cs="Times New Roman"/>
          <w:b/>
          <w:color w:val="auto"/>
          <w:kern w:val="2"/>
          <w:sz w:val="21"/>
          <w:szCs w:val="21"/>
          <w:lang w:eastAsia="zh-CN"/>
        </w:rPr>
      </w:pPr>
      <w:r>
        <w:rPr>
          <w:rFonts w:cs="Times New Roman"/>
          <w:b/>
          <w:color w:val="auto"/>
          <w:kern w:val="2"/>
          <w:sz w:val="21"/>
          <w:szCs w:val="21"/>
          <w:lang w:eastAsia="zh-CN"/>
        </w:rPr>
        <w:t xml:space="preserve">    </w:t>
      </w:r>
      <w:r>
        <w:rPr>
          <w:rFonts w:hint="eastAsia" w:cs="Times New Roman"/>
          <w:b/>
          <w:color w:val="auto"/>
          <w:kern w:val="2"/>
          <w:sz w:val="21"/>
          <w:szCs w:val="21"/>
          <w:lang w:eastAsia="zh-CN"/>
        </w:rPr>
        <w:t>三、二级绿地质量标准</w:t>
      </w:r>
      <w:r>
        <w:rPr>
          <w:rFonts w:cs="Times New Roman"/>
          <w:b/>
          <w:color w:val="auto"/>
          <w:kern w:val="2"/>
          <w:sz w:val="21"/>
          <w:szCs w:val="21"/>
          <w:lang w:eastAsia="zh-CN"/>
        </w:rPr>
        <w:t xml:space="preserve"> </w:t>
      </w:r>
    </w:p>
    <w:p>
      <w:pPr>
        <w:autoSpaceDE/>
        <w:autoSpaceDN/>
        <w:spacing w:line="360" w:lineRule="auto"/>
        <w:ind w:firstLine="420" w:firstLineChars="200"/>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（一）绿地建设质量标准</w:t>
      </w:r>
    </w:p>
    <w:p>
      <w:pPr>
        <w:autoSpaceDE/>
        <w:autoSpaceDN/>
        <w:spacing w:line="360" w:lineRule="auto"/>
        <w:ind w:firstLine="420" w:firstLineChars="200"/>
        <w:jc w:val="both"/>
        <w:rPr>
          <w:rFonts w:cs="Times New Roman"/>
          <w:color w:val="auto"/>
          <w:kern w:val="2"/>
          <w:sz w:val="21"/>
          <w:szCs w:val="21"/>
          <w:lang w:eastAsia="zh-CN"/>
        </w:rPr>
      </w:pPr>
      <w:r>
        <w:rPr>
          <w:rFonts w:hint="eastAsia" w:cs="Times New Roman"/>
          <w:color w:val="auto"/>
          <w:kern w:val="2"/>
          <w:sz w:val="21"/>
          <w:szCs w:val="21"/>
          <w:lang w:eastAsia="zh-CN"/>
        </w:rPr>
        <w:t>在满足《城市园林绿化养护管理标准》中二级养护质量标准、技术措施和要求的基础上，还应达到：</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绿地规模</w:t>
      </w:r>
    </w:p>
    <w:p>
      <w:pPr>
        <w:autoSpaceDE/>
        <w:autoSpaceDN/>
        <w:spacing w:line="360" w:lineRule="auto"/>
        <w:ind w:firstLine="420" w:firstLineChars="200"/>
        <w:jc w:val="both"/>
        <w:rPr>
          <w:rFonts w:cs="Times New Roman"/>
          <w:color w:val="auto"/>
          <w:kern w:val="2"/>
          <w:sz w:val="21"/>
          <w:szCs w:val="21"/>
          <w:lang w:eastAsia="zh-CN"/>
        </w:rPr>
      </w:pPr>
      <w:r>
        <w:rPr>
          <w:rFonts w:cs="Times New Roman"/>
          <w:color w:val="auto"/>
          <w:kern w:val="2"/>
          <w:sz w:val="21"/>
          <w:szCs w:val="21"/>
          <w:lang w:eastAsia="zh-CN"/>
        </w:rPr>
        <w:t>(1)</w:t>
      </w:r>
      <w:r>
        <w:rPr>
          <w:rFonts w:hint="eastAsia" w:cs="Times New Roman"/>
          <w:color w:val="auto"/>
          <w:kern w:val="2"/>
          <w:sz w:val="21"/>
          <w:szCs w:val="21"/>
          <w:lang w:eastAsia="zh-CN"/>
        </w:rPr>
        <w:t>绿地面积在</w:t>
      </w:r>
      <w:r>
        <w:rPr>
          <w:rFonts w:cs="Times New Roman"/>
          <w:color w:val="auto"/>
          <w:kern w:val="2"/>
          <w:sz w:val="21"/>
          <w:szCs w:val="21"/>
          <w:lang w:eastAsia="zh-CN"/>
        </w:rPr>
        <w:t>1000</w:t>
      </w:r>
      <w:r>
        <w:rPr>
          <w:rFonts w:hint="eastAsia" w:cs="Times New Roman"/>
          <w:color w:val="auto"/>
          <w:kern w:val="2"/>
          <w:sz w:val="21"/>
          <w:szCs w:val="21"/>
          <w:lang w:eastAsia="zh-CN"/>
        </w:rPr>
        <w:t>平方米（含</w:t>
      </w:r>
      <w:r>
        <w:rPr>
          <w:rFonts w:cs="Times New Roman"/>
          <w:color w:val="auto"/>
          <w:kern w:val="2"/>
          <w:sz w:val="21"/>
          <w:szCs w:val="21"/>
          <w:lang w:eastAsia="zh-CN"/>
        </w:rPr>
        <w:t>1000</w:t>
      </w:r>
      <w:r>
        <w:rPr>
          <w:rFonts w:hint="eastAsia" w:cs="Times New Roman"/>
          <w:color w:val="auto"/>
          <w:kern w:val="2"/>
          <w:sz w:val="21"/>
          <w:szCs w:val="21"/>
          <w:lang w:eastAsia="zh-CN"/>
        </w:rPr>
        <w:t>平方米）以上。</w:t>
      </w:r>
    </w:p>
    <w:p>
      <w:pPr>
        <w:autoSpaceDE/>
        <w:autoSpaceDN/>
        <w:spacing w:line="360" w:lineRule="auto"/>
        <w:ind w:firstLine="420" w:firstLineChars="200"/>
        <w:jc w:val="both"/>
        <w:rPr>
          <w:rFonts w:cs="Times New Roman"/>
          <w:color w:val="auto"/>
          <w:kern w:val="2"/>
          <w:sz w:val="21"/>
          <w:szCs w:val="21"/>
          <w:lang w:eastAsia="zh-CN"/>
        </w:rPr>
      </w:pPr>
      <w:r>
        <w:rPr>
          <w:rFonts w:cs="Times New Roman"/>
          <w:color w:val="auto"/>
          <w:kern w:val="2"/>
          <w:sz w:val="21"/>
          <w:szCs w:val="21"/>
          <w:lang w:eastAsia="zh-CN"/>
        </w:rPr>
        <w:t>(2)</w:t>
      </w:r>
      <w:r>
        <w:rPr>
          <w:rFonts w:hint="eastAsia" w:cs="Times New Roman"/>
          <w:color w:val="auto"/>
          <w:kern w:val="2"/>
          <w:sz w:val="21"/>
          <w:szCs w:val="21"/>
          <w:lang w:eastAsia="zh-CN"/>
        </w:rPr>
        <w:t>道路绿化，绿地率市区主干道不低于</w:t>
      </w:r>
      <w:r>
        <w:rPr>
          <w:rFonts w:cs="Times New Roman"/>
          <w:color w:val="auto"/>
          <w:kern w:val="2"/>
          <w:sz w:val="21"/>
          <w:szCs w:val="21"/>
          <w:lang w:eastAsia="zh-CN"/>
        </w:rPr>
        <w:t>30%</w:t>
      </w:r>
      <w:r>
        <w:rPr>
          <w:rFonts w:hint="eastAsia" w:cs="Times New Roman"/>
          <w:color w:val="auto"/>
          <w:kern w:val="2"/>
          <w:sz w:val="21"/>
          <w:szCs w:val="21"/>
          <w:lang w:eastAsia="zh-CN"/>
        </w:rPr>
        <w:t>，次干道不低于</w:t>
      </w:r>
      <w:r>
        <w:rPr>
          <w:rFonts w:cs="Times New Roman"/>
          <w:color w:val="auto"/>
          <w:kern w:val="2"/>
          <w:sz w:val="21"/>
          <w:szCs w:val="21"/>
          <w:lang w:eastAsia="zh-CN"/>
        </w:rPr>
        <w:t>20%</w:t>
      </w:r>
      <w:r>
        <w:rPr>
          <w:rFonts w:hint="eastAsia" w:cs="Times New Roman"/>
          <w:color w:val="auto"/>
          <w:kern w:val="2"/>
          <w:sz w:val="21"/>
          <w:szCs w:val="21"/>
          <w:lang w:eastAsia="zh-CN"/>
        </w:rPr>
        <w:t>，其他等级道路不低于</w:t>
      </w:r>
      <w:r>
        <w:rPr>
          <w:rFonts w:cs="Times New Roman"/>
          <w:color w:val="auto"/>
          <w:kern w:val="2"/>
          <w:sz w:val="21"/>
          <w:szCs w:val="21"/>
          <w:lang w:eastAsia="zh-CN"/>
        </w:rPr>
        <w:t>15%</w:t>
      </w:r>
      <w:r>
        <w:rPr>
          <w:rFonts w:hint="eastAsia" w:cs="Times New Roman"/>
          <w:color w:val="auto"/>
          <w:kern w:val="2"/>
          <w:sz w:val="21"/>
          <w:szCs w:val="21"/>
          <w:lang w:eastAsia="zh-CN"/>
        </w:rPr>
        <w:t>；道路长度在</w:t>
      </w:r>
      <w:r>
        <w:rPr>
          <w:rFonts w:cs="Times New Roman"/>
          <w:color w:val="auto"/>
          <w:kern w:val="2"/>
          <w:sz w:val="21"/>
          <w:szCs w:val="21"/>
          <w:lang w:eastAsia="zh-CN"/>
        </w:rPr>
        <w:t>200</w:t>
      </w:r>
      <w:r>
        <w:rPr>
          <w:rFonts w:hint="eastAsia" w:cs="Times New Roman"/>
          <w:color w:val="auto"/>
          <w:kern w:val="2"/>
          <w:sz w:val="21"/>
          <w:szCs w:val="21"/>
          <w:lang w:eastAsia="zh-CN"/>
        </w:rPr>
        <w:t>米（含</w:t>
      </w:r>
      <w:r>
        <w:rPr>
          <w:rFonts w:cs="Times New Roman"/>
          <w:color w:val="auto"/>
          <w:kern w:val="2"/>
          <w:sz w:val="21"/>
          <w:szCs w:val="21"/>
          <w:lang w:eastAsia="zh-CN"/>
        </w:rPr>
        <w:t>200</w:t>
      </w:r>
      <w:r>
        <w:rPr>
          <w:rFonts w:hint="eastAsia" w:cs="Times New Roman"/>
          <w:color w:val="auto"/>
          <w:kern w:val="2"/>
          <w:sz w:val="21"/>
          <w:szCs w:val="21"/>
          <w:lang w:eastAsia="zh-CN"/>
        </w:rPr>
        <w:t>米）以上或符合该条道路的规划设计要求。</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植物配置</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绿地内植物配置要求复层结构，乔灌花草相结合，提高绿地内物种的丰富度，植物种类（含品种）不低于</w:t>
      </w:r>
      <w:r>
        <w:rPr>
          <w:rFonts w:cs="Times New Roman"/>
          <w:color w:val="auto"/>
          <w:kern w:val="2"/>
          <w:sz w:val="21"/>
          <w:szCs w:val="21"/>
          <w:lang w:eastAsia="zh-CN"/>
        </w:rPr>
        <w:t>1</w:t>
      </w:r>
      <w:r>
        <w:rPr>
          <w:rFonts w:hint="eastAsia" w:cs="Times New Roman"/>
          <w:color w:val="auto"/>
          <w:kern w:val="2"/>
          <w:sz w:val="21"/>
          <w:szCs w:val="21"/>
          <w:lang w:eastAsia="zh-CN"/>
        </w:rPr>
        <w:t>0种（含</w:t>
      </w:r>
      <w:r>
        <w:rPr>
          <w:rFonts w:cs="Times New Roman"/>
          <w:color w:val="auto"/>
          <w:kern w:val="2"/>
          <w:sz w:val="21"/>
          <w:szCs w:val="21"/>
          <w:lang w:eastAsia="zh-CN"/>
        </w:rPr>
        <w:t>1</w:t>
      </w:r>
      <w:r>
        <w:rPr>
          <w:rFonts w:hint="eastAsia" w:cs="Times New Roman"/>
          <w:color w:val="auto"/>
          <w:kern w:val="2"/>
          <w:sz w:val="21"/>
          <w:szCs w:val="21"/>
          <w:lang w:eastAsia="zh-CN"/>
        </w:rPr>
        <w:t>0种），单纯草坪所占比例在</w:t>
      </w:r>
      <w:r>
        <w:rPr>
          <w:rFonts w:cs="Times New Roman"/>
          <w:color w:val="auto"/>
          <w:kern w:val="2"/>
          <w:sz w:val="21"/>
          <w:szCs w:val="21"/>
          <w:lang w:eastAsia="zh-CN"/>
        </w:rPr>
        <w:t>50%</w:t>
      </w:r>
      <w:r>
        <w:rPr>
          <w:rFonts w:hint="eastAsia" w:cs="Times New Roman"/>
          <w:color w:val="auto"/>
          <w:kern w:val="2"/>
          <w:sz w:val="21"/>
          <w:szCs w:val="21"/>
          <w:lang w:eastAsia="zh-CN"/>
        </w:rPr>
        <w:t>（含</w:t>
      </w:r>
      <w:r>
        <w:rPr>
          <w:rFonts w:cs="Times New Roman"/>
          <w:color w:val="auto"/>
          <w:kern w:val="2"/>
          <w:sz w:val="21"/>
          <w:szCs w:val="21"/>
          <w:lang w:eastAsia="zh-CN"/>
        </w:rPr>
        <w:t>50%</w:t>
      </w:r>
      <w:r>
        <w:rPr>
          <w:rFonts w:hint="eastAsia" w:cs="Times New Roman"/>
          <w:color w:val="auto"/>
          <w:kern w:val="2"/>
          <w:sz w:val="21"/>
          <w:szCs w:val="21"/>
          <w:lang w:eastAsia="zh-CN"/>
        </w:rPr>
        <w:t>）以下。</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植物规格与密度协调，层次和色彩配比合理。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行道树或行列树木整齐、美观，树间株距符合该植物的生物学特性和设计要求，高度、干径、树形近似，树木保持直立，无倾斜，观赏面朝向合理。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 </w:t>
      </w:r>
      <w:r>
        <w:rPr>
          <w:rFonts w:hint="eastAsia" w:cs="Times New Roman"/>
          <w:color w:val="auto"/>
          <w:kern w:val="2"/>
          <w:sz w:val="21"/>
          <w:szCs w:val="21"/>
          <w:lang w:eastAsia="zh-CN"/>
        </w:rPr>
        <w:t>绿地环境</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绿地范围内无违章建筑，无废弃的线杆、构筑物等设施，无违法广告、牌示，绿地设施完整，绿地整洁率和设施完整率在</w:t>
      </w:r>
      <w:r>
        <w:rPr>
          <w:rFonts w:cs="Times New Roman"/>
          <w:color w:val="auto"/>
          <w:kern w:val="2"/>
          <w:sz w:val="21"/>
          <w:szCs w:val="21"/>
          <w:lang w:eastAsia="zh-CN"/>
        </w:rPr>
        <w:t>70%</w:t>
      </w:r>
      <w:r>
        <w:rPr>
          <w:rFonts w:hint="eastAsia" w:cs="Times New Roman"/>
          <w:color w:val="auto"/>
          <w:kern w:val="2"/>
          <w:sz w:val="21"/>
          <w:szCs w:val="21"/>
          <w:lang w:eastAsia="zh-CN"/>
        </w:rPr>
        <w:t>（含</w:t>
      </w:r>
      <w:r>
        <w:rPr>
          <w:rFonts w:cs="Times New Roman"/>
          <w:color w:val="auto"/>
          <w:kern w:val="2"/>
          <w:sz w:val="21"/>
          <w:szCs w:val="21"/>
          <w:lang w:eastAsia="zh-CN"/>
        </w:rPr>
        <w:t>70%</w:t>
      </w:r>
      <w:r>
        <w:rPr>
          <w:rFonts w:hint="eastAsia" w:cs="Times New Roman"/>
          <w:color w:val="auto"/>
          <w:kern w:val="2"/>
          <w:sz w:val="21"/>
          <w:szCs w:val="21"/>
          <w:lang w:eastAsia="zh-CN"/>
        </w:rPr>
        <w:t>）以上。</w:t>
      </w:r>
      <w:r>
        <w:rPr>
          <w:rFonts w:cs="Times New Roman"/>
          <w:color w:val="auto"/>
          <w:kern w:val="2"/>
          <w:sz w:val="21"/>
          <w:szCs w:val="21"/>
          <w:lang w:eastAsia="zh-CN"/>
        </w:rPr>
        <w:t xml:space="preserve">  </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地下设施覆土绿化应以实现永久性绿化为建设标准，以植物造景为主，形成以乔木为主的合理的种植结构。其覆土厚度应不低于</w:t>
      </w:r>
      <w:r>
        <w:rPr>
          <w:rFonts w:cs="Times New Roman"/>
          <w:color w:val="auto"/>
          <w:kern w:val="2"/>
          <w:sz w:val="21"/>
          <w:szCs w:val="21"/>
          <w:lang w:eastAsia="zh-CN"/>
        </w:rPr>
        <w:t>1</w:t>
      </w:r>
      <w:r>
        <w:rPr>
          <w:rFonts w:hint="eastAsia" w:cs="Times New Roman"/>
          <w:color w:val="auto"/>
          <w:kern w:val="2"/>
          <w:sz w:val="21"/>
          <w:szCs w:val="21"/>
          <w:lang w:eastAsia="zh-CN"/>
        </w:rPr>
        <w:t>米或满足该项目的设计要求，以符合常绿和落叶乔木、灌木、草坪等不同植物生长对栽植土层厚度的基本要求。</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（二）绿地管理质量标准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植物生长</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植物生长正常，枯枝干杈现象所占比例低于</w:t>
      </w:r>
      <w:r>
        <w:rPr>
          <w:rFonts w:cs="Times New Roman"/>
          <w:color w:val="auto"/>
          <w:kern w:val="2"/>
          <w:sz w:val="21"/>
          <w:szCs w:val="21"/>
          <w:lang w:eastAsia="zh-CN"/>
        </w:rPr>
        <w:t>20%</w:t>
      </w:r>
      <w:r>
        <w:rPr>
          <w:rFonts w:hint="eastAsia" w:cs="Times New Roman"/>
          <w:color w:val="auto"/>
          <w:kern w:val="2"/>
          <w:sz w:val="21"/>
          <w:szCs w:val="21"/>
          <w:lang w:eastAsia="zh-CN"/>
        </w:rPr>
        <w:t>，草坪覆盖率在</w:t>
      </w:r>
      <w:r>
        <w:rPr>
          <w:rFonts w:cs="Times New Roman"/>
          <w:color w:val="auto"/>
          <w:kern w:val="2"/>
          <w:sz w:val="21"/>
          <w:szCs w:val="21"/>
          <w:lang w:eastAsia="zh-CN"/>
        </w:rPr>
        <w:t>70%</w:t>
      </w:r>
      <w:r>
        <w:rPr>
          <w:rFonts w:hint="eastAsia" w:cs="Times New Roman"/>
          <w:color w:val="auto"/>
          <w:kern w:val="2"/>
          <w:sz w:val="21"/>
          <w:szCs w:val="21"/>
          <w:lang w:eastAsia="zh-CN"/>
        </w:rPr>
        <w:t>（含</w:t>
      </w:r>
      <w:r>
        <w:rPr>
          <w:rFonts w:cs="Times New Roman"/>
          <w:color w:val="auto"/>
          <w:kern w:val="2"/>
          <w:sz w:val="21"/>
          <w:szCs w:val="21"/>
          <w:lang w:eastAsia="zh-CN"/>
        </w:rPr>
        <w:t>70%</w:t>
      </w:r>
      <w:r>
        <w:rPr>
          <w:rFonts w:hint="eastAsia" w:cs="Times New Roman"/>
          <w:color w:val="auto"/>
          <w:kern w:val="2"/>
          <w:sz w:val="21"/>
          <w:szCs w:val="21"/>
          <w:lang w:eastAsia="zh-CN"/>
        </w:rPr>
        <w:t>）以上。</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病虫危害景观度在</w:t>
      </w:r>
      <w:r>
        <w:rPr>
          <w:rFonts w:cs="Times New Roman"/>
          <w:color w:val="auto"/>
          <w:kern w:val="2"/>
          <w:sz w:val="21"/>
          <w:szCs w:val="21"/>
          <w:lang w:eastAsia="zh-CN"/>
        </w:rPr>
        <w:t>15%</w:t>
      </w:r>
      <w:r>
        <w:rPr>
          <w:rFonts w:hint="eastAsia" w:cs="Times New Roman"/>
          <w:color w:val="auto"/>
          <w:kern w:val="2"/>
          <w:sz w:val="21"/>
          <w:szCs w:val="21"/>
          <w:lang w:eastAsia="zh-CN"/>
        </w:rPr>
        <w:t>（含</w:t>
      </w:r>
      <w:r>
        <w:rPr>
          <w:rFonts w:cs="Times New Roman"/>
          <w:color w:val="auto"/>
          <w:kern w:val="2"/>
          <w:sz w:val="21"/>
          <w:szCs w:val="21"/>
          <w:lang w:eastAsia="zh-CN"/>
        </w:rPr>
        <w:t>15%</w:t>
      </w:r>
      <w:r>
        <w:rPr>
          <w:rFonts w:hint="eastAsia" w:cs="Times New Roman"/>
          <w:color w:val="auto"/>
          <w:kern w:val="2"/>
          <w:sz w:val="21"/>
          <w:szCs w:val="21"/>
          <w:lang w:eastAsia="zh-CN"/>
        </w:rPr>
        <w:t>）以下，其中蛀干害虫有虫株率在</w:t>
      </w:r>
      <w:r>
        <w:rPr>
          <w:rFonts w:cs="Times New Roman"/>
          <w:color w:val="auto"/>
          <w:kern w:val="2"/>
          <w:sz w:val="21"/>
          <w:szCs w:val="21"/>
          <w:lang w:eastAsia="zh-CN"/>
        </w:rPr>
        <w:t>6%</w:t>
      </w:r>
      <w:r>
        <w:rPr>
          <w:rFonts w:hint="eastAsia" w:cs="Times New Roman"/>
          <w:color w:val="auto"/>
          <w:kern w:val="2"/>
          <w:sz w:val="21"/>
          <w:szCs w:val="21"/>
          <w:lang w:eastAsia="zh-CN"/>
        </w:rPr>
        <w:t>（含</w:t>
      </w:r>
      <w:r>
        <w:rPr>
          <w:rFonts w:cs="Times New Roman"/>
          <w:color w:val="auto"/>
          <w:kern w:val="2"/>
          <w:sz w:val="21"/>
          <w:szCs w:val="21"/>
          <w:lang w:eastAsia="zh-CN"/>
        </w:rPr>
        <w:t>6%</w:t>
      </w:r>
      <w:r>
        <w:rPr>
          <w:rFonts w:hint="eastAsia" w:cs="Times New Roman"/>
          <w:color w:val="auto"/>
          <w:kern w:val="2"/>
          <w:sz w:val="21"/>
          <w:szCs w:val="21"/>
          <w:lang w:eastAsia="zh-CN"/>
        </w:rPr>
        <w:t>）以下，黄叶、焦叶和吃花、吃树叶现象在</w:t>
      </w:r>
      <w:r>
        <w:rPr>
          <w:rFonts w:cs="Times New Roman"/>
          <w:color w:val="auto"/>
          <w:kern w:val="2"/>
          <w:sz w:val="21"/>
          <w:szCs w:val="21"/>
          <w:lang w:eastAsia="zh-CN"/>
        </w:rPr>
        <w:t>15%</w:t>
      </w:r>
      <w:r>
        <w:rPr>
          <w:rFonts w:hint="eastAsia" w:cs="Times New Roman"/>
          <w:color w:val="auto"/>
          <w:kern w:val="2"/>
          <w:sz w:val="21"/>
          <w:szCs w:val="21"/>
          <w:lang w:eastAsia="zh-CN"/>
        </w:rPr>
        <w:t>（含</w:t>
      </w:r>
      <w:r>
        <w:rPr>
          <w:rFonts w:cs="Times New Roman"/>
          <w:color w:val="auto"/>
          <w:kern w:val="2"/>
          <w:sz w:val="21"/>
          <w:szCs w:val="21"/>
          <w:lang w:eastAsia="zh-CN"/>
        </w:rPr>
        <w:t>15%</w:t>
      </w:r>
      <w:r>
        <w:rPr>
          <w:rFonts w:hint="eastAsia" w:cs="Times New Roman"/>
          <w:color w:val="auto"/>
          <w:kern w:val="2"/>
          <w:sz w:val="21"/>
          <w:szCs w:val="21"/>
          <w:lang w:eastAsia="zh-CN"/>
        </w:rPr>
        <w:t>）以下。</w:t>
      </w:r>
    </w:p>
    <w:p>
      <w:pPr>
        <w:autoSpaceDE/>
        <w:autoSpaceDN/>
        <w:spacing w:line="360" w:lineRule="auto"/>
        <w:ind w:firstLine="420" w:firstLineChars="200"/>
        <w:jc w:val="both"/>
        <w:rPr>
          <w:rFonts w:cs="Times New Roman"/>
          <w:color w:val="auto"/>
          <w:kern w:val="2"/>
          <w:sz w:val="21"/>
          <w:szCs w:val="21"/>
          <w:lang w:eastAsia="zh-CN"/>
        </w:rPr>
      </w:pPr>
      <w:r>
        <w:rPr>
          <w:rFonts w:cs="Times New Roman"/>
          <w:color w:val="auto"/>
          <w:kern w:val="2"/>
          <w:sz w:val="21"/>
          <w:szCs w:val="21"/>
          <w:lang w:eastAsia="zh-CN"/>
        </w:rPr>
        <w:t>2.</w:t>
      </w:r>
      <w:r>
        <w:rPr>
          <w:rFonts w:hint="eastAsia" w:cs="Times New Roman"/>
          <w:color w:val="auto"/>
          <w:kern w:val="2"/>
          <w:sz w:val="21"/>
          <w:szCs w:val="21"/>
          <w:lang w:eastAsia="zh-CN"/>
        </w:rPr>
        <w:t>绿地设施</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绿地给排水设施、护栏、园路、灯饰、路椅、果皮箱及体育健身器械等附属设施</w:t>
      </w:r>
      <w:r>
        <w:rPr>
          <w:rFonts w:cs="Times New Roman"/>
          <w:color w:val="auto"/>
          <w:kern w:val="2"/>
          <w:sz w:val="21"/>
          <w:szCs w:val="21"/>
          <w:lang w:eastAsia="zh-CN"/>
        </w:rPr>
        <w:t xml:space="preserve"> </w:t>
      </w:r>
      <w:r>
        <w:rPr>
          <w:rFonts w:hint="eastAsia" w:cs="Times New Roman"/>
          <w:color w:val="auto"/>
          <w:kern w:val="2"/>
          <w:sz w:val="21"/>
          <w:szCs w:val="21"/>
          <w:lang w:eastAsia="zh-CN"/>
        </w:rPr>
        <w:t>，要求完整无损，整齐洁净，维护及时，设施完好率在</w:t>
      </w:r>
      <w:r>
        <w:rPr>
          <w:rFonts w:cs="Times New Roman"/>
          <w:color w:val="auto"/>
          <w:kern w:val="2"/>
          <w:sz w:val="21"/>
          <w:szCs w:val="21"/>
          <w:lang w:eastAsia="zh-CN"/>
        </w:rPr>
        <w:t>70%</w:t>
      </w:r>
      <w:r>
        <w:rPr>
          <w:rFonts w:hint="eastAsia" w:cs="Times New Roman"/>
          <w:color w:val="auto"/>
          <w:kern w:val="2"/>
          <w:sz w:val="21"/>
          <w:szCs w:val="21"/>
          <w:lang w:eastAsia="zh-CN"/>
        </w:rPr>
        <w:t>（含</w:t>
      </w:r>
      <w:r>
        <w:rPr>
          <w:rFonts w:cs="Times New Roman"/>
          <w:color w:val="auto"/>
          <w:kern w:val="2"/>
          <w:sz w:val="21"/>
          <w:szCs w:val="21"/>
          <w:lang w:eastAsia="zh-CN"/>
        </w:rPr>
        <w:t>70%</w:t>
      </w:r>
      <w:r>
        <w:rPr>
          <w:rFonts w:hint="eastAsia" w:cs="Times New Roman"/>
          <w:color w:val="auto"/>
          <w:kern w:val="2"/>
          <w:sz w:val="21"/>
          <w:szCs w:val="21"/>
          <w:lang w:eastAsia="zh-CN"/>
        </w:rPr>
        <w:t>）以上。</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管理措施</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绿地范围内的古树名木须档案齐全，管理责任落实，保护措施到位，古树名木生长正常。</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树木修剪科学、合理，对银杏、毛白杨等具明显主干树种，在保证主枝顶芽不受伤害的前提下，保持主侧枝分布均匀；对国槐、栾树等圆冠形树种应注重培养树冠基本骨</w:t>
      </w:r>
    </w:p>
    <w:p>
      <w:pPr>
        <w:autoSpaceDE/>
        <w:autoSpaceDN/>
        <w:spacing w:line="360" w:lineRule="auto"/>
        <w:jc w:val="both"/>
        <w:rPr>
          <w:rFonts w:cs="Times New Roman"/>
          <w:color w:val="auto"/>
          <w:kern w:val="2"/>
          <w:sz w:val="21"/>
          <w:szCs w:val="21"/>
          <w:lang w:eastAsia="zh-CN"/>
        </w:rPr>
      </w:pPr>
      <w:r>
        <w:rPr>
          <w:rFonts w:hint="eastAsia" w:cs="Times New Roman"/>
          <w:color w:val="auto"/>
          <w:kern w:val="2"/>
          <w:sz w:val="21"/>
          <w:szCs w:val="21"/>
          <w:lang w:eastAsia="zh-CN"/>
        </w:rPr>
        <w:t>架，主侧枝先端一致，树冠整齐。</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要及时解决树木与行人、车辆建筑物、电线、交通信号灯及标识等方面的矛盾。</w:t>
      </w:r>
      <w:r>
        <w:rPr>
          <w:rFonts w:cs="Times New Roman"/>
          <w:color w:val="auto"/>
          <w:kern w:val="2"/>
          <w:sz w:val="21"/>
          <w:szCs w:val="21"/>
          <w:lang w:eastAsia="zh-CN"/>
        </w:rPr>
        <w:t xml:space="preserve">         </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b/>
          <w:color w:val="auto"/>
          <w:kern w:val="2"/>
          <w:sz w:val="21"/>
          <w:szCs w:val="21"/>
          <w:lang w:eastAsia="zh-CN"/>
        </w:rPr>
        <w:t>四、三级绿地质量标准</w:t>
      </w:r>
      <w:r>
        <w:rPr>
          <w:rFonts w:cs="Times New Roman"/>
          <w:b/>
          <w:color w:val="auto"/>
          <w:kern w:val="2"/>
          <w:sz w:val="21"/>
          <w:szCs w:val="21"/>
          <w:lang w:eastAsia="zh-CN"/>
        </w:rPr>
        <w:t xml:space="preserve"> </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（一）绿地建设质量标准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绿地规模</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绿地面积在</w:t>
      </w:r>
      <w:r>
        <w:rPr>
          <w:rFonts w:cs="Times New Roman"/>
          <w:color w:val="auto"/>
          <w:kern w:val="2"/>
          <w:sz w:val="21"/>
          <w:szCs w:val="21"/>
          <w:lang w:eastAsia="zh-CN"/>
        </w:rPr>
        <w:t>1000</w:t>
      </w:r>
      <w:r>
        <w:rPr>
          <w:rFonts w:hint="eastAsia" w:cs="Times New Roman"/>
          <w:color w:val="auto"/>
          <w:kern w:val="2"/>
          <w:sz w:val="21"/>
          <w:szCs w:val="21"/>
          <w:lang w:eastAsia="zh-CN"/>
        </w:rPr>
        <w:t>平方米（不含</w:t>
      </w:r>
      <w:r>
        <w:rPr>
          <w:rFonts w:cs="Times New Roman"/>
          <w:color w:val="auto"/>
          <w:kern w:val="2"/>
          <w:sz w:val="21"/>
          <w:szCs w:val="21"/>
          <w:lang w:eastAsia="zh-CN"/>
        </w:rPr>
        <w:t>1000</w:t>
      </w:r>
      <w:r>
        <w:rPr>
          <w:rFonts w:hint="eastAsia" w:cs="Times New Roman"/>
          <w:color w:val="auto"/>
          <w:kern w:val="2"/>
          <w:sz w:val="21"/>
          <w:szCs w:val="21"/>
          <w:lang w:eastAsia="zh-CN"/>
        </w:rPr>
        <w:t>平方米）以下。</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道路绿化，绿地率市区主干道不低于</w:t>
      </w:r>
      <w:r>
        <w:rPr>
          <w:rFonts w:cs="Times New Roman"/>
          <w:color w:val="auto"/>
          <w:kern w:val="2"/>
          <w:sz w:val="21"/>
          <w:szCs w:val="21"/>
          <w:lang w:eastAsia="zh-CN"/>
        </w:rPr>
        <w:t>30%</w:t>
      </w:r>
      <w:r>
        <w:rPr>
          <w:rFonts w:hint="eastAsia" w:cs="Times New Roman"/>
          <w:color w:val="auto"/>
          <w:kern w:val="2"/>
          <w:sz w:val="21"/>
          <w:szCs w:val="21"/>
          <w:lang w:eastAsia="zh-CN"/>
        </w:rPr>
        <w:t>，次干道不低于</w:t>
      </w:r>
      <w:r>
        <w:rPr>
          <w:rFonts w:cs="Times New Roman"/>
          <w:color w:val="auto"/>
          <w:kern w:val="2"/>
          <w:sz w:val="21"/>
          <w:szCs w:val="21"/>
          <w:lang w:eastAsia="zh-CN"/>
        </w:rPr>
        <w:t>20%</w:t>
      </w:r>
      <w:r>
        <w:rPr>
          <w:rFonts w:hint="eastAsia" w:cs="Times New Roman"/>
          <w:color w:val="auto"/>
          <w:kern w:val="2"/>
          <w:sz w:val="21"/>
          <w:szCs w:val="21"/>
          <w:lang w:eastAsia="zh-CN"/>
        </w:rPr>
        <w:t>，其他等级道路不低于</w:t>
      </w:r>
      <w:r>
        <w:rPr>
          <w:rFonts w:cs="Times New Roman"/>
          <w:color w:val="auto"/>
          <w:kern w:val="2"/>
          <w:sz w:val="21"/>
          <w:szCs w:val="21"/>
          <w:lang w:eastAsia="zh-CN"/>
        </w:rPr>
        <w:t>15%</w:t>
      </w:r>
      <w:r>
        <w:rPr>
          <w:rFonts w:hint="eastAsia" w:cs="Times New Roman"/>
          <w:color w:val="auto"/>
          <w:kern w:val="2"/>
          <w:sz w:val="21"/>
          <w:szCs w:val="21"/>
          <w:lang w:eastAsia="zh-CN"/>
        </w:rPr>
        <w:t>；道路长度在</w:t>
      </w:r>
      <w:r>
        <w:rPr>
          <w:rFonts w:cs="Times New Roman"/>
          <w:color w:val="auto"/>
          <w:kern w:val="2"/>
          <w:sz w:val="21"/>
          <w:szCs w:val="21"/>
          <w:lang w:eastAsia="zh-CN"/>
        </w:rPr>
        <w:t>200</w:t>
      </w:r>
      <w:r>
        <w:rPr>
          <w:rFonts w:hint="eastAsia" w:cs="Times New Roman"/>
          <w:color w:val="auto"/>
          <w:kern w:val="2"/>
          <w:sz w:val="21"/>
          <w:szCs w:val="21"/>
          <w:lang w:eastAsia="zh-CN"/>
        </w:rPr>
        <w:t>米（不含</w:t>
      </w:r>
      <w:r>
        <w:rPr>
          <w:rFonts w:cs="Times New Roman"/>
          <w:color w:val="auto"/>
          <w:kern w:val="2"/>
          <w:sz w:val="21"/>
          <w:szCs w:val="21"/>
          <w:lang w:eastAsia="zh-CN"/>
        </w:rPr>
        <w:t>200</w:t>
      </w:r>
      <w:r>
        <w:rPr>
          <w:rFonts w:hint="eastAsia" w:cs="Times New Roman"/>
          <w:color w:val="auto"/>
          <w:kern w:val="2"/>
          <w:sz w:val="21"/>
          <w:szCs w:val="21"/>
          <w:lang w:eastAsia="zh-CN"/>
        </w:rPr>
        <w:t>米）以下或符合该条道路的规划设计要求。</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植物配置</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植物规格与密度协调，层次和色彩配比合理。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行道树或行列树木整齐、美观，树间株距符合该植物的生物学特性和设计要求，高度、干径、树形近似，树木保持直立，无倾斜，观赏面朝向合理。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绿地环境</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绿地范围内无违章建筑，无废弃的线杆、构筑物等设施，无违法广告、牌示，绿地设施完整，绿地整洁率和设施完整率在</w:t>
      </w:r>
      <w:r>
        <w:rPr>
          <w:rFonts w:cs="Times New Roman"/>
          <w:color w:val="auto"/>
          <w:kern w:val="2"/>
          <w:sz w:val="21"/>
          <w:szCs w:val="21"/>
          <w:lang w:eastAsia="zh-CN"/>
        </w:rPr>
        <w:t>50%</w:t>
      </w:r>
      <w:r>
        <w:rPr>
          <w:rFonts w:hint="eastAsia" w:cs="Times New Roman"/>
          <w:color w:val="auto"/>
          <w:kern w:val="2"/>
          <w:sz w:val="21"/>
          <w:szCs w:val="21"/>
          <w:lang w:eastAsia="zh-CN"/>
        </w:rPr>
        <w:t>（含</w:t>
      </w:r>
      <w:r>
        <w:rPr>
          <w:rFonts w:cs="Times New Roman"/>
          <w:color w:val="auto"/>
          <w:kern w:val="2"/>
          <w:sz w:val="21"/>
          <w:szCs w:val="21"/>
          <w:lang w:eastAsia="zh-CN"/>
        </w:rPr>
        <w:t>50%</w:t>
      </w:r>
      <w:r>
        <w:rPr>
          <w:rFonts w:hint="eastAsia" w:cs="Times New Roman"/>
          <w:color w:val="auto"/>
          <w:kern w:val="2"/>
          <w:sz w:val="21"/>
          <w:szCs w:val="21"/>
          <w:lang w:eastAsia="zh-CN"/>
        </w:rPr>
        <w:t>）以上。</w:t>
      </w:r>
      <w:r>
        <w:rPr>
          <w:rFonts w:cs="Times New Roman"/>
          <w:color w:val="auto"/>
          <w:kern w:val="2"/>
          <w:sz w:val="21"/>
          <w:szCs w:val="21"/>
          <w:lang w:eastAsia="zh-CN"/>
        </w:rPr>
        <w:t xml:space="preserve">  </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（二）绿地管理质量标准</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植物生长</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植物生长正常，枯枝干杈现象所占比例低于</w:t>
      </w:r>
      <w:r>
        <w:rPr>
          <w:rFonts w:cs="Times New Roman"/>
          <w:color w:val="auto"/>
          <w:kern w:val="2"/>
          <w:sz w:val="21"/>
          <w:szCs w:val="21"/>
          <w:lang w:eastAsia="zh-CN"/>
        </w:rPr>
        <w:t>30%</w:t>
      </w:r>
      <w:r>
        <w:rPr>
          <w:rFonts w:hint="eastAsia" w:cs="Times New Roman"/>
          <w:color w:val="auto"/>
          <w:kern w:val="2"/>
          <w:sz w:val="21"/>
          <w:szCs w:val="21"/>
          <w:lang w:eastAsia="zh-CN"/>
        </w:rPr>
        <w:t>，草坪覆盖率在</w:t>
      </w:r>
      <w:r>
        <w:rPr>
          <w:rFonts w:cs="Times New Roman"/>
          <w:color w:val="auto"/>
          <w:kern w:val="2"/>
          <w:sz w:val="21"/>
          <w:szCs w:val="21"/>
          <w:lang w:eastAsia="zh-CN"/>
        </w:rPr>
        <w:t>50%</w:t>
      </w:r>
      <w:r>
        <w:rPr>
          <w:rFonts w:hint="eastAsia" w:cs="Times New Roman"/>
          <w:color w:val="auto"/>
          <w:kern w:val="2"/>
          <w:sz w:val="21"/>
          <w:szCs w:val="21"/>
          <w:lang w:eastAsia="zh-CN"/>
        </w:rPr>
        <w:t>（含</w:t>
      </w:r>
      <w:r>
        <w:rPr>
          <w:rFonts w:cs="Times New Roman"/>
          <w:color w:val="auto"/>
          <w:kern w:val="2"/>
          <w:sz w:val="21"/>
          <w:szCs w:val="21"/>
          <w:lang w:eastAsia="zh-CN"/>
        </w:rPr>
        <w:t>50%</w:t>
      </w:r>
      <w:r>
        <w:rPr>
          <w:rFonts w:hint="eastAsia" w:cs="Times New Roman"/>
          <w:color w:val="auto"/>
          <w:kern w:val="2"/>
          <w:sz w:val="21"/>
          <w:szCs w:val="21"/>
          <w:lang w:eastAsia="zh-CN"/>
        </w:rPr>
        <w:t>）以上。</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病虫危害景观度在</w:t>
      </w:r>
      <w:r>
        <w:rPr>
          <w:rFonts w:cs="Times New Roman"/>
          <w:color w:val="auto"/>
          <w:kern w:val="2"/>
          <w:sz w:val="21"/>
          <w:szCs w:val="21"/>
          <w:lang w:eastAsia="zh-CN"/>
        </w:rPr>
        <w:t>20%</w:t>
      </w:r>
      <w:r>
        <w:rPr>
          <w:rFonts w:hint="eastAsia" w:cs="Times New Roman"/>
          <w:color w:val="auto"/>
          <w:kern w:val="2"/>
          <w:sz w:val="21"/>
          <w:szCs w:val="21"/>
          <w:lang w:eastAsia="zh-CN"/>
        </w:rPr>
        <w:t>（含</w:t>
      </w:r>
      <w:r>
        <w:rPr>
          <w:rFonts w:cs="Times New Roman"/>
          <w:color w:val="auto"/>
          <w:kern w:val="2"/>
          <w:sz w:val="21"/>
          <w:szCs w:val="21"/>
          <w:lang w:eastAsia="zh-CN"/>
        </w:rPr>
        <w:t>20%</w:t>
      </w:r>
      <w:r>
        <w:rPr>
          <w:rFonts w:hint="eastAsia" w:cs="Times New Roman"/>
          <w:color w:val="auto"/>
          <w:kern w:val="2"/>
          <w:sz w:val="21"/>
          <w:szCs w:val="21"/>
          <w:lang w:eastAsia="zh-CN"/>
        </w:rPr>
        <w:t>）以下，其中蛀干害虫有虫株率在</w:t>
      </w:r>
      <w:r>
        <w:rPr>
          <w:rFonts w:cs="Times New Roman"/>
          <w:color w:val="auto"/>
          <w:kern w:val="2"/>
          <w:sz w:val="21"/>
          <w:szCs w:val="21"/>
          <w:lang w:eastAsia="zh-CN"/>
        </w:rPr>
        <w:t>10%</w:t>
      </w:r>
      <w:r>
        <w:rPr>
          <w:rFonts w:hint="eastAsia" w:cs="Times New Roman"/>
          <w:color w:val="auto"/>
          <w:kern w:val="2"/>
          <w:sz w:val="21"/>
          <w:szCs w:val="21"/>
          <w:lang w:eastAsia="zh-CN"/>
        </w:rPr>
        <w:t>（含</w:t>
      </w:r>
      <w:r>
        <w:rPr>
          <w:rFonts w:cs="Times New Roman"/>
          <w:color w:val="auto"/>
          <w:kern w:val="2"/>
          <w:sz w:val="21"/>
          <w:szCs w:val="21"/>
          <w:lang w:eastAsia="zh-CN"/>
        </w:rPr>
        <w:t>10%</w:t>
      </w:r>
      <w:r>
        <w:rPr>
          <w:rFonts w:hint="eastAsia" w:cs="Times New Roman"/>
          <w:color w:val="auto"/>
          <w:kern w:val="2"/>
          <w:sz w:val="21"/>
          <w:szCs w:val="21"/>
          <w:lang w:eastAsia="zh-CN"/>
        </w:rPr>
        <w:t>）以下，黄叶、焦叶和吃花、吃树叶现象在</w:t>
      </w:r>
      <w:r>
        <w:rPr>
          <w:rFonts w:cs="Times New Roman"/>
          <w:color w:val="auto"/>
          <w:kern w:val="2"/>
          <w:sz w:val="21"/>
          <w:szCs w:val="21"/>
          <w:lang w:eastAsia="zh-CN"/>
        </w:rPr>
        <w:t>20%</w:t>
      </w:r>
      <w:r>
        <w:rPr>
          <w:rFonts w:hint="eastAsia" w:cs="Times New Roman"/>
          <w:color w:val="auto"/>
          <w:kern w:val="2"/>
          <w:sz w:val="21"/>
          <w:szCs w:val="21"/>
          <w:lang w:eastAsia="zh-CN"/>
        </w:rPr>
        <w:t>（含</w:t>
      </w:r>
      <w:r>
        <w:rPr>
          <w:rFonts w:cs="Times New Roman"/>
          <w:color w:val="auto"/>
          <w:kern w:val="2"/>
          <w:sz w:val="21"/>
          <w:szCs w:val="21"/>
          <w:lang w:eastAsia="zh-CN"/>
        </w:rPr>
        <w:t>20%</w:t>
      </w:r>
      <w:r>
        <w:rPr>
          <w:rFonts w:hint="eastAsia" w:cs="Times New Roman"/>
          <w:color w:val="auto"/>
          <w:kern w:val="2"/>
          <w:sz w:val="21"/>
          <w:szCs w:val="21"/>
          <w:lang w:eastAsia="zh-CN"/>
        </w:rPr>
        <w:t>）以下。</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绿地设施</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绿地给排水设施、护栏、园路、灯饰、路椅、果皮箱及体育健身器械等附属设施</w:t>
      </w:r>
      <w:r>
        <w:rPr>
          <w:rFonts w:cs="Times New Roman"/>
          <w:color w:val="auto"/>
          <w:kern w:val="2"/>
          <w:sz w:val="21"/>
          <w:szCs w:val="21"/>
          <w:lang w:eastAsia="zh-CN"/>
        </w:rPr>
        <w:t xml:space="preserve"> </w:t>
      </w:r>
      <w:r>
        <w:rPr>
          <w:rFonts w:hint="eastAsia" w:cs="Times New Roman"/>
          <w:color w:val="auto"/>
          <w:kern w:val="2"/>
          <w:sz w:val="21"/>
          <w:szCs w:val="21"/>
          <w:lang w:eastAsia="zh-CN"/>
        </w:rPr>
        <w:t>，要求完整无损，整齐洁净，维修及时。</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3.</w:t>
      </w:r>
      <w:r>
        <w:rPr>
          <w:rFonts w:hint="eastAsia" w:cs="Times New Roman"/>
          <w:color w:val="auto"/>
          <w:kern w:val="2"/>
          <w:sz w:val="21"/>
          <w:szCs w:val="21"/>
          <w:lang w:eastAsia="zh-CN"/>
        </w:rPr>
        <w:t>管理措施</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(1)</w:t>
      </w:r>
      <w:r>
        <w:rPr>
          <w:rFonts w:hint="eastAsia" w:cs="Times New Roman"/>
          <w:color w:val="auto"/>
          <w:kern w:val="2"/>
          <w:sz w:val="21"/>
          <w:szCs w:val="21"/>
          <w:lang w:eastAsia="zh-CN"/>
        </w:rPr>
        <w:t>绿地范围内的古树名木须档案齐全，管理责任落实，保护措施到位，古树名木生长正常。</w:t>
      </w:r>
    </w:p>
    <w:p>
      <w:pPr>
        <w:autoSpaceDE/>
        <w:autoSpaceDN/>
        <w:spacing w:line="360" w:lineRule="auto"/>
        <w:jc w:val="both"/>
        <w:rPr>
          <w:rFonts w:cs="Times New Roman"/>
          <w:color w:val="auto"/>
          <w:kern w:val="2"/>
          <w:sz w:val="21"/>
          <w:szCs w:val="21"/>
          <w:lang w:eastAsia="zh-CN"/>
        </w:rPr>
      </w:pPr>
      <w:r>
        <w:rPr>
          <w:rFonts w:cs="Times New Roman"/>
          <w:color w:val="auto"/>
          <w:kern w:val="2"/>
          <w:sz w:val="21"/>
          <w:szCs w:val="21"/>
          <w:lang w:eastAsia="zh-CN"/>
        </w:rPr>
        <w:t xml:space="preserve">    (2)</w:t>
      </w:r>
      <w:r>
        <w:rPr>
          <w:rFonts w:hint="eastAsia" w:cs="Times New Roman"/>
          <w:color w:val="auto"/>
          <w:kern w:val="2"/>
          <w:sz w:val="21"/>
          <w:szCs w:val="21"/>
          <w:lang w:eastAsia="zh-CN"/>
        </w:rPr>
        <w:t>树木修剪科学、合理，对银杏、毛白杨等具明显主干树种，在保证主枝顶芽不受伤害的前提下，保持主侧枝分布均匀；对国槐、栾树等圆冠形树种应注重培养树冠基本骨</w:t>
      </w:r>
    </w:p>
    <w:p>
      <w:pPr>
        <w:autoSpaceDE/>
        <w:autoSpaceDN/>
        <w:spacing w:line="360" w:lineRule="auto"/>
        <w:jc w:val="both"/>
        <w:rPr>
          <w:rFonts w:cs="Times New Roman"/>
          <w:color w:val="auto"/>
          <w:kern w:val="2"/>
          <w:sz w:val="21"/>
          <w:szCs w:val="21"/>
          <w:lang w:eastAsia="zh-CN"/>
        </w:rPr>
      </w:pPr>
      <w:r>
        <w:rPr>
          <w:rFonts w:hint="eastAsia" w:cs="Times New Roman"/>
          <w:color w:val="auto"/>
          <w:kern w:val="2"/>
          <w:sz w:val="21"/>
          <w:szCs w:val="21"/>
          <w:lang w:eastAsia="zh-CN"/>
        </w:rPr>
        <w:t>架，主侧枝先端一致，树冠整齐。</w:t>
      </w:r>
    </w:p>
    <w:p>
      <w:pPr>
        <w:autoSpaceDE/>
        <w:autoSpaceDN/>
        <w:spacing w:line="360" w:lineRule="auto"/>
        <w:rPr>
          <w:rFonts w:hint="eastAsia" w:cs="Times New Roman"/>
          <w:color w:val="auto"/>
          <w:kern w:val="2"/>
          <w:sz w:val="21"/>
          <w:szCs w:val="21"/>
          <w:lang w:eastAsia="zh-CN"/>
        </w:rPr>
      </w:pPr>
      <w:r>
        <w:rPr>
          <w:rFonts w:cs="Times New Roman"/>
          <w:color w:val="auto"/>
          <w:kern w:val="2"/>
          <w:sz w:val="21"/>
          <w:szCs w:val="21"/>
          <w:lang w:eastAsia="zh-CN"/>
        </w:rPr>
        <w:t xml:space="preserve">    </w:t>
      </w:r>
      <w:r>
        <w:rPr>
          <w:rFonts w:hint="eastAsia" w:cs="Times New Roman"/>
          <w:color w:val="auto"/>
          <w:kern w:val="2"/>
          <w:sz w:val="21"/>
          <w:szCs w:val="21"/>
          <w:lang w:eastAsia="zh-CN"/>
        </w:rPr>
        <w:t>要及时解决树木与行人、车辆、建筑物、电线、交通信号灯及标识等方面的矛盾。</w:t>
      </w:r>
    </w:p>
    <w:p>
      <w:pPr>
        <w:autoSpaceDE/>
        <w:autoSpaceDN/>
        <w:spacing w:line="360" w:lineRule="auto"/>
        <w:rPr>
          <w:rFonts w:hint="eastAsia" w:cs="Times New Roman"/>
          <w:color w:val="auto"/>
          <w:kern w:val="2"/>
          <w:sz w:val="21"/>
          <w:szCs w:val="21"/>
          <w:lang w:eastAsia="zh-CN"/>
        </w:rPr>
      </w:pPr>
      <w:r>
        <w:rPr>
          <w:rFonts w:hint="eastAsia" w:cs="Times New Roman"/>
          <w:color w:val="auto"/>
          <w:kern w:val="2"/>
          <w:sz w:val="21"/>
          <w:szCs w:val="21"/>
          <w:lang w:eastAsia="zh-CN"/>
        </w:rPr>
        <w:t>附件2：北京市人民政府关于完善本市绿化隔离地区和“五河十路”绿色通道生态林用地及管护政策的通知（京政发[2015]35号）</w:t>
      </w:r>
    </w:p>
    <w:p>
      <w:pPr>
        <w:autoSpaceDE/>
        <w:autoSpaceDN/>
        <w:spacing w:line="360" w:lineRule="auto"/>
        <w:rPr>
          <w:rFonts w:hint="eastAsia" w:cs="Times New Roman"/>
          <w:color w:val="auto"/>
          <w:kern w:val="2"/>
          <w:sz w:val="21"/>
          <w:szCs w:val="21"/>
          <w:lang w:eastAsia="zh-CN"/>
        </w:rPr>
      </w:pPr>
      <w:r>
        <w:rPr>
          <w:rFonts w:hint="eastAsia" w:cs="Times New Roman"/>
          <w:color w:val="auto"/>
          <w:kern w:val="2"/>
          <w:sz w:val="21"/>
          <w:szCs w:val="21"/>
          <w:lang w:eastAsia="zh-CN"/>
        </w:rPr>
        <w:t>附件3：关于落实《北京市人民政府关于完善本市绿化隔离地区和“五河十路”绿色通道生态林用地及管护政策的通知》的实施细则</w:t>
      </w:r>
    </w:p>
    <w:p>
      <w:pPr>
        <w:autoSpaceDE/>
        <w:autoSpaceDN/>
        <w:spacing w:line="360" w:lineRule="auto"/>
        <w:rPr>
          <w:rFonts w:hint="eastAsia" w:cs="Times New Roman"/>
          <w:color w:val="auto"/>
          <w:kern w:val="2"/>
          <w:sz w:val="21"/>
          <w:szCs w:val="21"/>
          <w:lang w:eastAsia="zh-CN"/>
        </w:rPr>
      </w:pPr>
      <w:r>
        <w:rPr>
          <w:rFonts w:hint="eastAsia" w:cs="Times New Roman"/>
          <w:color w:val="auto"/>
          <w:kern w:val="2"/>
          <w:sz w:val="21"/>
          <w:szCs w:val="21"/>
          <w:lang w:eastAsia="zh-CN"/>
        </w:rPr>
        <w:t xml:space="preserve">附件4：北京市园林绿化局关于加强平原地区林木资源管护的通知（京绿造发[2015]}8号）   </w:t>
      </w:r>
    </w:p>
    <w:p>
      <w:pPr>
        <w:autoSpaceDE/>
        <w:autoSpaceDN/>
        <w:spacing w:line="360" w:lineRule="auto"/>
        <w:rPr>
          <w:rFonts w:hint="eastAsia" w:cs="Times New Roman"/>
          <w:color w:val="auto"/>
          <w:kern w:val="2"/>
          <w:sz w:val="21"/>
          <w:szCs w:val="21"/>
          <w:lang w:eastAsia="zh-CN"/>
        </w:rPr>
      </w:pPr>
    </w:p>
    <w:p>
      <w:pPr>
        <w:autoSpaceDE/>
        <w:autoSpaceDN/>
        <w:snapToGrid w:val="0"/>
        <w:spacing w:line="360" w:lineRule="auto"/>
        <w:jc w:val="both"/>
        <w:rPr>
          <w:color w:val="auto"/>
          <w:lang w:eastAsia="zh-CN"/>
        </w:rPr>
      </w:pPr>
      <w:r>
        <w:rPr>
          <w:rFonts w:hint="eastAsia" w:ascii="Times New Roman" w:hAnsi="Times New Roman" w:cs="Times New Roman"/>
          <w:b/>
          <w:color w:val="auto"/>
          <w:kern w:val="2"/>
          <w:sz w:val="18"/>
          <w:szCs w:val="18"/>
          <w:lang w:eastAsia="zh-CN"/>
        </w:rPr>
        <w:br w:type="page"/>
      </w:r>
    </w:p>
    <w:p>
      <w:pPr>
        <w:pStyle w:val="34"/>
        <w:spacing w:before="120" w:after="120"/>
        <w:rPr>
          <w:rFonts w:ascii="Times New Roman" w:hAnsi="Times New Roman" w:eastAsia="宋体"/>
          <w:color w:val="auto"/>
          <w:lang w:eastAsia="zh-CN"/>
        </w:rPr>
      </w:pPr>
      <w:bookmarkStart w:id="174" w:name="_Toc42528023"/>
      <w:bookmarkStart w:id="175" w:name="_Toc522883989"/>
      <w:bookmarkStart w:id="176" w:name="_Toc519721500"/>
      <w:r>
        <w:rPr>
          <w:rFonts w:ascii="Times New Roman" w:hAnsi="Times New Roman" w:eastAsia="宋体"/>
          <w:color w:val="auto"/>
          <w:lang w:eastAsia="zh-CN"/>
        </w:rPr>
        <w:t>第</w:t>
      </w:r>
      <w:r>
        <w:rPr>
          <w:rFonts w:hint="eastAsia" w:ascii="Times New Roman" w:hAnsi="Times New Roman" w:eastAsia="宋体"/>
          <w:color w:val="auto"/>
          <w:lang w:eastAsia="zh-CN"/>
        </w:rPr>
        <w:t>四</w:t>
      </w:r>
      <w:r>
        <w:rPr>
          <w:rFonts w:ascii="Times New Roman" w:hAnsi="Times New Roman" w:eastAsia="宋体"/>
          <w:color w:val="auto"/>
          <w:lang w:eastAsia="zh-CN"/>
        </w:rPr>
        <w:t>章</w:t>
      </w:r>
      <w:r>
        <w:rPr>
          <w:rFonts w:ascii="Times New Roman" w:hAnsi="Times New Roman" w:eastAsia="宋体"/>
          <w:color w:val="auto"/>
          <w:lang w:eastAsia="zh-CN"/>
        </w:rPr>
        <w:tab/>
      </w:r>
      <w:r>
        <w:rPr>
          <w:rFonts w:ascii="Times New Roman" w:hAnsi="Times New Roman" w:eastAsia="宋体"/>
          <w:color w:val="auto"/>
          <w:lang w:eastAsia="zh-CN"/>
        </w:rPr>
        <w:t>资格审查及评标标准和方法</w:t>
      </w:r>
      <w:bookmarkEnd w:id="174"/>
      <w:bookmarkEnd w:id="175"/>
      <w:bookmarkEnd w:id="176"/>
    </w:p>
    <w:p>
      <w:pPr>
        <w:pStyle w:val="4"/>
        <w:keepNext w:val="0"/>
        <w:keepLines w:val="0"/>
        <w:numPr>
          <w:ilvl w:val="0"/>
          <w:numId w:val="13"/>
        </w:numPr>
        <w:spacing w:before="240" w:beforeLines="100" w:beforeAutospacing="0" w:after="240" w:afterLines="100" w:afterAutospacing="0"/>
        <w:rPr>
          <w:rFonts w:ascii="Times New Roman" w:hAnsi="Times New Roman"/>
          <w:color w:val="auto"/>
        </w:rPr>
      </w:pPr>
      <w:bookmarkStart w:id="177" w:name="_Toc522883990"/>
      <w:bookmarkStart w:id="178" w:name="_Toc519721501"/>
      <w:bookmarkStart w:id="179" w:name="_Toc431224279"/>
      <w:r>
        <w:rPr>
          <w:rFonts w:hint="eastAsia" w:ascii="Times New Roman" w:hAnsi="Times New Roman"/>
          <w:color w:val="auto"/>
        </w:rPr>
        <w:t>资格审查</w:t>
      </w:r>
      <w:bookmarkEnd w:id="177"/>
    </w:p>
    <w:p>
      <w:pPr>
        <w:pStyle w:val="4"/>
        <w:keepNext w:val="0"/>
        <w:keepLines w:val="0"/>
        <w:numPr>
          <w:ilvl w:val="0"/>
          <w:numId w:val="14"/>
        </w:numPr>
        <w:spacing w:before="0" w:beforeAutospacing="0" w:after="0" w:afterAutospacing="0" w:line="360" w:lineRule="auto"/>
        <w:ind w:left="726" w:hanging="726"/>
        <w:rPr>
          <w:rFonts w:ascii="Times New Roman" w:hAnsi="Times New Roman"/>
          <w:b w:val="0"/>
          <w:color w:val="auto"/>
        </w:rPr>
      </w:pPr>
      <w:bookmarkStart w:id="180" w:name="_Toc522883991"/>
      <w:r>
        <w:rPr>
          <w:rFonts w:hint="eastAsia" w:ascii="Times New Roman" w:hAnsi="Times New Roman"/>
          <w:b w:val="0"/>
          <w:color w:val="auto"/>
        </w:rPr>
        <w:t>开标后，采购人或采购代理机构按照招标文件的要求，对投标人的资格进行审查。</w:t>
      </w:r>
      <w:bookmarkEnd w:id="180"/>
    </w:p>
    <w:p>
      <w:pPr>
        <w:pStyle w:val="4"/>
        <w:keepNext w:val="0"/>
        <w:keepLines w:val="0"/>
        <w:numPr>
          <w:ilvl w:val="0"/>
          <w:numId w:val="14"/>
        </w:numPr>
        <w:spacing w:before="0" w:beforeAutospacing="0" w:after="0" w:afterAutospacing="0" w:line="360" w:lineRule="auto"/>
        <w:ind w:left="726" w:hanging="726"/>
        <w:rPr>
          <w:rFonts w:ascii="Times New Roman" w:hAnsi="Times New Roman"/>
          <w:b w:val="0"/>
          <w:color w:val="auto"/>
        </w:rPr>
      </w:pPr>
      <w:bookmarkStart w:id="181" w:name="_Toc522883992"/>
      <w:r>
        <w:rPr>
          <w:rFonts w:hint="eastAsia" w:ascii="Times New Roman" w:hAnsi="Times New Roman"/>
          <w:b w:val="0"/>
          <w:color w:val="auto"/>
        </w:rPr>
        <w:t>通过资格审查的合格投标人不足3家的，不得进入评标程序。</w:t>
      </w:r>
      <w:bookmarkEnd w:id="181"/>
    </w:p>
    <w:p>
      <w:pPr>
        <w:pStyle w:val="4"/>
        <w:keepNext w:val="0"/>
        <w:keepLines w:val="0"/>
        <w:numPr>
          <w:ilvl w:val="0"/>
          <w:numId w:val="14"/>
        </w:numPr>
        <w:spacing w:before="0" w:beforeAutospacing="0" w:after="0" w:afterAutospacing="0" w:line="360" w:lineRule="auto"/>
        <w:ind w:left="726" w:hanging="726"/>
        <w:rPr>
          <w:rFonts w:ascii="Times New Roman" w:hAnsi="Times New Roman"/>
          <w:b w:val="0"/>
          <w:color w:val="auto"/>
        </w:rPr>
      </w:pPr>
      <w:bookmarkStart w:id="182" w:name="_Toc522883993"/>
      <w:r>
        <w:rPr>
          <w:rFonts w:hint="eastAsia" w:ascii="Times New Roman" w:hAnsi="Times New Roman"/>
          <w:b w:val="0"/>
          <w:color w:val="auto"/>
        </w:rPr>
        <w:t>资格审查标准：见附表1。</w:t>
      </w:r>
      <w:bookmarkEnd w:id="182"/>
    </w:p>
    <w:p>
      <w:pPr>
        <w:pStyle w:val="11"/>
        <w:rPr>
          <w:color w:val="auto"/>
          <w:lang w:eastAsia="zh-CN"/>
        </w:rPr>
      </w:pPr>
    </w:p>
    <w:p>
      <w:pPr>
        <w:pStyle w:val="4"/>
        <w:keepNext w:val="0"/>
        <w:keepLines w:val="0"/>
        <w:numPr>
          <w:ilvl w:val="0"/>
          <w:numId w:val="13"/>
        </w:numPr>
        <w:spacing w:before="240" w:beforeLines="100" w:beforeAutospacing="0" w:after="240" w:afterLines="100" w:afterAutospacing="0"/>
        <w:rPr>
          <w:rFonts w:ascii="Times New Roman" w:hAnsi="Times New Roman"/>
          <w:color w:val="auto"/>
        </w:rPr>
      </w:pPr>
      <w:bookmarkStart w:id="183" w:name="_Toc522883994"/>
      <w:r>
        <w:rPr>
          <w:rFonts w:ascii="Times New Roman" w:hAnsi="Times New Roman"/>
          <w:color w:val="auto"/>
        </w:rPr>
        <w:t>评标标准和方法</w:t>
      </w:r>
      <w:bookmarkEnd w:id="183"/>
    </w:p>
    <w:p>
      <w:pPr>
        <w:pStyle w:val="4"/>
        <w:keepNext w:val="0"/>
        <w:keepLines w:val="0"/>
        <w:numPr>
          <w:ilvl w:val="0"/>
          <w:numId w:val="14"/>
        </w:numPr>
        <w:spacing w:before="240" w:beforeLines="100" w:beforeAutospacing="0" w:after="240" w:afterLines="100" w:afterAutospacing="0"/>
        <w:ind w:left="726" w:hanging="726"/>
        <w:rPr>
          <w:rFonts w:ascii="Times New Roman" w:hAnsi="Times New Roman"/>
          <w:b w:val="0"/>
          <w:color w:val="auto"/>
        </w:rPr>
      </w:pPr>
      <w:bookmarkStart w:id="184" w:name="_Toc522883995"/>
      <w:r>
        <w:rPr>
          <w:rFonts w:hint="eastAsia" w:ascii="Times New Roman" w:hAnsi="Times New Roman"/>
          <w:b w:val="0"/>
          <w:color w:val="auto"/>
        </w:rPr>
        <w:t>评标方法</w:t>
      </w:r>
      <w:bookmarkEnd w:id="178"/>
      <w:bookmarkEnd w:id="179"/>
      <w:bookmarkEnd w:id="184"/>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本次评标采用综合评分法。评标委员会对满足招标文件实质性要求的投标文件，按照本章第5.2款规定的评分标准进行打分，并按得分由高到低顺序推荐中标候选人，或根据采购人授权直接确定中标人。</w:t>
      </w:r>
      <w:r>
        <w:rPr>
          <w:rFonts w:ascii="Times New Roman" w:hAnsi="Times New Roman"/>
          <w:color w:val="auto"/>
          <w:sz w:val="24"/>
          <w:szCs w:val="24"/>
          <w:lang w:eastAsia="zh-CN"/>
        </w:rPr>
        <w:t>得分相同的，按投标报价由低到高的顺序排列。投标文件满足招标文件全部实质性要求，且按照评审因素的量化指标评审得分最高的投标人为排名第一的中标候选人。</w:t>
      </w:r>
    </w:p>
    <w:p>
      <w:pPr>
        <w:pStyle w:val="4"/>
        <w:keepNext w:val="0"/>
        <w:keepLines w:val="0"/>
        <w:numPr>
          <w:ilvl w:val="0"/>
          <w:numId w:val="14"/>
        </w:numPr>
        <w:spacing w:before="240" w:beforeLines="100" w:beforeAutospacing="0" w:after="240" w:afterLines="100" w:afterAutospacing="0"/>
        <w:ind w:left="726" w:hanging="726"/>
        <w:rPr>
          <w:rFonts w:ascii="Times New Roman" w:hAnsi="Times New Roman"/>
          <w:b w:val="0"/>
          <w:color w:val="auto"/>
        </w:rPr>
      </w:pPr>
      <w:bookmarkStart w:id="185" w:name="_Toc519721502"/>
      <w:bookmarkStart w:id="186" w:name="_Toc522883996"/>
      <w:bookmarkStart w:id="187" w:name="_Toc431224280"/>
      <w:r>
        <w:rPr>
          <w:rFonts w:hint="eastAsia" w:ascii="Times New Roman" w:hAnsi="Times New Roman"/>
          <w:b w:val="0"/>
          <w:color w:val="auto"/>
        </w:rPr>
        <w:t>评审标准</w:t>
      </w:r>
      <w:bookmarkEnd w:id="185"/>
      <w:bookmarkEnd w:id="186"/>
      <w:bookmarkEnd w:id="187"/>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188" w:name="_Toc431224281"/>
      <w:bookmarkStart w:id="189" w:name="_Toc522883997"/>
      <w:r>
        <w:rPr>
          <w:rStyle w:val="64"/>
          <w:rFonts w:hint="eastAsia" w:ascii="Times New Roman" w:hAnsi="Times New Roman"/>
          <w:b w:val="0"/>
          <w:color w:val="auto"/>
        </w:rPr>
        <w:t>初步评审标准</w:t>
      </w:r>
      <w:bookmarkEnd w:id="188"/>
      <w:bookmarkEnd w:id="189"/>
    </w:p>
    <w:p>
      <w:pPr>
        <w:pStyle w:val="51"/>
        <w:numPr>
          <w:ilvl w:val="2"/>
          <w:numId w:val="14"/>
        </w:numPr>
        <w:spacing w:line="360" w:lineRule="auto"/>
        <w:ind w:left="723" w:hanging="723"/>
        <w:rPr>
          <w:rFonts w:ascii="Times New Roman" w:hAnsi="Times New Roman"/>
          <w:color w:val="auto"/>
          <w:sz w:val="24"/>
          <w:szCs w:val="24"/>
          <w:lang w:eastAsia="zh-CN"/>
        </w:rPr>
      </w:pPr>
      <w:r>
        <w:rPr>
          <w:rFonts w:hint="eastAsia" w:cs="Arial"/>
          <w:color w:val="auto"/>
          <w:sz w:val="24"/>
          <w:szCs w:val="24"/>
          <w:lang w:eastAsia="zh-CN"/>
        </w:rPr>
        <w:t>评标委员会对资格审查合格投标人的投标文件进行符合性审查，以确定其是否满足招标文件的实质性要求。</w:t>
      </w:r>
    </w:p>
    <w:p>
      <w:pPr>
        <w:pStyle w:val="51"/>
        <w:numPr>
          <w:ilvl w:val="2"/>
          <w:numId w:val="14"/>
        </w:numPr>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符合性审查标准：见附表4。</w:t>
      </w:r>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190" w:name="_Toc522883998"/>
      <w:bookmarkStart w:id="191" w:name="_Toc431224282"/>
      <w:r>
        <w:rPr>
          <w:rStyle w:val="64"/>
          <w:rFonts w:hint="eastAsia" w:ascii="Times New Roman" w:hAnsi="Times New Roman"/>
          <w:b w:val="0"/>
          <w:color w:val="auto"/>
        </w:rPr>
        <w:t>详细评审标准</w:t>
      </w:r>
      <w:bookmarkEnd w:id="190"/>
      <w:bookmarkEnd w:id="191"/>
    </w:p>
    <w:p>
      <w:pPr>
        <w:pStyle w:val="51"/>
        <w:numPr>
          <w:ilvl w:val="2"/>
          <w:numId w:val="14"/>
        </w:numPr>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分值</w:t>
      </w:r>
      <w:r>
        <w:rPr>
          <w:rStyle w:val="64"/>
          <w:rFonts w:hint="eastAsia" w:ascii="Times New Roman" w:hAnsi="Times New Roman"/>
          <w:color w:val="auto"/>
          <w:szCs w:val="24"/>
        </w:rPr>
        <w:t>构成</w:t>
      </w:r>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商务部分（</w:t>
      </w:r>
      <w:r>
        <w:rPr>
          <w:rFonts w:hint="eastAsia" w:ascii="Times New Roman" w:hAnsi="Times New Roman"/>
          <w:color w:val="auto"/>
          <w:sz w:val="24"/>
          <w:szCs w:val="24"/>
          <w:u w:val="single"/>
          <w:lang w:val="en-US" w:eastAsia="zh-CN"/>
        </w:rPr>
        <w:t>20</w:t>
      </w:r>
      <w:r>
        <w:rPr>
          <w:rFonts w:hint="eastAsia" w:ascii="Times New Roman" w:hAnsi="Times New Roman"/>
          <w:color w:val="auto"/>
          <w:sz w:val="24"/>
          <w:szCs w:val="24"/>
          <w:lang w:eastAsia="zh-CN"/>
        </w:rPr>
        <w:t>分），技术部分（</w:t>
      </w:r>
      <w:r>
        <w:rPr>
          <w:rFonts w:hint="eastAsia" w:ascii="Times New Roman" w:hAnsi="Times New Roman"/>
          <w:color w:val="auto"/>
          <w:sz w:val="24"/>
          <w:szCs w:val="24"/>
          <w:u w:val="single"/>
          <w:lang w:val="en-US" w:eastAsia="zh-CN"/>
        </w:rPr>
        <w:t>7</w:t>
      </w:r>
      <w:r>
        <w:rPr>
          <w:rFonts w:hint="eastAsia" w:ascii="Times New Roman" w:hAnsi="Times New Roman"/>
          <w:color w:val="auto"/>
          <w:sz w:val="24"/>
          <w:szCs w:val="24"/>
          <w:u w:val="single"/>
          <w:lang w:eastAsia="zh-CN"/>
        </w:rPr>
        <w:t>0</w:t>
      </w:r>
      <w:r>
        <w:rPr>
          <w:rFonts w:hint="eastAsia" w:ascii="Times New Roman" w:hAnsi="Times New Roman"/>
          <w:color w:val="auto"/>
          <w:sz w:val="24"/>
          <w:szCs w:val="24"/>
          <w:lang w:eastAsia="zh-CN"/>
        </w:rPr>
        <w:t>分）和价格部分（</w:t>
      </w:r>
      <w:r>
        <w:rPr>
          <w:rFonts w:hint="eastAsia" w:ascii="Times New Roman" w:hAnsi="Times New Roman"/>
          <w:color w:val="auto"/>
          <w:sz w:val="24"/>
          <w:szCs w:val="24"/>
          <w:u w:val="single"/>
          <w:lang w:eastAsia="zh-CN"/>
        </w:rPr>
        <w:t>10</w:t>
      </w:r>
      <w:r>
        <w:rPr>
          <w:rFonts w:hint="eastAsia" w:ascii="Times New Roman" w:hAnsi="Times New Roman"/>
          <w:color w:val="auto"/>
          <w:sz w:val="24"/>
          <w:szCs w:val="24"/>
          <w:lang w:eastAsia="zh-CN"/>
        </w:rPr>
        <w:t>分）</w:t>
      </w:r>
      <w:r>
        <w:rPr>
          <w:rFonts w:ascii="Times New Roman" w:hAnsi="Times New Roman"/>
          <w:color w:val="auto"/>
          <w:sz w:val="24"/>
          <w:szCs w:val="24"/>
          <w:lang w:eastAsia="zh-CN"/>
        </w:rPr>
        <w:t>。</w:t>
      </w:r>
    </w:p>
    <w:p>
      <w:pPr>
        <w:pStyle w:val="51"/>
        <w:numPr>
          <w:ilvl w:val="2"/>
          <w:numId w:val="14"/>
        </w:numPr>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评分标准</w:t>
      </w:r>
    </w:p>
    <w:p>
      <w:pPr>
        <w:snapToGrid w:val="0"/>
        <w:spacing w:line="360" w:lineRule="auto"/>
        <w:ind w:left="723"/>
        <w:rPr>
          <w:rFonts w:ascii="Times New Roman" w:hAnsi="Times New Roman"/>
          <w:color w:val="auto"/>
          <w:sz w:val="24"/>
          <w:szCs w:val="24"/>
          <w:lang w:eastAsia="zh-CN"/>
        </w:rPr>
      </w:pPr>
      <w:bookmarkStart w:id="192" w:name="_Toc431224283"/>
      <w:r>
        <w:rPr>
          <w:rFonts w:hint="eastAsia" w:ascii="Times New Roman" w:hAnsi="Times New Roman"/>
          <w:color w:val="auto"/>
          <w:sz w:val="24"/>
          <w:szCs w:val="24"/>
          <w:lang w:eastAsia="zh-CN"/>
        </w:rPr>
        <w:t>详见附表5。</w:t>
      </w:r>
    </w:p>
    <w:p>
      <w:pPr>
        <w:pStyle w:val="4"/>
        <w:keepNext w:val="0"/>
        <w:keepLines w:val="0"/>
        <w:numPr>
          <w:ilvl w:val="0"/>
          <w:numId w:val="14"/>
        </w:numPr>
        <w:spacing w:before="240" w:beforeLines="100" w:beforeAutospacing="0" w:after="240" w:afterLines="100" w:afterAutospacing="0"/>
        <w:ind w:left="726" w:hanging="726"/>
        <w:rPr>
          <w:rFonts w:ascii="Times New Roman" w:hAnsi="Times New Roman"/>
          <w:b w:val="0"/>
          <w:color w:val="auto"/>
        </w:rPr>
      </w:pPr>
      <w:bookmarkStart w:id="193" w:name="_Toc522883999"/>
      <w:bookmarkStart w:id="194" w:name="_Toc519721503"/>
      <w:r>
        <w:rPr>
          <w:rFonts w:hint="eastAsia" w:ascii="Times New Roman" w:hAnsi="Times New Roman"/>
          <w:b w:val="0"/>
          <w:color w:val="auto"/>
        </w:rPr>
        <w:t>评标程序</w:t>
      </w:r>
      <w:bookmarkEnd w:id="192"/>
      <w:bookmarkEnd w:id="193"/>
      <w:bookmarkEnd w:id="194"/>
    </w:p>
    <w:p>
      <w:pPr>
        <w:snapToGrid w:val="0"/>
        <w:spacing w:line="360" w:lineRule="auto"/>
        <w:ind w:left="723"/>
        <w:rPr>
          <w:rFonts w:ascii="Times New Roman" w:hAnsi="Times New Roman" w:cs="Arial"/>
          <w:color w:val="auto"/>
          <w:sz w:val="24"/>
          <w:szCs w:val="24"/>
          <w:lang w:eastAsia="zh-CN"/>
        </w:rPr>
      </w:pPr>
      <w:r>
        <w:rPr>
          <w:rFonts w:hint="eastAsia" w:cs="Arial"/>
          <w:color w:val="auto"/>
          <w:sz w:val="24"/>
          <w:szCs w:val="24"/>
          <w:lang w:eastAsia="zh-CN"/>
        </w:rPr>
        <w:t>评标委员会对资格审查合格投标人的投标文件进行符合性审查，以确定其是否满足招标文件的实质性要求。符合性审查合格投标人不足3家的，依法重新招标。符合性审查合格投标人不少于3家的，评标委员会按照招标文件中规定的评标方法和标准，对相应投标文件进行商务、技术和价格评分、汇总和排序，推荐中标候选人</w:t>
      </w:r>
      <w:r>
        <w:rPr>
          <w:rFonts w:hint="eastAsia" w:ascii="Times New Roman" w:hAnsi="Times New Roman" w:cs="Arial"/>
          <w:color w:val="auto"/>
          <w:sz w:val="24"/>
          <w:szCs w:val="24"/>
          <w:lang w:eastAsia="zh-CN"/>
        </w:rPr>
        <w:t>或者直接确定中标人</w:t>
      </w:r>
      <w:r>
        <w:rPr>
          <w:rFonts w:hint="eastAsia" w:cs="Arial"/>
          <w:color w:val="auto"/>
          <w:sz w:val="24"/>
          <w:szCs w:val="24"/>
          <w:lang w:eastAsia="zh-CN"/>
        </w:rPr>
        <w:t>。</w:t>
      </w:r>
    </w:p>
    <w:p>
      <w:pPr>
        <w:snapToGrid w:val="0"/>
        <w:spacing w:line="360" w:lineRule="auto"/>
        <w:ind w:left="723"/>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评标活动将按以下步骤进行：</w:t>
      </w:r>
    </w:p>
    <w:p>
      <w:pPr>
        <w:numPr>
          <w:ilvl w:val="0"/>
          <w:numId w:val="15"/>
        </w:numPr>
        <w:autoSpaceDE/>
        <w:autoSpaceDN/>
        <w:snapToGrid w:val="0"/>
        <w:spacing w:line="360" w:lineRule="auto"/>
        <w:ind w:hanging="370"/>
        <w:jc w:val="both"/>
        <w:rPr>
          <w:rFonts w:ascii="Times New Roman" w:hAnsi="Times New Roman" w:cs="Arial"/>
          <w:color w:val="auto"/>
          <w:sz w:val="24"/>
          <w:szCs w:val="24"/>
        </w:rPr>
      </w:pPr>
      <w:r>
        <w:rPr>
          <w:rFonts w:hint="eastAsia" w:ascii="Times New Roman" w:hAnsi="Times New Roman" w:cs="Arial"/>
          <w:color w:val="auto"/>
          <w:sz w:val="24"/>
          <w:szCs w:val="24"/>
        </w:rPr>
        <w:t>评标准备；</w:t>
      </w:r>
    </w:p>
    <w:p>
      <w:pPr>
        <w:numPr>
          <w:ilvl w:val="0"/>
          <w:numId w:val="15"/>
        </w:numPr>
        <w:autoSpaceDE/>
        <w:autoSpaceDN/>
        <w:snapToGrid w:val="0"/>
        <w:spacing w:line="360" w:lineRule="auto"/>
        <w:ind w:hanging="370"/>
        <w:jc w:val="both"/>
        <w:rPr>
          <w:rFonts w:ascii="Times New Roman" w:hAnsi="Times New Roman" w:cs="Arial"/>
          <w:color w:val="auto"/>
          <w:sz w:val="24"/>
          <w:szCs w:val="24"/>
        </w:rPr>
      </w:pPr>
      <w:r>
        <w:rPr>
          <w:rFonts w:hint="eastAsia" w:ascii="Times New Roman" w:hAnsi="Times New Roman" w:cs="Arial"/>
          <w:color w:val="auto"/>
          <w:sz w:val="24"/>
          <w:szCs w:val="24"/>
        </w:rPr>
        <w:t>初步评审；</w:t>
      </w:r>
    </w:p>
    <w:p>
      <w:pPr>
        <w:numPr>
          <w:ilvl w:val="0"/>
          <w:numId w:val="15"/>
        </w:numPr>
        <w:autoSpaceDE/>
        <w:autoSpaceDN/>
        <w:snapToGrid w:val="0"/>
        <w:spacing w:line="360" w:lineRule="auto"/>
        <w:ind w:hanging="370"/>
        <w:jc w:val="both"/>
        <w:rPr>
          <w:rFonts w:ascii="Times New Roman" w:hAnsi="Times New Roman" w:cs="Arial"/>
          <w:color w:val="auto"/>
          <w:sz w:val="24"/>
          <w:szCs w:val="24"/>
        </w:rPr>
      </w:pPr>
      <w:r>
        <w:rPr>
          <w:rFonts w:hint="eastAsia" w:ascii="Times New Roman" w:hAnsi="Times New Roman" w:cs="Arial"/>
          <w:color w:val="auto"/>
          <w:sz w:val="24"/>
          <w:szCs w:val="24"/>
        </w:rPr>
        <w:t>详细评审；</w:t>
      </w:r>
    </w:p>
    <w:p>
      <w:pPr>
        <w:numPr>
          <w:ilvl w:val="0"/>
          <w:numId w:val="15"/>
        </w:numPr>
        <w:autoSpaceDE/>
        <w:autoSpaceDN/>
        <w:snapToGrid w:val="0"/>
        <w:spacing w:line="360" w:lineRule="auto"/>
        <w:ind w:hanging="370"/>
        <w:jc w:val="both"/>
        <w:rPr>
          <w:rFonts w:ascii="Times New Roman" w:hAnsi="Times New Roman" w:cs="Arial"/>
          <w:color w:val="auto"/>
          <w:sz w:val="24"/>
          <w:szCs w:val="24"/>
        </w:rPr>
      </w:pPr>
      <w:r>
        <w:rPr>
          <w:rFonts w:hint="eastAsia" w:ascii="Times New Roman" w:hAnsi="Times New Roman" w:cs="Arial"/>
          <w:color w:val="auto"/>
          <w:sz w:val="24"/>
          <w:szCs w:val="24"/>
        </w:rPr>
        <w:t>澄清、说明或补正</w:t>
      </w:r>
    </w:p>
    <w:p>
      <w:pPr>
        <w:numPr>
          <w:ilvl w:val="0"/>
          <w:numId w:val="15"/>
        </w:numPr>
        <w:autoSpaceDE/>
        <w:autoSpaceDN/>
        <w:snapToGrid w:val="0"/>
        <w:spacing w:line="360" w:lineRule="auto"/>
        <w:ind w:hanging="370"/>
        <w:jc w:val="both"/>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推荐中标候选人或者直接确定中标人及提交评标报告。</w:t>
      </w:r>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195" w:name="_Toc522884000"/>
      <w:bookmarkStart w:id="196" w:name="_Toc431224291"/>
      <w:bookmarkStart w:id="197" w:name="_Toc419380385"/>
      <w:bookmarkStart w:id="198" w:name="_Toc419380946"/>
      <w:r>
        <w:rPr>
          <w:rStyle w:val="64"/>
          <w:rFonts w:hint="eastAsia" w:ascii="Times New Roman" w:hAnsi="Times New Roman"/>
          <w:b w:val="0"/>
          <w:color w:val="auto"/>
        </w:rPr>
        <w:t>评标准备</w:t>
      </w:r>
      <w:bookmarkEnd w:id="195"/>
      <w:bookmarkEnd w:id="196"/>
      <w:bookmarkEnd w:id="197"/>
      <w:bookmarkEnd w:id="198"/>
    </w:p>
    <w:p>
      <w:pPr>
        <w:pStyle w:val="51"/>
        <w:numPr>
          <w:ilvl w:val="2"/>
          <w:numId w:val="14"/>
        </w:numPr>
        <w:spacing w:line="360" w:lineRule="auto"/>
        <w:ind w:left="723" w:hanging="723"/>
        <w:rPr>
          <w:rFonts w:ascii="Times New Roman" w:hAnsi="Times New Roman"/>
          <w:color w:val="auto"/>
          <w:sz w:val="24"/>
          <w:szCs w:val="24"/>
          <w:lang w:eastAsia="zh-CN"/>
        </w:rPr>
      </w:pPr>
      <w:bookmarkStart w:id="199" w:name="_Toc419380947"/>
      <w:bookmarkStart w:id="200" w:name="_Toc431224292"/>
      <w:bookmarkStart w:id="201" w:name="_Toc419380386"/>
      <w:r>
        <w:rPr>
          <w:rFonts w:hint="eastAsia" w:ascii="Times New Roman" w:hAnsi="Times New Roman"/>
          <w:color w:val="auto"/>
          <w:sz w:val="24"/>
          <w:szCs w:val="24"/>
          <w:lang w:eastAsia="zh-CN"/>
        </w:rPr>
        <w:t>评标</w:t>
      </w:r>
      <w:r>
        <w:rPr>
          <w:rFonts w:hint="eastAsia" w:ascii="Times New Roman" w:hAnsi="Times New Roman" w:cs="Arial"/>
          <w:color w:val="auto"/>
          <w:sz w:val="24"/>
          <w:szCs w:val="24"/>
          <w:lang w:eastAsia="zh-CN"/>
        </w:rPr>
        <w:t>委员会</w:t>
      </w:r>
      <w:r>
        <w:rPr>
          <w:rFonts w:hint="eastAsia" w:ascii="Times New Roman" w:hAnsi="Times New Roman"/>
          <w:color w:val="auto"/>
          <w:sz w:val="24"/>
          <w:szCs w:val="24"/>
          <w:lang w:eastAsia="zh-CN"/>
        </w:rPr>
        <w:t>成员签到及签署声明</w:t>
      </w:r>
      <w:bookmarkEnd w:id="199"/>
      <w:bookmarkEnd w:id="200"/>
      <w:bookmarkEnd w:id="201"/>
    </w:p>
    <w:p>
      <w:pPr>
        <w:snapToGrid w:val="0"/>
        <w:spacing w:line="360" w:lineRule="auto"/>
        <w:ind w:left="723"/>
        <w:rPr>
          <w:rFonts w:ascii="Times New Roman" w:hAnsi="Times New Roman" w:cs="Arial"/>
          <w:color w:val="auto"/>
          <w:sz w:val="24"/>
          <w:szCs w:val="24"/>
          <w:lang w:eastAsia="zh-CN"/>
        </w:rPr>
      </w:pPr>
      <w:r>
        <w:rPr>
          <w:rFonts w:ascii="Times New Roman" w:hAnsi="Times New Roman" w:cs="Arial"/>
          <w:color w:val="auto"/>
          <w:sz w:val="24"/>
          <w:szCs w:val="24"/>
          <w:lang w:eastAsia="zh-CN"/>
        </w:rPr>
        <w:t>评标委员会</w:t>
      </w:r>
      <w:r>
        <w:rPr>
          <w:rFonts w:hint="eastAsia" w:ascii="Times New Roman" w:hAnsi="Times New Roman" w:cs="Arial"/>
          <w:color w:val="auto"/>
          <w:sz w:val="24"/>
          <w:szCs w:val="24"/>
          <w:lang w:eastAsia="zh-CN"/>
        </w:rPr>
        <w:t>成员</w:t>
      </w:r>
      <w:r>
        <w:rPr>
          <w:rFonts w:ascii="Times New Roman" w:hAnsi="Times New Roman" w:cs="Arial"/>
          <w:color w:val="auto"/>
          <w:sz w:val="24"/>
          <w:szCs w:val="24"/>
          <w:lang w:eastAsia="zh-CN"/>
        </w:rPr>
        <w:t>到达评标现场时应在签到表上签到以证明其出席。评标委员会签到表见附表</w:t>
      </w:r>
      <w:r>
        <w:rPr>
          <w:rFonts w:hint="eastAsia" w:ascii="Times New Roman" w:hAnsi="Times New Roman" w:cs="Arial"/>
          <w:color w:val="auto"/>
          <w:sz w:val="24"/>
          <w:szCs w:val="24"/>
          <w:lang w:eastAsia="zh-CN"/>
        </w:rPr>
        <w:t>2</w:t>
      </w:r>
      <w:r>
        <w:rPr>
          <w:rFonts w:ascii="Times New Roman" w:hAnsi="Times New Roman" w:cs="Arial"/>
          <w:color w:val="auto"/>
          <w:sz w:val="24"/>
          <w:szCs w:val="24"/>
          <w:lang w:eastAsia="zh-CN"/>
        </w:rPr>
        <w:t>。</w:t>
      </w:r>
    </w:p>
    <w:p>
      <w:pPr>
        <w:snapToGrid w:val="0"/>
        <w:spacing w:line="360" w:lineRule="auto"/>
        <w:ind w:left="723"/>
        <w:rPr>
          <w:rFonts w:ascii="Times New Roman" w:hAnsi="Times New Roman"/>
          <w:color w:val="auto"/>
          <w:sz w:val="24"/>
          <w:szCs w:val="24"/>
          <w:lang w:eastAsia="zh-CN"/>
        </w:rPr>
      </w:pPr>
      <w:r>
        <w:rPr>
          <w:rFonts w:ascii="Times New Roman" w:hAnsi="Times New Roman"/>
          <w:color w:val="auto"/>
          <w:sz w:val="24"/>
          <w:szCs w:val="24"/>
          <w:lang w:eastAsia="zh-CN"/>
        </w:rPr>
        <w:t>评标委员会成员在评标前，应当</w:t>
      </w:r>
      <w:r>
        <w:rPr>
          <w:rFonts w:hint="eastAsia" w:ascii="Times New Roman" w:hAnsi="Times New Roman"/>
          <w:color w:val="auto"/>
          <w:sz w:val="24"/>
          <w:szCs w:val="24"/>
          <w:lang w:eastAsia="zh-CN"/>
        </w:rPr>
        <w:t>使用附表3</w:t>
      </w:r>
      <w:r>
        <w:rPr>
          <w:rFonts w:ascii="Times New Roman" w:hAnsi="Times New Roman"/>
          <w:color w:val="auto"/>
          <w:sz w:val="24"/>
          <w:szCs w:val="24"/>
          <w:lang w:eastAsia="zh-CN"/>
        </w:rPr>
        <w:t>签署评标专家声明书</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声明本人</w:t>
      </w:r>
      <w:r>
        <w:rPr>
          <w:rFonts w:hint="eastAsia" w:ascii="Times New Roman" w:hAnsi="Times New Roman"/>
          <w:color w:val="auto"/>
          <w:sz w:val="24"/>
          <w:szCs w:val="24"/>
          <w:lang w:eastAsia="zh-CN"/>
        </w:rPr>
        <w:t>不符合第二章“投标人须知”第20.1.2款中约定的</w:t>
      </w:r>
      <w:r>
        <w:rPr>
          <w:rFonts w:ascii="Times New Roman" w:hAnsi="Times New Roman"/>
          <w:color w:val="auto"/>
          <w:sz w:val="24"/>
          <w:szCs w:val="24"/>
          <w:lang w:eastAsia="zh-CN"/>
        </w:rPr>
        <w:t>应当回避情形，保证遵守有关评标管理规定以及评标纪律，客观、公正地进行评标，并接受</w:t>
      </w:r>
      <w:r>
        <w:rPr>
          <w:rFonts w:hint="eastAsia" w:ascii="Times New Roman" w:hAnsi="Times New Roman"/>
          <w:color w:val="auto"/>
          <w:sz w:val="24"/>
          <w:szCs w:val="24"/>
          <w:lang w:eastAsia="zh-CN"/>
        </w:rPr>
        <w:t>采购监管</w:t>
      </w:r>
      <w:r>
        <w:rPr>
          <w:rFonts w:ascii="Times New Roman" w:hAnsi="Times New Roman"/>
          <w:color w:val="auto"/>
          <w:sz w:val="24"/>
          <w:szCs w:val="24"/>
          <w:lang w:eastAsia="zh-CN"/>
        </w:rPr>
        <w:t>部门的监督。</w:t>
      </w:r>
    </w:p>
    <w:p>
      <w:pPr>
        <w:pStyle w:val="51"/>
        <w:numPr>
          <w:ilvl w:val="2"/>
          <w:numId w:val="14"/>
        </w:numPr>
        <w:spacing w:line="360" w:lineRule="auto"/>
        <w:ind w:left="723" w:hanging="723"/>
        <w:rPr>
          <w:rFonts w:ascii="Times New Roman" w:hAnsi="Times New Roman"/>
          <w:color w:val="auto"/>
          <w:sz w:val="24"/>
          <w:szCs w:val="24"/>
          <w:lang w:eastAsia="zh-CN"/>
        </w:rPr>
      </w:pPr>
      <w:bookmarkStart w:id="202" w:name="_Toc431224293"/>
      <w:bookmarkStart w:id="203" w:name="_Toc419380387"/>
      <w:bookmarkStart w:id="204" w:name="_Toc419380948"/>
      <w:r>
        <w:rPr>
          <w:rFonts w:hint="eastAsia" w:ascii="Times New Roman" w:hAnsi="Times New Roman"/>
          <w:color w:val="auto"/>
          <w:sz w:val="24"/>
          <w:szCs w:val="24"/>
          <w:lang w:eastAsia="zh-CN"/>
        </w:rPr>
        <w:t>评标</w:t>
      </w:r>
      <w:r>
        <w:rPr>
          <w:rStyle w:val="64"/>
          <w:rFonts w:hint="eastAsia" w:ascii="Times New Roman" w:hAnsi="Times New Roman"/>
          <w:color w:val="auto"/>
          <w:szCs w:val="24"/>
        </w:rPr>
        <w:t>委员会</w:t>
      </w:r>
      <w:r>
        <w:rPr>
          <w:rFonts w:hint="eastAsia" w:ascii="Times New Roman" w:hAnsi="Times New Roman"/>
          <w:color w:val="auto"/>
          <w:sz w:val="24"/>
          <w:szCs w:val="24"/>
          <w:lang w:eastAsia="zh-CN"/>
        </w:rPr>
        <w:t>的分工</w:t>
      </w:r>
      <w:bookmarkEnd w:id="202"/>
      <w:bookmarkEnd w:id="203"/>
      <w:bookmarkEnd w:id="204"/>
    </w:p>
    <w:p>
      <w:pPr>
        <w:pStyle w:val="51"/>
        <w:numPr>
          <w:ilvl w:val="3"/>
          <w:numId w:val="14"/>
        </w:numPr>
        <w:snapToGrid w:val="0"/>
        <w:spacing w:line="360" w:lineRule="auto"/>
        <w:ind w:left="723" w:hanging="723"/>
        <w:rPr>
          <w:rFonts w:ascii="Times New Roman" w:hAnsi="Times New Roman" w:cs="Arial"/>
          <w:color w:val="auto"/>
          <w:sz w:val="24"/>
          <w:szCs w:val="24"/>
          <w:lang w:eastAsia="zh-CN"/>
        </w:rPr>
      </w:pPr>
      <w:r>
        <w:rPr>
          <w:rFonts w:ascii="Times New Roman" w:hAnsi="Times New Roman" w:cs="Arial"/>
          <w:bCs/>
          <w:color w:val="auto"/>
          <w:sz w:val="24"/>
          <w:szCs w:val="24"/>
          <w:lang w:eastAsia="zh-CN"/>
        </w:rPr>
        <w:t>评标</w:t>
      </w:r>
      <w:r>
        <w:rPr>
          <w:rFonts w:ascii="Times New Roman" w:hAnsi="Times New Roman"/>
          <w:color w:val="auto"/>
          <w:sz w:val="24"/>
          <w:szCs w:val="24"/>
          <w:lang w:eastAsia="zh-CN"/>
        </w:rPr>
        <w:t>委员会</w:t>
      </w:r>
      <w:r>
        <w:rPr>
          <w:rFonts w:ascii="Times New Roman" w:hAnsi="Times New Roman" w:cs="Arial"/>
          <w:bCs/>
          <w:color w:val="auto"/>
          <w:sz w:val="24"/>
          <w:szCs w:val="24"/>
          <w:lang w:eastAsia="zh-CN"/>
        </w:rPr>
        <w:t>首先推选一名</w:t>
      </w:r>
      <w:r>
        <w:rPr>
          <w:rFonts w:ascii="Times New Roman" w:hAnsi="Times New Roman" w:cs="Arial"/>
          <w:color w:val="auto"/>
          <w:sz w:val="24"/>
          <w:szCs w:val="24"/>
          <w:lang w:eastAsia="zh-CN"/>
        </w:rPr>
        <w:t>评标组长</w:t>
      </w:r>
      <w:r>
        <w:rPr>
          <w:rFonts w:hint="eastAsia" w:ascii="Times New Roman" w:hAnsi="Times New Roman" w:cs="Arial"/>
          <w:color w:val="auto"/>
          <w:sz w:val="24"/>
          <w:szCs w:val="24"/>
          <w:lang w:eastAsia="zh-CN"/>
        </w:rPr>
        <w:t>，</w:t>
      </w:r>
      <w:r>
        <w:rPr>
          <w:rFonts w:ascii="Times New Roman" w:hAnsi="Times New Roman"/>
          <w:color w:val="auto"/>
          <w:sz w:val="24"/>
          <w:szCs w:val="24"/>
          <w:lang w:eastAsia="zh-CN"/>
        </w:rPr>
        <w:t>采购人代表不得担任组长</w:t>
      </w:r>
      <w:r>
        <w:rPr>
          <w:rFonts w:ascii="Times New Roman" w:hAnsi="Times New Roman" w:cs="Arial"/>
          <w:color w:val="auto"/>
          <w:sz w:val="24"/>
          <w:szCs w:val="24"/>
          <w:lang w:eastAsia="zh-CN"/>
        </w:rPr>
        <w:t>。</w:t>
      </w:r>
      <w:r>
        <w:rPr>
          <w:rFonts w:ascii="Times New Roman" w:hAnsi="Times New Roman" w:cs="Arial"/>
          <w:bCs/>
          <w:color w:val="auto"/>
          <w:sz w:val="24"/>
          <w:szCs w:val="24"/>
          <w:lang w:eastAsia="zh-CN"/>
        </w:rPr>
        <w:t>评标组长负责评标活动的组织领导工作。</w:t>
      </w:r>
      <w:r>
        <w:rPr>
          <w:rFonts w:ascii="Times New Roman" w:hAnsi="Times New Roman" w:cs="Arial"/>
          <w:color w:val="auto"/>
          <w:sz w:val="24"/>
          <w:szCs w:val="24"/>
          <w:lang w:eastAsia="zh-CN"/>
        </w:rPr>
        <w:t>评标组长与评标委员会其他成员</w:t>
      </w:r>
      <w:r>
        <w:rPr>
          <w:rFonts w:hint="eastAsia" w:ascii="Times New Roman" w:hAnsi="Times New Roman" w:cs="Arial"/>
          <w:color w:val="auto"/>
          <w:sz w:val="24"/>
          <w:szCs w:val="24"/>
          <w:lang w:eastAsia="zh-CN"/>
        </w:rPr>
        <w:t>具</w:t>
      </w:r>
      <w:r>
        <w:rPr>
          <w:rFonts w:ascii="Times New Roman" w:hAnsi="Times New Roman" w:cs="Arial"/>
          <w:color w:val="auto"/>
          <w:sz w:val="24"/>
          <w:szCs w:val="24"/>
          <w:lang w:eastAsia="zh-CN"/>
        </w:rPr>
        <w:t>有同等的评标权力。</w:t>
      </w:r>
    </w:p>
    <w:p>
      <w:pPr>
        <w:pStyle w:val="51"/>
        <w:numPr>
          <w:ilvl w:val="3"/>
          <w:numId w:val="14"/>
        </w:numPr>
        <w:snapToGrid w:val="0"/>
        <w:spacing w:line="360" w:lineRule="auto"/>
        <w:ind w:left="723" w:hanging="723"/>
        <w:rPr>
          <w:rFonts w:ascii="Times New Roman" w:hAnsi="Times New Roman" w:cs="Arial"/>
          <w:bCs/>
          <w:color w:val="auto"/>
          <w:sz w:val="24"/>
          <w:szCs w:val="24"/>
          <w:lang w:eastAsia="zh-CN"/>
        </w:rPr>
      </w:pPr>
      <w:r>
        <w:rPr>
          <w:rFonts w:ascii="Times New Roman" w:hAnsi="Times New Roman" w:cs="Arial"/>
          <w:bCs/>
          <w:color w:val="auto"/>
          <w:sz w:val="24"/>
          <w:szCs w:val="24"/>
          <w:lang w:eastAsia="zh-CN"/>
        </w:rPr>
        <w:t>评标组长除履行自己作为评标委员会成员独立评标</w:t>
      </w:r>
      <w:r>
        <w:rPr>
          <w:rFonts w:hint="eastAsia" w:ascii="Times New Roman" w:hAnsi="Times New Roman" w:cs="Arial"/>
          <w:bCs/>
          <w:color w:val="auto"/>
          <w:sz w:val="24"/>
          <w:szCs w:val="24"/>
          <w:lang w:eastAsia="zh-CN"/>
        </w:rPr>
        <w:t>的</w:t>
      </w:r>
      <w:r>
        <w:rPr>
          <w:rFonts w:ascii="Times New Roman" w:hAnsi="Times New Roman" w:cs="Arial"/>
          <w:bCs/>
          <w:color w:val="auto"/>
          <w:sz w:val="24"/>
          <w:szCs w:val="24"/>
          <w:lang w:eastAsia="zh-CN"/>
        </w:rPr>
        <w:t xml:space="preserve">职责外，主要负责以下工作： </w:t>
      </w:r>
    </w:p>
    <w:p>
      <w:pPr>
        <w:numPr>
          <w:ilvl w:val="0"/>
          <w:numId w:val="16"/>
        </w:numPr>
        <w:autoSpaceDE/>
        <w:autoSpaceDN/>
        <w:snapToGrid w:val="0"/>
        <w:spacing w:line="360" w:lineRule="auto"/>
        <w:ind w:left="723" w:firstLine="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组织评标委员会成员学习招标文件</w:t>
      </w:r>
      <w:r>
        <w:rPr>
          <w:rFonts w:hint="eastAsia" w:ascii="Times New Roman" w:hAnsi="Times New Roman" w:cs="Arial"/>
          <w:color w:val="auto"/>
          <w:sz w:val="24"/>
          <w:szCs w:val="24"/>
          <w:lang w:eastAsia="zh-CN"/>
        </w:rPr>
        <w:t>；</w:t>
      </w:r>
    </w:p>
    <w:p>
      <w:pPr>
        <w:numPr>
          <w:ilvl w:val="0"/>
          <w:numId w:val="16"/>
        </w:numPr>
        <w:tabs>
          <w:tab w:val="left" w:pos="1276"/>
          <w:tab w:val="clear" w:pos="1079"/>
        </w:tabs>
        <w:autoSpaceDE/>
        <w:autoSpaceDN/>
        <w:snapToGrid w:val="0"/>
        <w:spacing w:line="360" w:lineRule="auto"/>
        <w:ind w:left="1435" w:leftChars="325" w:hangingChars="30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提醒采购人或者采购代理机构做好评标准备工作，包括提供所需的评标基础资料</w:t>
      </w:r>
      <w:r>
        <w:rPr>
          <w:rFonts w:hint="eastAsia" w:ascii="Times New Roman" w:hAnsi="Times New Roman" w:cs="Arial"/>
          <w:color w:val="auto"/>
          <w:sz w:val="24"/>
          <w:szCs w:val="24"/>
          <w:lang w:eastAsia="zh-CN"/>
        </w:rPr>
        <w:t>等；</w:t>
      </w:r>
    </w:p>
    <w:p>
      <w:pPr>
        <w:numPr>
          <w:ilvl w:val="0"/>
          <w:numId w:val="16"/>
        </w:numPr>
        <w:tabs>
          <w:tab w:val="left" w:pos="1276"/>
          <w:tab w:val="clear" w:pos="1079"/>
        </w:tabs>
        <w:autoSpaceDE/>
        <w:autoSpaceDN/>
        <w:snapToGrid w:val="0"/>
        <w:spacing w:line="360" w:lineRule="auto"/>
        <w:ind w:left="1435" w:leftChars="325" w:hangingChars="30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汇总各评标委员会成员认为需要投标人澄清、说明或者补正的问题</w:t>
      </w:r>
      <w:r>
        <w:rPr>
          <w:rFonts w:hint="eastAsia" w:ascii="Times New Roman" w:hAnsi="Times New Roman" w:cs="Arial"/>
          <w:color w:val="auto"/>
          <w:sz w:val="24"/>
          <w:szCs w:val="24"/>
          <w:lang w:eastAsia="zh-CN"/>
        </w:rPr>
        <w:t>，</w:t>
      </w:r>
      <w:r>
        <w:rPr>
          <w:rFonts w:ascii="Times New Roman" w:hAnsi="Times New Roman" w:cs="Arial"/>
          <w:color w:val="auto"/>
          <w:sz w:val="24"/>
          <w:szCs w:val="24"/>
          <w:lang w:eastAsia="zh-CN"/>
        </w:rPr>
        <w:t>组织评标委员会对投标人质询并对投标人的答复进行评审</w:t>
      </w:r>
      <w:r>
        <w:rPr>
          <w:rFonts w:hint="eastAsia" w:ascii="Times New Roman" w:hAnsi="Times New Roman" w:cs="Arial"/>
          <w:color w:val="auto"/>
          <w:sz w:val="24"/>
          <w:szCs w:val="24"/>
          <w:lang w:eastAsia="zh-CN"/>
        </w:rPr>
        <w:t>；</w:t>
      </w:r>
    </w:p>
    <w:p>
      <w:pPr>
        <w:numPr>
          <w:ilvl w:val="0"/>
          <w:numId w:val="16"/>
        </w:numPr>
        <w:autoSpaceDE/>
        <w:autoSpaceDN/>
        <w:snapToGrid w:val="0"/>
        <w:spacing w:line="360" w:lineRule="auto"/>
        <w:ind w:left="723" w:firstLine="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对出现较大争议的事项进行书面记录</w:t>
      </w:r>
      <w:r>
        <w:rPr>
          <w:rFonts w:hint="eastAsia" w:ascii="Times New Roman" w:hAnsi="Times New Roman" w:cs="Arial"/>
          <w:color w:val="auto"/>
          <w:sz w:val="24"/>
          <w:szCs w:val="24"/>
          <w:lang w:eastAsia="zh-CN"/>
        </w:rPr>
        <w:t>；</w:t>
      </w:r>
    </w:p>
    <w:p>
      <w:pPr>
        <w:numPr>
          <w:ilvl w:val="0"/>
          <w:numId w:val="16"/>
        </w:numPr>
        <w:autoSpaceDE/>
        <w:autoSpaceDN/>
        <w:snapToGrid w:val="0"/>
        <w:spacing w:line="360" w:lineRule="auto"/>
        <w:ind w:left="723" w:firstLine="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查验</w:t>
      </w:r>
      <w:r>
        <w:rPr>
          <w:rFonts w:hint="eastAsia" w:ascii="Times New Roman" w:hAnsi="Times New Roman" w:cs="Arial"/>
          <w:color w:val="auto"/>
          <w:sz w:val="24"/>
          <w:szCs w:val="24"/>
          <w:lang w:eastAsia="zh-CN"/>
        </w:rPr>
        <w:t>评标表格和评标记录的</w:t>
      </w:r>
      <w:r>
        <w:rPr>
          <w:rFonts w:ascii="Times New Roman" w:hAnsi="Times New Roman" w:cs="Arial"/>
          <w:color w:val="auto"/>
          <w:sz w:val="24"/>
          <w:szCs w:val="24"/>
          <w:lang w:eastAsia="zh-CN"/>
        </w:rPr>
        <w:t>完整性及有效性</w:t>
      </w:r>
      <w:r>
        <w:rPr>
          <w:rFonts w:hint="eastAsia" w:ascii="Times New Roman" w:hAnsi="Times New Roman" w:cs="Arial"/>
          <w:color w:val="auto"/>
          <w:sz w:val="24"/>
          <w:szCs w:val="24"/>
          <w:lang w:eastAsia="zh-CN"/>
        </w:rPr>
        <w:t>；</w:t>
      </w:r>
    </w:p>
    <w:p>
      <w:pPr>
        <w:numPr>
          <w:ilvl w:val="0"/>
          <w:numId w:val="16"/>
        </w:numPr>
        <w:autoSpaceDE/>
        <w:autoSpaceDN/>
        <w:snapToGrid w:val="0"/>
        <w:spacing w:line="360" w:lineRule="auto"/>
        <w:ind w:left="723" w:firstLine="0"/>
        <w:jc w:val="both"/>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组织对评标结论进行复核确认；</w:t>
      </w:r>
    </w:p>
    <w:p>
      <w:pPr>
        <w:numPr>
          <w:ilvl w:val="0"/>
          <w:numId w:val="16"/>
        </w:numPr>
        <w:autoSpaceDE/>
        <w:autoSpaceDN/>
        <w:snapToGrid w:val="0"/>
        <w:spacing w:line="360" w:lineRule="auto"/>
        <w:ind w:left="723" w:firstLine="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组织编写评标报告</w:t>
      </w:r>
      <w:r>
        <w:rPr>
          <w:rFonts w:hint="eastAsia" w:ascii="Times New Roman" w:hAnsi="Times New Roman" w:cs="Arial"/>
          <w:color w:val="auto"/>
          <w:sz w:val="24"/>
          <w:szCs w:val="24"/>
          <w:lang w:eastAsia="zh-CN"/>
        </w:rPr>
        <w:t>，推荐中标候选人</w:t>
      </w:r>
      <w:r>
        <w:rPr>
          <w:rFonts w:ascii="Times New Roman" w:hAnsi="Times New Roman" w:cs="Arial"/>
          <w:color w:val="auto"/>
          <w:sz w:val="24"/>
          <w:szCs w:val="24"/>
          <w:lang w:eastAsia="zh-CN"/>
        </w:rPr>
        <w:t>。</w:t>
      </w:r>
    </w:p>
    <w:p>
      <w:pPr>
        <w:pStyle w:val="51"/>
        <w:numPr>
          <w:ilvl w:val="2"/>
          <w:numId w:val="14"/>
        </w:numPr>
        <w:spacing w:line="360" w:lineRule="auto"/>
        <w:ind w:left="723" w:hanging="723"/>
        <w:rPr>
          <w:rFonts w:ascii="Times New Roman" w:hAnsi="Times New Roman"/>
          <w:color w:val="auto"/>
          <w:sz w:val="24"/>
          <w:szCs w:val="24"/>
          <w:lang w:eastAsia="zh-CN"/>
        </w:rPr>
      </w:pPr>
      <w:bookmarkStart w:id="205" w:name="_Toc431224294"/>
      <w:bookmarkStart w:id="206" w:name="_Toc419380949"/>
      <w:bookmarkStart w:id="207" w:name="_Toc419380388"/>
      <w:r>
        <w:rPr>
          <w:rFonts w:hint="eastAsia" w:ascii="Times New Roman" w:hAnsi="Times New Roman"/>
          <w:color w:val="auto"/>
          <w:sz w:val="24"/>
          <w:szCs w:val="24"/>
          <w:lang w:eastAsia="zh-CN"/>
        </w:rPr>
        <w:t>熟悉文件资料</w:t>
      </w:r>
      <w:bookmarkEnd w:id="205"/>
      <w:bookmarkEnd w:id="206"/>
      <w:bookmarkEnd w:id="207"/>
    </w:p>
    <w:p>
      <w:pPr>
        <w:pStyle w:val="51"/>
        <w:numPr>
          <w:ilvl w:val="3"/>
          <w:numId w:val="14"/>
        </w:numPr>
        <w:snapToGrid w:val="0"/>
        <w:spacing w:line="360" w:lineRule="auto"/>
        <w:ind w:left="723" w:hanging="723"/>
        <w:rPr>
          <w:rFonts w:ascii="Times New Roman" w:hAnsi="Times New Roman" w:cs="Arial"/>
          <w:color w:val="auto"/>
          <w:sz w:val="24"/>
          <w:szCs w:val="24"/>
          <w:lang w:eastAsia="zh-CN"/>
        </w:rPr>
      </w:pPr>
      <w:r>
        <w:rPr>
          <w:rFonts w:ascii="Times New Roman" w:hAnsi="Times New Roman" w:cs="Arial"/>
          <w:bCs/>
          <w:color w:val="auto"/>
          <w:sz w:val="24"/>
          <w:szCs w:val="24"/>
          <w:lang w:eastAsia="zh-CN"/>
        </w:rPr>
        <w:t>评标组长应组织评标委员会成员认真研究招标文件，熟悉本</w:t>
      </w:r>
      <w:r>
        <w:rPr>
          <w:rFonts w:hint="eastAsia" w:ascii="Times New Roman" w:hAnsi="Times New Roman" w:cs="Arial"/>
          <w:bCs/>
          <w:color w:val="auto"/>
          <w:sz w:val="24"/>
          <w:szCs w:val="24"/>
          <w:lang w:eastAsia="zh-CN"/>
        </w:rPr>
        <w:t>章及附件</w:t>
      </w:r>
      <w:r>
        <w:rPr>
          <w:rFonts w:ascii="Times New Roman" w:hAnsi="Times New Roman" w:cs="Arial"/>
          <w:bCs/>
          <w:color w:val="auto"/>
          <w:sz w:val="24"/>
          <w:szCs w:val="24"/>
          <w:lang w:eastAsia="zh-CN"/>
        </w:rPr>
        <w:t>中包括的评标表格的使用，如果本</w:t>
      </w:r>
      <w:r>
        <w:rPr>
          <w:rFonts w:hint="eastAsia" w:ascii="Times New Roman" w:hAnsi="Times New Roman" w:cs="Arial"/>
          <w:bCs/>
          <w:color w:val="auto"/>
          <w:sz w:val="24"/>
          <w:szCs w:val="24"/>
          <w:lang w:eastAsia="zh-CN"/>
        </w:rPr>
        <w:t>章及附件</w:t>
      </w:r>
      <w:r>
        <w:rPr>
          <w:rFonts w:ascii="Times New Roman" w:hAnsi="Times New Roman" w:cs="Arial"/>
          <w:bCs/>
          <w:color w:val="auto"/>
          <w:sz w:val="24"/>
          <w:szCs w:val="24"/>
          <w:lang w:eastAsia="zh-CN"/>
        </w:rPr>
        <w:t>所附的表格不能满足评标所需时，评标委员会应补充编制评标所需的表格，尤其是用于详细分析计算的表格。未在</w:t>
      </w:r>
      <w:r>
        <w:rPr>
          <w:rFonts w:hint="eastAsia" w:ascii="Times New Roman" w:hAnsi="Times New Roman" w:cs="Arial"/>
          <w:bCs/>
          <w:color w:val="auto"/>
          <w:sz w:val="24"/>
          <w:szCs w:val="24"/>
          <w:lang w:eastAsia="zh-CN"/>
        </w:rPr>
        <w:t>招标文件中</w:t>
      </w:r>
      <w:r>
        <w:rPr>
          <w:rFonts w:ascii="Times New Roman" w:hAnsi="Times New Roman" w:cs="Arial"/>
          <w:bCs/>
          <w:color w:val="auto"/>
          <w:sz w:val="24"/>
          <w:szCs w:val="24"/>
          <w:lang w:eastAsia="zh-CN"/>
        </w:rPr>
        <w:t>规定的标准和方法不得作为评标的依据。</w:t>
      </w:r>
    </w:p>
    <w:p>
      <w:pPr>
        <w:pStyle w:val="51"/>
        <w:numPr>
          <w:ilvl w:val="3"/>
          <w:numId w:val="14"/>
        </w:numPr>
        <w:snapToGrid w:val="0"/>
        <w:spacing w:line="360" w:lineRule="auto"/>
        <w:ind w:left="723" w:hanging="723"/>
        <w:rPr>
          <w:rFonts w:ascii="Times New Roman" w:hAnsi="Times New Roman" w:cs="Arial"/>
          <w:bCs/>
          <w:color w:val="auto"/>
          <w:sz w:val="24"/>
          <w:szCs w:val="24"/>
          <w:lang w:eastAsia="zh-CN"/>
        </w:rPr>
      </w:pPr>
      <w:r>
        <w:rPr>
          <w:rFonts w:ascii="Times New Roman" w:hAnsi="Times New Roman" w:cs="Arial"/>
          <w:bCs/>
          <w:color w:val="auto"/>
          <w:sz w:val="24"/>
          <w:szCs w:val="24"/>
          <w:lang w:eastAsia="zh-CN"/>
        </w:rPr>
        <w:t>采购人或采购代理机构应向评标委员会提供评标所需的信息和数据，包括</w:t>
      </w:r>
      <w:r>
        <w:rPr>
          <w:rFonts w:hint="eastAsia" w:ascii="Times New Roman" w:hAnsi="Times New Roman" w:cs="Arial"/>
          <w:bCs/>
          <w:color w:val="auto"/>
          <w:sz w:val="24"/>
          <w:szCs w:val="24"/>
          <w:lang w:eastAsia="zh-CN"/>
        </w:rPr>
        <w:t>：</w:t>
      </w:r>
    </w:p>
    <w:p>
      <w:pPr>
        <w:numPr>
          <w:ilvl w:val="0"/>
          <w:numId w:val="17"/>
        </w:numPr>
        <w:autoSpaceDE/>
        <w:autoSpaceDN/>
        <w:snapToGrid w:val="0"/>
        <w:spacing w:line="360" w:lineRule="auto"/>
        <w:ind w:left="723" w:firstLine="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招标文件</w:t>
      </w:r>
      <w:r>
        <w:rPr>
          <w:rFonts w:hint="eastAsia" w:ascii="Times New Roman" w:hAnsi="Times New Roman" w:cs="Arial"/>
          <w:color w:val="auto"/>
          <w:sz w:val="24"/>
          <w:szCs w:val="24"/>
          <w:lang w:eastAsia="zh-CN"/>
        </w:rPr>
        <w:t>及其澄清、修改或补充文件；</w:t>
      </w:r>
    </w:p>
    <w:p>
      <w:pPr>
        <w:numPr>
          <w:ilvl w:val="0"/>
          <w:numId w:val="17"/>
        </w:numPr>
        <w:autoSpaceDE/>
        <w:autoSpaceDN/>
        <w:snapToGrid w:val="0"/>
        <w:spacing w:line="360" w:lineRule="auto"/>
        <w:ind w:left="723" w:firstLine="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未在开标会上当场拒绝的各投标文件</w:t>
      </w:r>
      <w:r>
        <w:rPr>
          <w:rFonts w:hint="eastAsia" w:ascii="Times New Roman" w:hAnsi="Times New Roman" w:cs="Arial"/>
          <w:color w:val="auto"/>
          <w:sz w:val="24"/>
          <w:szCs w:val="24"/>
          <w:lang w:eastAsia="zh-CN"/>
        </w:rPr>
        <w:t>；</w:t>
      </w:r>
    </w:p>
    <w:p>
      <w:pPr>
        <w:numPr>
          <w:ilvl w:val="0"/>
          <w:numId w:val="17"/>
        </w:numPr>
        <w:autoSpaceDE/>
        <w:autoSpaceDN/>
        <w:snapToGrid w:val="0"/>
        <w:spacing w:line="360" w:lineRule="auto"/>
        <w:ind w:left="723" w:firstLine="0"/>
        <w:jc w:val="both"/>
        <w:rPr>
          <w:rFonts w:ascii="Times New Roman" w:hAnsi="Times New Roman" w:cs="Arial"/>
          <w:color w:val="auto"/>
          <w:sz w:val="24"/>
          <w:szCs w:val="24"/>
        </w:rPr>
      </w:pPr>
      <w:r>
        <w:rPr>
          <w:rFonts w:ascii="Times New Roman" w:hAnsi="Times New Roman" w:cs="Arial"/>
          <w:color w:val="auto"/>
          <w:sz w:val="24"/>
          <w:szCs w:val="24"/>
        </w:rPr>
        <w:t>开标记录表</w:t>
      </w:r>
      <w:r>
        <w:rPr>
          <w:rFonts w:hint="eastAsia" w:ascii="Times New Roman" w:hAnsi="Times New Roman" w:cs="Arial"/>
          <w:color w:val="auto"/>
          <w:sz w:val="24"/>
          <w:szCs w:val="24"/>
        </w:rPr>
        <w:t>；</w:t>
      </w:r>
    </w:p>
    <w:p>
      <w:pPr>
        <w:numPr>
          <w:ilvl w:val="0"/>
          <w:numId w:val="17"/>
        </w:numPr>
        <w:autoSpaceDE/>
        <w:autoSpaceDN/>
        <w:snapToGrid w:val="0"/>
        <w:spacing w:line="360" w:lineRule="auto"/>
        <w:ind w:left="723" w:firstLine="0"/>
        <w:jc w:val="both"/>
        <w:rPr>
          <w:rFonts w:ascii="Times New Roman" w:hAnsi="Times New Roman" w:cs="Arial"/>
          <w:color w:val="auto"/>
          <w:sz w:val="24"/>
          <w:szCs w:val="24"/>
        </w:rPr>
      </w:pPr>
      <w:r>
        <w:rPr>
          <w:rFonts w:hint="eastAsia" w:ascii="Times New Roman" w:hAnsi="Times New Roman" w:cs="Arial"/>
          <w:color w:val="auto"/>
          <w:sz w:val="24"/>
          <w:szCs w:val="24"/>
          <w:lang w:eastAsia="zh-CN"/>
        </w:rPr>
        <w:t>资格审查表；</w:t>
      </w:r>
    </w:p>
    <w:p>
      <w:pPr>
        <w:numPr>
          <w:ilvl w:val="0"/>
          <w:numId w:val="17"/>
        </w:numPr>
        <w:autoSpaceDE/>
        <w:autoSpaceDN/>
        <w:snapToGrid w:val="0"/>
        <w:spacing w:line="360" w:lineRule="auto"/>
        <w:ind w:left="723" w:firstLine="0"/>
        <w:jc w:val="both"/>
        <w:rPr>
          <w:rFonts w:ascii="Times New Roman" w:hAnsi="Times New Roman" w:cs="Arial"/>
          <w:color w:val="auto"/>
          <w:sz w:val="24"/>
          <w:szCs w:val="24"/>
        </w:rPr>
      </w:pPr>
      <w:r>
        <w:rPr>
          <w:rFonts w:hint="eastAsia" w:ascii="Times New Roman" w:hAnsi="Times New Roman" w:cs="Arial"/>
          <w:color w:val="auto"/>
          <w:sz w:val="24"/>
          <w:szCs w:val="24"/>
        </w:rPr>
        <w:t>评标表格</w:t>
      </w:r>
      <w:r>
        <w:rPr>
          <w:rFonts w:hint="eastAsia" w:ascii="Times New Roman" w:hAnsi="Times New Roman" w:cs="Arial"/>
          <w:color w:val="auto"/>
          <w:sz w:val="24"/>
          <w:szCs w:val="24"/>
          <w:lang w:eastAsia="zh-CN"/>
        </w:rPr>
        <w:t>。</w:t>
      </w:r>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08" w:name="_Toc431224284"/>
      <w:bookmarkStart w:id="209" w:name="_Toc522884001"/>
      <w:r>
        <w:rPr>
          <w:rStyle w:val="64"/>
          <w:rFonts w:hint="eastAsia" w:ascii="Times New Roman" w:hAnsi="Times New Roman"/>
          <w:b w:val="0"/>
          <w:color w:val="auto"/>
        </w:rPr>
        <w:t>初步评审</w:t>
      </w:r>
      <w:bookmarkEnd w:id="208"/>
      <w:bookmarkEnd w:id="209"/>
    </w:p>
    <w:p>
      <w:pPr>
        <w:pStyle w:val="51"/>
        <w:numPr>
          <w:ilvl w:val="2"/>
          <w:numId w:val="14"/>
        </w:numPr>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符合性审查</w:t>
      </w:r>
    </w:p>
    <w:p>
      <w:pPr>
        <w:snapToGrid w:val="0"/>
        <w:spacing w:line="360" w:lineRule="auto"/>
        <w:ind w:left="723"/>
        <w:rPr>
          <w:rFonts w:ascii="Times New Roman" w:hAnsi="Times New Roman"/>
          <w:color w:val="auto"/>
          <w:sz w:val="24"/>
          <w:szCs w:val="24"/>
          <w:lang w:eastAsia="zh-CN"/>
        </w:rPr>
      </w:pPr>
      <w:r>
        <w:rPr>
          <w:rFonts w:hint="eastAsia" w:ascii="Times New Roman" w:hAnsi="Times New Roman"/>
          <w:color w:val="auto"/>
          <w:sz w:val="24"/>
          <w:szCs w:val="24"/>
          <w:lang w:eastAsia="zh-CN"/>
        </w:rPr>
        <w:t>评标委员会</w:t>
      </w:r>
      <w:r>
        <w:rPr>
          <w:rFonts w:ascii="Times New Roman" w:hAnsi="Times New Roman"/>
          <w:color w:val="auto"/>
          <w:sz w:val="24"/>
          <w:szCs w:val="24"/>
          <w:lang w:eastAsia="zh-CN"/>
        </w:rPr>
        <w:t>根据附表</w:t>
      </w:r>
      <w:r>
        <w:rPr>
          <w:rFonts w:hint="eastAsia" w:ascii="Times New Roman" w:hAnsi="Times New Roman"/>
          <w:color w:val="auto"/>
          <w:sz w:val="24"/>
          <w:szCs w:val="24"/>
          <w:lang w:eastAsia="zh-CN"/>
        </w:rPr>
        <w:t>4</w:t>
      </w:r>
      <w:r>
        <w:rPr>
          <w:rFonts w:hint="eastAsia" w:cs="Arial"/>
          <w:color w:val="auto"/>
          <w:sz w:val="24"/>
          <w:szCs w:val="24"/>
          <w:lang w:eastAsia="zh-CN"/>
        </w:rPr>
        <w:t>对资格审查合格的投标人</w:t>
      </w:r>
      <w:r>
        <w:rPr>
          <w:rFonts w:ascii="Times New Roman" w:hAnsi="Times New Roman"/>
          <w:color w:val="auto"/>
          <w:sz w:val="24"/>
          <w:szCs w:val="24"/>
          <w:lang w:eastAsia="zh-CN"/>
        </w:rPr>
        <w:t>进行</w:t>
      </w:r>
      <w:r>
        <w:rPr>
          <w:rFonts w:hint="eastAsia" w:ascii="Times New Roman" w:hAnsi="Times New Roman"/>
          <w:color w:val="auto"/>
          <w:sz w:val="24"/>
          <w:szCs w:val="24"/>
          <w:lang w:eastAsia="zh-CN"/>
        </w:rPr>
        <w:t>符合</w:t>
      </w:r>
      <w:r>
        <w:rPr>
          <w:rFonts w:ascii="Times New Roman" w:hAnsi="Times New Roman"/>
          <w:color w:val="auto"/>
          <w:sz w:val="24"/>
          <w:szCs w:val="24"/>
          <w:lang w:eastAsia="zh-CN"/>
        </w:rPr>
        <w:t>性审查</w:t>
      </w:r>
      <w:r>
        <w:rPr>
          <w:rFonts w:hint="eastAsia" w:ascii="Times New Roman" w:hAnsi="Times New Roman"/>
          <w:color w:val="auto"/>
          <w:sz w:val="24"/>
          <w:szCs w:val="24"/>
          <w:lang w:eastAsia="zh-CN"/>
        </w:rPr>
        <w:t>，符合</w:t>
      </w:r>
      <w:r>
        <w:rPr>
          <w:rFonts w:ascii="Times New Roman" w:hAnsi="Times New Roman"/>
          <w:color w:val="auto"/>
          <w:sz w:val="24"/>
          <w:szCs w:val="24"/>
          <w:lang w:eastAsia="zh-CN"/>
        </w:rPr>
        <w:t>性审查合格的投标人方可进入</w:t>
      </w:r>
      <w:r>
        <w:rPr>
          <w:rFonts w:hint="eastAsia" w:ascii="Times New Roman" w:hAnsi="Times New Roman"/>
          <w:color w:val="auto"/>
          <w:sz w:val="24"/>
          <w:szCs w:val="24"/>
          <w:lang w:eastAsia="zh-CN"/>
        </w:rPr>
        <w:t>详细</w:t>
      </w:r>
      <w:r>
        <w:rPr>
          <w:rFonts w:ascii="Times New Roman" w:hAnsi="Times New Roman"/>
          <w:color w:val="auto"/>
          <w:sz w:val="24"/>
          <w:szCs w:val="24"/>
          <w:lang w:eastAsia="zh-CN"/>
        </w:rPr>
        <w:t>评审</w:t>
      </w:r>
      <w:r>
        <w:rPr>
          <w:rFonts w:hint="eastAsia" w:ascii="Times New Roman" w:hAnsi="Times New Roman"/>
          <w:color w:val="auto"/>
          <w:sz w:val="24"/>
          <w:szCs w:val="24"/>
          <w:lang w:eastAsia="zh-CN"/>
        </w:rPr>
        <w:t>环节。</w:t>
      </w:r>
    </w:p>
    <w:p>
      <w:pPr>
        <w:pStyle w:val="51"/>
        <w:numPr>
          <w:ilvl w:val="2"/>
          <w:numId w:val="14"/>
        </w:numPr>
        <w:spacing w:line="360" w:lineRule="auto"/>
        <w:ind w:left="723" w:hanging="723"/>
        <w:rPr>
          <w:rFonts w:ascii="Times New Roman" w:hAnsi="Times New Roman"/>
          <w:color w:val="auto"/>
          <w:sz w:val="24"/>
          <w:szCs w:val="24"/>
          <w:lang w:eastAsia="zh-CN"/>
        </w:rPr>
      </w:pPr>
      <w:r>
        <w:rPr>
          <w:rFonts w:hint="eastAsia" w:ascii="Times New Roman" w:hAnsi="Times New Roman"/>
          <w:color w:val="auto"/>
          <w:sz w:val="24"/>
          <w:szCs w:val="24"/>
          <w:lang w:eastAsia="zh-CN"/>
        </w:rPr>
        <w:t>投标报价有算术错误的，评标委员会按以下原则对投标报价进行修正，修正的</w:t>
      </w:r>
      <w:r>
        <w:rPr>
          <w:rStyle w:val="64"/>
          <w:rFonts w:hint="eastAsia" w:ascii="Times New Roman" w:hAnsi="Times New Roman"/>
          <w:color w:val="auto"/>
          <w:szCs w:val="24"/>
        </w:rPr>
        <w:t>价格</w:t>
      </w:r>
      <w:r>
        <w:rPr>
          <w:rFonts w:hint="eastAsia" w:ascii="Times New Roman" w:hAnsi="Times New Roman"/>
          <w:color w:val="auto"/>
          <w:sz w:val="24"/>
          <w:szCs w:val="24"/>
          <w:lang w:eastAsia="zh-CN"/>
        </w:rPr>
        <w:t>经投标人书面确认后具有约束力。投标人不接受修正价格的，其投标无效。</w:t>
      </w:r>
    </w:p>
    <w:p>
      <w:pPr>
        <w:pStyle w:val="51"/>
        <w:numPr>
          <w:ilvl w:val="2"/>
          <w:numId w:val="18"/>
        </w:numPr>
        <w:snapToGrid w:val="0"/>
        <w:spacing w:line="360" w:lineRule="auto"/>
        <w:ind w:left="1435" w:leftChars="325" w:hanging="720" w:hangingChars="300"/>
        <w:rPr>
          <w:rFonts w:ascii="Times New Roman" w:hAnsi="Times New Roman"/>
          <w:color w:val="auto"/>
          <w:sz w:val="24"/>
          <w:szCs w:val="24"/>
          <w:lang w:eastAsia="zh-CN"/>
        </w:rPr>
      </w:pPr>
      <w:r>
        <w:rPr>
          <w:rFonts w:hint="eastAsia"/>
          <w:color w:val="auto"/>
          <w:sz w:val="24"/>
          <w:szCs w:val="24"/>
          <w:shd w:val="clear" w:color="auto" w:fill="FFFFFF"/>
          <w:lang w:eastAsia="zh-CN"/>
        </w:rPr>
        <w:t>投标文件中开标一览表（报价表）内容与投标文件中相应内容不一致的，以开标一览表（报价表）为准；</w:t>
      </w:r>
    </w:p>
    <w:p>
      <w:pPr>
        <w:pStyle w:val="51"/>
        <w:numPr>
          <w:ilvl w:val="2"/>
          <w:numId w:val="18"/>
        </w:numPr>
        <w:snapToGrid w:val="0"/>
        <w:spacing w:line="360" w:lineRule="auto"/>
        <w:ind w:left="1435" w:leftChars="325" w:hanging="720" w:hangingChars="300"/>
        <w:rPr>
          <w:rFonts w:ascii="Times New Roman" w:hAnsi="Times New Roman"/>
          <w:color w:val="auto"/>
          <w:sz w:val="24"/>
          <w:szCs w:val="24"/>
          <w:lang w:eastAsia="zh-CN"/>
        </w:rPr>
      </w:pPr>
      <w:r>
        <w:rPr>
          <w:rFonts w:hint="eastAsia"/>
          <w:color w:val="auto"/>
          <w:sz w:val="24"/>
          <w:szCs w:val="24"/>
          <w:shd w:val="clear" w:color="auto" w:fill="FFFFFF"/>
          <w:lang w:eastAsia="zh-CN"/>
        </w:rPr>
        <w:t>大写金额和小写金额不一致的，以大写金额为准；</w:t>
      </w:r>
    </w:p>
    <w:p>
      <w:pPr>
        <w:pStyle w:val="51"/>
        <w:numPr>
          <w:ilvl w:val="2"/>
          <w:numId w:val="18"/>
        </w:numPr>
        <w:snapToGrid w:val="0"/>
        <w:spacing w:line="360" w:lineRule="auto"/>
        <w:ind w:left="1435" w:leftChars="325" w:hanging="720" w:hangingChars="300"/>
        <w:rPr>
          <w:color w:val="auto"/>
          <w:sz w:val="24"/>
          <w:szCs w:val="24"/>
          <w:shd w:val="clear" w:color="auto" w:fill="FFFFFF"/>
          <w:lang w:eastAsia="zh-CN"/>
        </w:rPr>
      </w:pPr>
      <w:r>
        <w:rPr>
          <w:rFonts w:hint="eastAsia"/>
          <w:color w:val="auto"/>
          <w:sz w:val="24"/>
          <w:szCs w:val="24"/>
          <w:shd w:val="clear" w:color="auto" w:fill="FFFFFF"/>
          <w:lang w:eastAsia="zh-CN"/>
        </w:rPr>
        <w:t>单价金额小数点或者百分比有明显错位的，以开标一览表的总价为准，并修改单价；</w:t>
      </w:r>
    </w:p>
    <w:p>
      <w:pPr>
        <w:pStyle w:val="51"/>
        <w:numPr>
          <w:ilvl w:val="2"/>
          <w:numId w:val="18"/>
        </w:numPr>
        <w:snapToGrid w:val="0"/>
        <w:spacing w:line="360" w:lineRule="auto"/>
        <w:ind w:left="1435" w:leftChars="325" w:hanging="720" w:hangingChars="300"/>
        <w:rPr>
          <w:rFonts w:ascii="Times New Roman" w:hAnsi="Times New Roman"/>
          <w:color w:val="auto"/>
          <w:sz w:val="24"/>
          <w:szCs w:val="24"/>
          <w:lang w:eastAsia="zh-CN"/>
        </w:rPr>
      </w:pPr>
      <w:r>
        <w:rPr>
          <w:rFonts w:hint="eastAsia"/>
          <w:color w:val="auto"/>
          <w:sz w:val="24"/>
          <w:szCs w:val="24"/>
          <w:shd w:val="clear" w:color="auto" w:fill="FFFFFF"/>
          <w:lang w:eastAsia="zh-CN"/>
        </w:rPr>
        <w:t>总价金额与按单价汇总金额不一致的，以单价金额计算结果为准。</w:t>
      </w:r>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10" w:name="_Toc431224285"/>
      <w:bookmarkStart w:id="211" w:name="_Toc522884002"/>
      <w:r>
        <w:rPr>
          <w:rStyle w:val="64"/>
          <w:rFonts w:hint="eastAsia" w:ascii="Times New Roman" w:hAnsi="Times New Roman"/>
          <w:b w:val="0"/>
          <w:color w:val="auto"/>
        </w:rPr>
        <w:t>详细评审</w:t>
      </w:r>
      <w:bookmarkEnd w:id="210"/>
      <w:bookmarkEnd w:id="211"/>
    </w:p>
    <w:p>
      <w:pPr>
        <w:snapToGrid w:val="0"/>
        <w:spacing w:line="360" w:lineRule="auto"/>
        <w:ind w:left="723"/>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只有通过了初步评审、被判定为合格的投标人方可进入详细评审。</w:t>
      </w:r>
    </w:p>
    <w:p>
      <w:pPr>
        <w:pStyle w:val="51"/>
        <w:numPr>
          <w:ilvl w:val="2"/>
          <w:numId w:val="14"/>
        </w:numPr>
        <w:spacing w:line="360" w:lineRule="auto"/>
        <w:ind w:left="723" w:hanging="723"/>
        <w:rPr>
          <w:rFonts w:ascii="Times New Roman" w:hAnsi="Times New Roman"/>
          <w:color w:val="auto"/>
          <w:sz w:val="24"/>
          <w:szCs w:val="24"/>
          <w:lang w:eastAsia="zh-CN"/>
        </w:rPr>
      </w:pPr>
      <w:bookmarkStart w:id="212" w:name="_Toc522299695"/>
      <w:r>
        <w:rPr>
          <w:rFonts w:hint="eastAsia" w:ascii="Times New Roman" w:hAnsi="Times New Roman"/>
          <w:color w:val="auto"/>
          <w:sz w:val="24"/>
          <w:szCs w:val="24"/>
          <w:lang w:eastAsia="zh-CN"/>
        </w:rPr>
        <w:t>评标</w:t>
      </w:r>
      <w:r>
        <w:rPr>
          <w:rStyle w:val="64"/>
          <w:rFonts w:hint="eastAsia" w:ascii="Times New Roman" w:hAnsi="Times New Roman"/>
          <w:color w:val="auto"/>
          <w:szCs w:val="24"/>
        </w:rPr>
        <w:t>委员会</w:t>
      </w:r>
      <w:r>
        <w:rPr>
          <w:rFonts w:hint="eastAsia" w:ascii="Times New Roman" w:hAnsi="Times New Roman"/>
          <w:color w:val="auto"/>
          <w:sz w:val="24"/>
          <w:szCs w:val="24"/>
          <w:lang w:eastAsia="zh-CN"/>
        </w:rPr>
        <w:t>按本章第5.2款规定的量化因素和分值进行打分，并计算出综合评分得分。</w:t>
      </w:r>
      <w:bookmarkEnd w:id="212"/>
    </w:p>
    <w:p>
      <w:pPr>
        <w:pStyle w:val="51"/>
        <w:numPr>
          <w:ilvl w:val="2"/>
          <w:numId w:val="14"/>
        </w:numPr>
        <w:spacing w:line="360" w:lineRule="auto"/>
        <w:ind w:left="723" w:hanging="723"/>
        <w:rPr>
          <w:rFonts w:ascii="Times New Roman" w:hAnsi="Times New Roman"/>
          <w:color w:val="auto"/>
          <w:sz w:val="24"/>
          <w:szCs w:val="24"/>
          <w:lang w:eastAsia="zh-CN"/>
        </w:rPr>
      </w:pPr>
      <w:bookmarkStart w:id="213" w:name="_Toc522299696"/>
      <w:r>
        <w:rPr>
          <w:rFonts w:hint="eastAsia" w:ascii="Times New Roman" w:hAnsi="Times New Roman"/>
          <w:color w:val="auto"/>
          <w:sz w:val="24"/>
          <w:szCs w:val="24"/>
          <w:lang w:eastAsia="zh-CN"/>
        </w:rPr>
        <w:t>评分分值计算保留小数点后两位，小数点后第三位“四舍五入”。</w:t>
      </w:r>
      <w:bookmarkEnd w:id="213"/>
    </w:p>
    <w:p>
      <w:pPr>
        <w:pStyle w:val="51"/>
        <w:numPr>
          <w:ilvl w:val="2"/>
          <w:numId w:val="14"/>
        </w:numPr>
        <w:spacing w:line="360" w:lineRule="auto"/>
        <w:ind w:left="723" w:hanging="723"/>
        <w:rPr>
          <w:rFonts w:ascii="Times New Roman" w:hAnsi="Times New Roman"/>
          <w:color w:val="auto"/>
          <w:sz w:val="24"/>
          <w:szCs w:val="24"/>
          <w:lang w:eastAsia="zh-CN"/>
        </w:rPr>
      </w:pPr>
      <w:bookmarkStart w:id="214" w:name="_Toc522299697"/>
      <w:r>
        <w:rPr>
          <w:rFonts w:ascii="Times New Roman" w:hAnsi="Times New Roman"/>
          <w:color w:val="auto"/>
          <w:sz w:val="24"/>
          <w:szCs w:val="24"/>
          <w:lang w:eastAsia="zh-CN"/>
        </w:rPr>
        <w:t>为保证公平竞争，根据相关法律法规规定，投标人不得以低于企业自身经营成本报价。评标委员会认为投标人的报价明显低于其他通过</w:t>
      </w:r>
      <w:r>
        <w:rPr>
          <w:rFonts w:hint="eastAsia" w:ascii="Times New Roman" w:hAnsi="Times New Roman"/>
          <w:color w:val="auto"/>
          <w:sz w:val="24"/>
          <w:szCs w:val="24"/>
          <w:lang w:eastAsia="zh-CN"/>
        </w:rPr>
        <w:t>初步</w:t>
      </w:r>
      <w:r>
        <w:rPr>
          <w:rFonts w:ascii="Times New Roman" w:hAnsi="Times New Roman"/>
          <w:color w:val="auto"/>
          <w:sz w:val="24"/>
          <w:szCs w:val="24"/>
          <w:lang w:eastAsia="zh-CN"/>
        </w:rPr>
        <w:t>评审的投标人的投标报价，有可能影响产品质量或者不能诚信履约的，应当要求其在评标现场合理的时间内提供书面说明，必要时提交相关证明材料；</w:t>
      </w:r>
      <w:r>
        <w:rPr>
          <w:rFonts w:hint="eastAsia" w:ascii="Times New Roman" w:hAnsi="Times New Roman"/>
          <w:color w:val="auto"/>
          <w:sz w:val="24"/>
          <w:szCs w:val="24"/>
          <w:lang w:eastAsia="zh-CN"/>
        </w:rPr>
        <w:t>投标人不能证明其报价合理性的，其投标将被作为无效投标处理。</w:t>
      </w:r>
      <w:bookmarkEnd w:id="214"/>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15" w:name="_Toc431224286"/>
      <w:bookmarkStart w:id="216" w:name="_Toc522884003"/>
      <w:r>
        <w:rPr>
          <w:rStyle w:val="64"/>
          <w:rFonts w:hint="eastAsia" w:ascii="Times New Roman" w:hAnsi="Times New Roman"/>
          <w:b w:val="0"/>
          <w:color w:val="auto"/>
        </w:rPr>
        <w:t>投标文件的澄清和补正</w:t>
      </w:r>
      <w:bookmarkEnd w:id="215"/>
      <w:bookmarkEnd w:id="216"/>
    </w:p>
    <w:p>
      <w:pPr>
        <w:pStyle w:val="51"/>
        <w:numPr>
          <w:ilvl w:val="2"/>
          <w:numId w:val="14"/>
        </w:numPr>
        <w:spacing w:line="360" w:lineRule="auto"/>
        <w:ind w:left="723" w:hanging="723"/>
        <w:rPr>
          <w:rFonts w:ascii="Times New Roman" w:hAnsi="Times New Roman"/>
          <w:color w:val="auto"/>
          <w:sz w:val="24"/>
          <w:szCs w:val="24"/>
          <w:lang w:eastAsia="zh-CN"/>
        </w:rPr>
      </w:pPr>
      <w:bookmarkStart w:id="217" w:name="_Toc522299699"/>
      <w:r>
        <w:rPr>
          <w:rFonts w:hint="eastAsia" w:ascii="Times New Roman" w:hAnsi="Times New Roman"/>
          <w:color w:val="auto"/>
          <w:sz w:val="24"/>
          <w:szCs w:val="24"/>
          <w:lang w:eastAsia="zh-CN"/>
        </w:rPr>
        <w:t>在评标过程中，评标委员会可以书面形式要求投标人对所提交投标文件中不明确</w:t>
      </w:r>
      <w:r>
        <w:rPr>
          <w:rFonts w:ascii="Times New Roman" w:hAnsi="Times New Roman"/>
          <w:color w:val="auto"/>
          <w:spacing w:val="-3"/>
          <w:sz w:val="24"/>
          <w:szCs w:val="24"/>
          <w:lang w:eastAsia="zh-CN"/>
        </w:rPr>
        <w:t>、同类问题表述不一致或者有明显文字和计</w:t>
      </w:r>
      <w:r>
        <w:rPr>
          <w:rFonts w:ascii="Times New Roman" w:hAnsi="Times New Roman"/>
          <w:color w:val="auto"/>
          <w:spacing w:val="5"/>
          <w:sz w:val="24"/>
          <w:szCs w:val="24"/>
          <w:lang w:eastAsia="zh-CN"/>
        </w:rPr>
        <w:t>算错误的</w:t>
      </w:r>
      <w:r>
        <w:rPr>
          <w:rFonts w:hint="eastAsia" w:ascii="Times New Roman" w:hAnsi="Times New Roman"/>
          <w:color w:val="auto"/>
          <w:sz w:val="24"/>
          <w:szCs w:val="24"/>
          <w:lang w:eastAsia="zh-CN"/>
        </w:rPr>
        <w:t>的内容进行书面澄清或说明，或者对细微偏差进行补正。评标委员会不接受投标人主动提出的澄清、说明或补正。</w:t>
      </w:r>
      <w:bookmarkEnd w:id="217"/>
    </w:p>
    <w:p>
      <w:pPr>
        <w:pStyle w:val="51"/>
        <w:numPr>
          <w:ilvl w:val="2"/>
          <w:numId w:val="14"/>
        </w:numPr>
        <w:spacing w:line="360" w:lineRule="auto"/>
        <w:ind w:left="723" w:hanging="723"/>
        <w:rPr>
          <w:rFonts w:ascii="Times New Roman" w:hAnsi="Times New Roman"/>
          <w:color w:val="auto"/>
          <w:sz w:val="24"/>
          <w:szCs w:val="24"/>
          <w:lang w:eastAsia="zh-CN"/>
        </w:rPr>
      </w:pPr>
      <w:bookmarkStart w:id="218" w:name="_Toc522299700"/>
      <w:r>
        <w:rPr>
          <w:rFonts w:hint="eastAsia" w:ascii="Times New Roman" w:hAnsi="Times New Roman"/>
          <w:color w:val="auto"/>
          <w:sz w:val="24"/>
          <w:szCs w:val="24"/>
          <w:lang w:eastAsia="zh-CN"/>
        </w:rPr>
        <w:t>澄清、说明和补正不得改变投标文件的实质性内容（算术性错误修正的除外）。投标人的书面澄清、说明和补正属于投标文件的组成部分。</w:t>
      </w:r>
      <w:r>
        <w:rPr>
          <w:rFonts w:ascii="Times New Roman" w:hAnsi="Times New Roman"/>
          <w:color w:val="auto"/>
          <w:sz w:val="24"/>
          <w:szCs w:val="24"/>
          <w:lang w:eastAsia="zh-CN"/>
        </w:rPr>
        <w:t>投标人的澄清、说明或者补正应当采用书面形式，加盖公章</w:t>
      </w:r>
      <w:r>
        <w:rPr>
          <w:rFonts w:hint="eastAsia" w:ascii="Times New Roman" w:hAnsi="Times New Roman"/>
          <w:color w:val="auto"/>
          <w:sz w:val="24"/>
          <w:szCs w:val="24"/>
          <w:lang w:eastAsia="zh-CN"/>
        </w:rPr>
        <w:t>并</w:t>
      </w:r>
      <w:r>
        <w:rPr>
          <w:rFonts w:ascii="Times New Roman" w:hAnsi="Times New Roman"/>
          <w:color w:val="auto"/>
          <w:sz w:val="24"/>
          <w:szCs w:val="24"/>
          <w:lang w:eastAsia="zh-CN"/>
        </w:rPr>
        <w:t>由法定代表人或其授权的代表签字。投标人的澄清、</w:t>
      </w:r>
      <w:r>
        <w:rPr>
          <w:rFonts w:ascii="Times New Roman" w:hAnsi="Times New Roman"/>
          <w:color w:val="auto"/>
          <w:spacing w:val="5"/>
          <w:sz w:val="24"/>
          <w:szCs w:val="24"/>
          <w:lang w:eastAsia="zh-CN"/>
        </w:rPr>
        <w:t>说明或者补正不得超出投标文件的范围或者改变投标文件的实质性内</w:t>
      </w:r>
      <w:r>
        <w:rPr>
          <w:rFonts w:ascii="Times New Roman" w:hAnsi="Times New Roman"/>
          <w:color w:val="auto"/>
          <w:sz w:val="24"/>
          <w:szCs w:val="24"/>
          <w:lang w:eastAsia="zh-CN"/>
        </w:rPr>
        <w:t>容。</w:t>
      </w:r>
      <w:bookmarkEnd w:id="218"/>
    </w:p>
    <w:p>
      <w:pPr>
        <w:pStyle w:val="51"/>
        <w:numPr>
          <w:ilvl w:val="2"/>
          <w:numId w:val="14"/>
        </w:numPr>
        <w:spacing w:line="360" w:lineRule="auto"/>
        <w:ind w:left="723" w:hanging="723"/>
        <w:rPr>
          <w:rFonts w:ascii="Times New Roman" w:hAnsi="Times New Roman"/>
          <w:color w:val="auto"/>
          <w:sz w:val="24"/>
          <w:szCs w:val="24"/>
          <w:lang w:eastAsia="zh-CN"/>
        </w:rPr>
      </w:pPr>
      <w:bookmarkStart w:id="219" w:name="_Toc522299701"/>
      <w:r>
        <w:rPr>
          <w:rFonts w:hint="eastAsia" w:ascii="Times New Roman" w:hAnsi="Times New Roman"/>
          <w:color w:val="auto"/>
          <w:sz w:val="24"/>
          <w:szCs w:val="24"/>
          <w:lang w:eastAsia="zh-CN"/>
        </w:rPr>
        <w:t>评标委员会对投标人提交的澄清、说明或补正有疑问的，可以要求投标人进一步澄清、说明或补正，直至满足评标委员会的要求。</w:t>
      </w:r>
      <w:bookmarkEnd w:id="219"/>
    </w:p>
    <w:p>
      <w:pPr>
        <w:pStyle w:val="51"/>
        <w:numPr>
          <w:ilvl w:val="2"/>
          <w:numId w:val="14"/>
        </w:numPr>
        <w:spacing w:line="360" w:lineRule="auto"/>
        <w:ind w:left="723" w:hanging="723"/>
        <w:rPr>
          <w:rFonts w:ascii="Times New Roman" w:hAnsi="Times New Roman"/>
          <w:color w:val="auto"/>
          <w:sz w:val="24"/>
          <w:szCs w:val="24"/>
          <w:lang w:eastAsia="zh-CN"/>
        </w:rPr>
      </w:pPr>
      <w:bookmarkStart w:id="220" w:name="_Toc522299702"/>
      <w:r>
        <w:rPr>
          <w:rFonts w:hint="eastAsia" w:ascii="Times New Roman" w:hAnsi="Times New Roman"/>
          <w:color w:val="auto"/>
          <w:sz w:val="24"/>
          <w:szCs w:val="24"/>
          <w:lang w:eastAsia="zh-CN"/>
        </w:rPr>
        <w:t>《问题澄清通知》</w:t>
      </w:r>
      <w:r>
        <w:rPr>
          <w:rFonts w:hint="eastAsia" w:ascii="Times New Roman" w:hAnsi="Times New Roman" w:cs="Arial"/>
          <w:color w:val="auto"/>
          <w:sz w:val="24"/>
          <w:szCs w:val="24"/>
          <w:lang w:eastAsia="zh-CN"/>
        </w:rPr>
        <w:t>及《问题的澄清》采用附表6、附表7格式。</w:t>
      </w:r>
      <w:bookmarkEnd w:id="220"/>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21" w:name="_Toc522884004"/>
      <w:bookmarkStart w:id="222" w:name="_Toc431224287"/>
      <w:r>
        <w:rPr>
          <w:rStyle w:val="64"/>
          <w:rFonts w:hint="eastAsia" w:ascii="Times New Roman" w:hAnsi="Times New Roman"/>
          <w:b w:val="0"/>
          <w:color w:val="auto"/>
        </w:rPr>
        <w:t>推荐中标候选人或者直接确定中标人、提交评标报告</w:t>
      </w:r>
      <w:bookmarkEnd w:id="221"/>
    </w:p>
    <w:p>
      <w:pPr>
        <w:pStyle w:val="51"/>
        <w:numPr>
          <w:ilvl w:val="2"/>
          <w:numId w:val="14"/>
        </w:numPr>
        <w:spacing w:line="360" w:lineRule="auto"/>
        <w:ind w:left="723" w:hanging="723"/>
        <w:rPr>
          <w:rFonts w:ascii="Times New Roman" w:hAnsi="Times New Roman" w:cs="Arial"/>
          <w:color w:val="auto"/>
          <w:sz w:val="24"/>
          <w:szCs w:val="24"/>
        </w:rPr>
      </w:pPr>
      <w:bookmarkStart w:id="223" w:name="_Toc431224314"/>
      <w:bookmarkStart w:id="224" w:name="_Toc419380408"/>
      <w:bookmarkStart w:id="225" w:name="_Toc419380969"/>
      <w:r>
        <w:rPr>
          <w:rFonts w:hint="eastAsia" w:ascii="Times New Roman" w:hAnsi="Times New Roman"/>
          <w:color w:val="auto"/>
          <w:sz w:val="24"/>
          <w:szCs w:val="24"/>
          <w:lang w:eastAsia="zh-CN"/>
        </w:rPr>
        <w:t>汇总</w:t>
      </w:r>
      <w:r>
        <w:rPr>
          <w:rStyle w:val="64"/>
          <w:rFonts w:hint="eastAsia" w:ascii="Times New Roman" w:hAnsi="Times New Roman" w:cs="宋体"/>
          <w:color w:val="auto"/>
        </w:rPr>
        <w:t>评分</w:t>
      </w:r>
      <w:r>
        <w:rPr>
          <w:rFonts w:hint="eastAsia" w:ascii="Times New Roman" w:hAnsi="Times New Roman"/>
          <w:color w:val="auto"/>
          <w:sz w:val="24"/>
          <w:szCs w:val="24"/>
          <w:lang w:eastAsia="zh-CN"/>
        </w:rPr>
        <w:t>结果</w:t>
      </w:r>
      <w:bookmarkEnd w:id="223"/>
      <w:bookmarkEnd w:id="224"/>
      <w:bookmarkEnd w:id="225"/>
    </w:p>
    <w:p>
      <w:pPr>
        <w:snapToGrid w:val="0"/>
        <w:spacing w:line="360" w:lineRule="auto"/>
        <w:ind w:left="723"/>
        <w:rPr>
          <w:rFonts w:ascii="Times New Roman" w:hAnsi="Times New Roman" w:cs="Arial"/>
          <w:color w:val="auto"/>
          <w:sz w:val="24"/>
          <w:szCs w:val="24"/>
          <w:lang w:eastAsia="zh-CN"/>
        </w:rPr>
      </w:pPr>
      <w:r>
        <w:rPr>
          <w:rFonts w:ascii="Times New Roman" w:hAnsi="Times New Roman" w:cs="Arial"/>
          <w:color w:val="auto"/>
          <w:sz w:val="24"/>
          <w:szCs w:val="24"/>
          <w:lang w:eastAsia="zh-CN"/>
        </w:rPr>
        <w:t>评标委员会</w:t>
      </w:r>
      <w:r>
        <w:rPr>
          <w:rFonts w:hint="eastAsia" w:ascii="Times New Roman" w:hAnsi="Times New Roman" w:cs="Arial"/>
          <w:color w:val="auto"/>
          <w:sz w:val="24"/>
          <w:szCs w:val="24"/>
          <w:lang w:eastAsia="zh-CN"/>
        </w:rPr>
        <w:t>成员</w:t>
      </w:r>
      <w:r>
        <w:rPr>
          <w:rFonts w:ascii="Times New Roman" w:hAnsi="Times New Roman" w:cs="Arial"/>
          <w:color w:val="auto"/>
          <w:sz w:val="24"/>
          <w:szCs w:val="24"/>
          <w:lang w:eastAsia="zh-CN"/>
        </w:rPr>
        <w:t>应按照</w:t>
      </w:r>
      <w:r>
        <w:rPr>
          <w:rFonts w:hint="eastAsia" w:ascii="Times New Roman" w:hAnsi="Times New Roman" w:cs="Arial"/>
          <w:color w:val="auto"/>
          <w:sz w:val="24"/>
          <w:szCs w:val="24"/>
          <w:lang w:eastAsia="zh-CN"/>
        </w:rPr>
        <w:t>附表8</w:t>
      </w:r>
      <w:r>
        <w:rPr>
          <w:rFonts w:ascii="Times New Roman" w:hAnsi="Times New Roman" w:cs="Arial"/>
          <w:color w:val="auto"/>
          <w:sz w:val="24"/>
          <w:szCs w:val="24"/>
          <w:lang w:eastAsia="zh-CN"/>
        </w:rPr>
        <w:t>的格式填写</w:t>
      </w:r>
      <w:r>
        <w:rPr>
          <w:rFonts w:hint="eastAsia" w:ascii="Times New Roman" w:hAnsi="Times New Roman" w:cs="Arial"/>
          <w:color w:val="auto"/>
          <w:sz w:val="24"/>
          <w:szCs w:val="24"/>
          <w:lang w:eastAsia="zh-CN"/>
        </w:rPr>
        <w:t>详细评审</w:t>
      </w:r>
      <w:r>
        <w:rPr>
          <w:rFonts w:ascii="Times New Roman" w:hAnsi="Times New Roman" w:cs="Arial"/>
          <w:color w:val="auto"/>
          <w:sz w:val="24"/>
          <w:szCs w:val="24"/>
          <w:lang w:eastAsia="zh-CN"/>
        </w:rPr>
        <w:t>评标结果汇总表。</w:t>
      </w:r>
    </w:p>
    <w:bookmarkEnd w:id="222"/>
    <w:p>
      <w:pPr>
        <w:pStyle w:val="51"/>
        <w:numPr>
          <w:ilvl w:val="2"/>
          <w:numId w:val="14"/>
        </w:numPr>
        <w:spacing w:line="360" w:lineRule="auto"/>
        <w:ind w:left="723" w:hanging="723"/>
        <w:rPr>
          <w:rFonts w:ascii="Times New Roman" w:hAnsi="Times New Roman" w:cs="Arial"/>
          <w:color w:val="auto"/>
          <w:sz w:val="24"/>
          <w:szCs w:val="24"/>
        </w:rPr>
      </w:pPr>
      <w:r>
        <w:rPr>
          <w:rFonts w:hint="eastAsia" w:ascii="Times New Roman" w:hAnsi="Times New Roman"/>
          <w:color w:val="auto"/>
          <w:sz w:val="24"/>
          <w:szCs w:val="24"/>
          <w:lang w:eastAsia="zh-CN"/>
        </w:rPr>
        <w:t>推荐中标候选人</w:t>
      </w:r>
      <w:r>
        <w:rPr>
          <w:rFonts w:ascii="Times New Roman" w:hAnsi="Times New Roman" w:cs="Arial"/>
          <w:color w:val="auto"/>
          <w:sz w:val="24"/>
          <w:szCs w:val="24"/>
        </w:rPr>
        <w:t xml:space="preserve"> </w:t>
      </w:r>
    </w:p>
    <w:p>
      <w:pPr>
        <w:snapToGrid w:val="0"/>
        <w:spacing w:line="360" w:lineRule="auto"/>
        <w:ind w:left="723"/>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除第二章“投标人须知”授权直接确定中标人外，</w:t>
      </w:r>
      <w:r>
        <w:rPr>
          <w:rFonts w:ascii="Times New Roman" w:hAnsi="Times New Roman" w:cs="Arial"/>
          <w:color w:val="auto"/>
          <w:sz w:val="24"/>
          <w:szCs w:val="24"/>
          <w:lang w:eastAsia="zh-CN"/>
        </w:rPr>
        <w:t>评标委员会在推荐中标候选人时，应遵照以下原则：评标委员会</w:t>
      </w:r>
      <w:r>
        <w:rPr>
          <w:rFonts w:hint="eastAsia" w:ascii="Times New Roman" w:hAnsi="Times New Roman" w:cs="Arial"/>
          <w:color w:val="auto"/>
          <w:sz w:val="24"/>
          <w:szCs w:val="24"/>
          <w:lang w:eastAsia="zh-CN"/>
        </w:rPr>
        <w:t>按照最终得分</w:t>
      </w:r>
      <w:r>
        <w:rPr>
          <w:rFonts w:ascii="Times New Roman" w:hAnsi="Times New Roman" w:cs="Arial"/>
          <w:color w:val="auto"/>
          <w:sz w:val="24"/>
          <w:szCs w:val="24"/>
          <w:lang w:eastAsia="zh-CN"/>
        </w:rPr>
        <w:t>由</w:t>
      </w:r>
      <w:r>
        <w:rPr>
          <w:rFonts w:hint="eastAsia" w:ascii="Times New Roman" w:hAnsi="Times New Roman" w:cs="Arial"/>
          <w:color w:val="auto"/>
          <w:sz w:val="24"/>
          <w:szCs w:val="24"/>
          <w:lang w:eastAsia="zh-CN"/>
        </w:rPr>
        <w:t>高</w:t>
      </w:r>
      <w:r>
        <w:rPr>
          <w:rFonts w:ascii="Times New Roman" w:hAnsi="Times New Roman" w:cs="Arial"/>
          <w:color w:val="auto"/>
          <w:sz w:val="24"/>
          <w:szCs w:val="24"/>
          <w:lang w:eastAsia="zh-CN"/>
        </w:rPr>
        <w:t>至</w:t>
      </w:r>
      <w:r>
        <w:rPr>
          <w:rFonts w:hint="eastAsia" w:ascii="Times New Roman" w:hAnsi="Times New Roman" w:cs="Arial"/>
          <w:color w:val="auto"/>
          <w:sz w:val="24"/>
          <w:szCs w:val="24"/>
          <w:lang w:eastAsia="zh-CN"/>
        </w:rPr>
        <w:t>低</w:t>
      </w:r>
      <w:r>
        <w:rPr>
          <w:rFonts w:ascii="Times New Roman" w:hAnsi="Times New Roman" w:cs="Arial"/>
          <w:color w:val="auto"/>
          <w:sz w:val="24"/>
          <w:szCs w:val="24"/>
          <w:lang w:eastAsia="zh-CN"/>
        </w:rPr>
        <w:t>的次序排列</w:t>
      </w:r>
      <w:r>
        <w:rPr>
          <w:rFonts w:hint="eastAsia" w:ascii="Times New Roman" w:hAnsi="Times New Roman" w:cs="Arial"/>
          <w:color w:val="auto"/>
          <w:sz w:val="24"/>
          <w:szCs w:val="24"/>
          <w:lang w:eastAsia="zh-CN"/>
        </w:rPr>
        <w:t>，并根据第二章“投标人须知”前附表规定的推荐中标候选人数量，将排序在前的</w:t>
      </w:r>
      <w:r>
        <w:rPr>
          <w:rFonts w:ascii="Times New Roman" w:hAnsi="Times New Roman" w:cs="Arial"/>
          <w:color w:val="auto"/>
          <w:sz w:val="24"/>
          <w:szCs w:val="24"/>
          <w:lang w:eastAsia="zh-CN"/>
        </w:rPr>
        <w:t>投标人</w:t>
      </w:r>
      <w:r>
        <w:rPr>
          <w:rFonts w:hint="eastAsia" w:ascii="Times New Roman" w:hAnsi="Times New Roman" w:cs="Arial"/>
          <w:color w:val="auto"/>
          <w:sz w:val="24"/>
          <w:szCs w:val="24"/>
          <w:lang w:eastAsia="zh-CN"/>
        </w:rPr>
        <w:t>推荐为</w:t>
      </w:r>
      <w:r>
        <w:rPr>
          <w:rFonts w:ascii="Times New Roman" w:hAnsi="Times New Roman" w:cs="Arial"/>
          <w:color w:val="auto"/>
          <w:sz w:val="24"/>
          <w:szCs w:val="24"/>
          <w:lang w:eastAsia="zh-CN"/>
        </w:rPr>
        <w:t>中标候选人。</w:t>
      </w:r>
    </w:p>
    <w:p>
      <w:pPr>
        <w:pStyle w:val="51"/>
        <w:numPr>
          <w:ilvl w:val="2"/>
          <w:numId w:val="14"/>
        </w:numPr>
        <w:spacing w:line="360" w:lineRule="auto"/>
        <w:ind w:left="723" w:hanging="723"/>
        <w:rPr>
          <w:rFonts w:ascii="Times New Roman" w:hAnsi="Times New Roman" w:cs="Arial"/>
          <w:color w:val="auto"/>
          <w:sz w:val="24"/>
          <w:szCs w:val="24"/>
        </w:rPr>
      </w:pPr>
      <w:bookmarkStart w:id="226" w:name="_Toc419380972"/>
      <w:bookmarkStart w:id="227" w:name="_Toc431224317"/>
      <w:bookmarkStart w:id="228" w:name="_Toc419380411"/>
      <w:r>
        <w:rPr>
          <w:rFonts w:hint="eastAsia" w:ascii="Times New Roman" w:hAnsi="Times New Roman"/>
          <w:color w:val="auto"/>
          <w:sz w:val="24"/>
          <w:szCs w:val="24"/>
          <w:lang w:eastAsia="zh-CN"/>
        </w:rPr>
        <w:t>直接确定中标人</w:t>
      </w:r>
      <w:bookmarkEnd w:id="226"/>
      <w:bookmarkEnd w:id="227"/>
      <w:bookmarkEnd w:id="228"/>
    </w:p>
    <w:p>
      <w:pPr>
        <w:snapToGrid w:val="0"/>
        <w:spacing w:line="360" w:lineRule="auto"/>
        <w:ind w:left="723"/>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第二章“投标人须知”前附表授权评标委员会直接确定中标人的，</w:t>
      </w:r>
      <w:r>
        <w:rPr>
          <w:rFonts w:ascii="Times New Roman" w:hAnsi="Times New Roman" w:cs="Arial"/>
          <w:color w:val="auto"/>
          <w:sz w:val="24"/>
          <w:szCs w:val="24"/>
          <w:lang w:eastAsia="zh-CN"/>
        </w:rPr>
        <w:t>评标委员会</w:t>
      </w:r>
      <w:r>
        <w:rPr>
          <w:rFonts w:hint="eastAsia" w:ascii="Times New Roman" w:hAnsi="Times New Roman" w:cs="Arial"/>
          <w:color w:val="auto"/>
          <w:sz w:val="24"/>
          <w:szCs w:val="24"/>
          <w:lang w:eastAsia="zh-CN"/>
        </w:rPr>
        <w:t>按照最终得分</w:t>
      </w:r>
      <w:r>
        <w:rPr>
          <w:rFonts w:ascii="Times New Roman" w:hAnsi="Times New Roman" w:cs="Arial"/>
          <w:color w:val="auto"/>
          <w:sz w:val="24"/>
          <w:szCs w:val="24"/>
          <w:lang w:eastAsia="zh-CN"/>
        </w:rPr>
        <w:t>由</w:t>
      </w:r>
      <w:r>
        <w:rPr>
          <w:rFonts w:hint="eastAsia" w:ascii="Times New Roman" w:hAnsi="Times New Roman" w:cs="Arial"/>
          <w:color w:val="auto"/>
          <w:sz w:val="24"/>
          <w:szCs w:val="24"/>
          <w:lang w:eastAsia="zh-CN"/>
        </w:rPr>
        <w:t>高</w:t>
      </w:r>
      <w:r>
        <w:rPr>
          <w:rFonts w:ascii="Times New Roman" w:hAnsi="Times New Roman" w:cs="Arial"/>
          <w:color w:val="auto"/>
          <w:sz w:val="24"/>
          <w:szCs w:val="24"/>
          <w:lang w:eastAsia="zh-CN"/>
        </w:rPr>
        <w:t>至</w:t>
      </w:r>
      <w:r>
        <w:rPr>
          <w:rFonts w:hint="eastAsia" w:ascii="Times New Roman" w:hAnsi="Times New Roman" w:cs="Arial"/>
          <w:color w:val="auto"/>
          <w:sz w:val="24"/>
          <w:szCs w:val="24"/>
          <w:lang w:eastAsia="zh-CN"/>
        </w:rPr>
        <w:t>低</w:t>
      </w:r>
      <w:r>
        <w:rPr>
          <w:rFonts w:ascii="Times New Roman" w:hAnsi="Times New Roman" w:cs="Arial"/>
          <w:color w:val="auto"/>
          <w:sz w:val="24"/>
          <w:szCs w:val="24"/>
          <w:lang w:eastAsia="zh-CN"/>
        </w:rPr>
        <w:t>的次序排列</w:t>
      </w:r>
      <w:r>
        <w:rPr>
          <w:rFonts w:hint="eastAsia" w:ascii="Times New Roman" w:hAnsi="Times New Roman" w:cs="Arial"/>
          <w:color w:val="auto"/>
          <w:sz w:val="24"/>
          <w:szCs w:val="24"/>
          <w:lang w:eastAsia="zh-CN"/>
        </w:rPr>
        <w:t>，并确定排名第一的投标人为中标人。</w:t>
      </w:r>
    </w:p>
    <w:p>
      <w:pPr>
        <w:pStyle w:val="51"/>
        <w:numPr>
          <w:ilvl w:val="2"/>
          <w:numId w:val="14"/>
        </w:numPr>
        <w:spacing w:line="360" w:lineRule="auto"/>
        <w:ind w:left="723" w:hanging="723"/>
        <w:rPr>
          <w:rFonts w:ascii="Times New Roman" w:hAnsi="Times New Roman" w:cs="Arial"/>
          <w:color w:val="auto"/>
          <w:sz w:val="24"/>
          <w:szCs w:val="24"/>
        </w:rPr>
      </w:pPr>
      <w:bookmarkStart w:id="229" w:name="_Toc431224318"/>
      <w:bookmarkStart w:id="230" w:name="_Toc419380973"/>
      <w:bookmarkStart w:id="231" w:name="_Toc419380412"/>
      <w:r>
        <w:rPr>
          <w:rFonts w:hint="eastAsia" w:ascii="Times New Roman" w:hAnsi="Times New Roman"/>
          <w:color w:val="auto"/>
          <w:sz w:val="24"/>
          <w:szCs w:val="24"/>
          <w:lang w:eastAsia="zh-CN"/>
        </w:rPr>
        <w:t>编制评标报告</w:t>
      </w:r>
      <w:bookmarkEnd w:id="229"/>
      <w:bookmarkEnd w:id="230"/>
      <w:bookmarkEnd w:id="231"/>
    </w:p>
    <w:p>
      <w:pPr>
        <w:snapToGrid w:val="0"/>
        <w:spacing w:line="360" w:lineRule="auto"/>
        <w:ind w:left="723"/>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评标委员会完成评标后，应当向采购人提交书面评标报告。</w:t>
      </w:r>
      <w:r>
        <w:rPr>
          <w:rFonts w:ascii="Times New Roman" w:hAnsi="Times New Roman" w:cs="Arial"/>
          <w:color w:val="auto"/>
          <w:sz w:val="24"/>
          <w:szCs w:val="24"/>
          <w:lang w:eastAsia="zh-CN"/>
        </w:rPr>
        <w:t>评标委员会根据全体评标成员签字的原始评标记录和评标结果编写评标报告。评标报告应当包括以下内容：</w:t>
      </w:r>
    </w:p>
    <w:p>
      <w:pPr>
        <w:numPr>
          <w:ilvl w:val="0"/>
          <w:numId w:val="19"/>
        </w:numPr>
        <w:autoSpaceDE/>
        <w:autoSpaceDN/>
        <w:snapToGrid w:val="0"/>
        <w:spacing w:line="360" w:lineRule="auto"/>
        <w:ind w:left="1435" w:leftChars="325" w:hangingChars="30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招标公告刊登的媒体名称、开标日期和地点；</w:t>
      </w:r>
    </w:p>
    <w:p>
      <w:pPr>
        <w:numPr>
          <w:ilvl w:val="0"/>
          <w:numId w:val="19"/>
        </w:numPr>
        <w:autoSpaceDE/>
        <w:autoSpaceDN/>
        <w:snapToGrid w:val="0"/>
        <w:spacing w:line="360" w:lineRule="auto"/>
        <w:ind w:left="1435" w:leftChars="325" w:hangingChars="30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投标人名单和评标委员会成员名单；</w:t>
      </w:r>
    </w:p>
    <w:p>
      <w:pPr>
        <w:numPr>
          <w:ilvl w:val="0"/>
          <w:numId w:val="19"/>
        </w:numPr>
        <w:autoSpaceDE/>
        <w:autoSpaceDN/>
        <w:snapToGrid w:val="0"/>
        <w:spacing w:line="360" w:lineRule="auto"/>
        <w:ind w:left="1435" w:leftChars="325" w:hangingChars="300"/>
        <w:jc w:val="both"/>
        <w:rPr>
          <w:rFonts w:ascii="Times New Roman" w:hAnsi="Times New Roman" w:cs="Arial"/>
          <w:color w:val="auto"/>
          <w:sz w:val="24"/>
          <w:szCs w:val="24"/>
        </w:rPr>
      </w:pPr>
      <w:r>
        <w:rPr>
          <w:rFonts w:ascii="Times New Roman" w:hAnsi="Times New Roman" w:cs="Arial"/>
          <w:color w:val="auto"/>
          <w:sz w:val="24"/>
          <w:szCs w:val="24"/>
        </w:rPr>
        <w:t>评标方法和标准；</w:t>
      </w:r>
    </w:p>
    <w:p>
      <w:pPr>
        <w:numPr>
          <w:ilvl w:val="0"/>
          <w:numId w:val="19"/>
        </w:numPr>
        <w:autoSpaceDE/>
        <w:autoSpaceDN/>
        <w:snapToGrid w:val="0"/>
        <w:spacing w:line="360" w:lineRule="auto"/>
        <w:ind w:left="1435" w:leftChars="325" w:hangingChars="30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开标记录和评标情况及说明，包括无效投标人名单及原因；</w:t>
      </w:r>
    </w:p>
    <w:p>
      <w:pPr>
        <w:numPr>
          <w:ilvl w:val="0"/>
          <w:numId w:val="19"/>
        </w:numPr>
        <w:autoSpaceDE/>
        <w:autoSpaceDN/>
        <w:snapToGrid w:val="0"/>
        <w:spacing w:line="360" w:lineRule="auto"/>
        <w:ind w:left="1435" w:leftChars="325" w:hangingChars="30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评标结果，确定的中标候选人名单或者经采购人委托直接确定的中标人；</w:t>
      </w:r>
    </w:p>
    <w:p>
      <w:pPr>
        <w:numPr>
          <w:ilvl w:val="0"/>
          <w:numId w:val="19"/>
        </w:numPr>
        <w:autoSpaceDE/>
        <w:autoSpaceDN/>
        <w:snapToGrid w:val="0"/>
        <w:spacing w:line="360" w:lineRule="auto"/>
        <w:ind w:left="1435" w:leftChars="325" w:hangingChars="30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其他需要说明的情况，包括评标过程中投标人根据评标委员会要求进行的澄清、说明或者补正，评标委员会成员的更换等。</w:t>
      </w:r>
      <w:bookmarkStart w:id="232" w:name="_Toc419380413"/>
      <w:bookmarkStart w:id="233" w:name="_Toc419380974"/>
      <w:bookmarkStart w:id="234" w:name="_Toc431224319"/>
    </w:p>
    <w:p>
      <w:pPr>
        <w:pStyle w:val="4"/>
        <w:keepNext w:val="0"/>
        <w:keepLines w:val="0"/>
        <w:numPr>
          <w:ilvl w:val="0"/>
          <w:numId w:val="14"/>
        </w:numPr>
        <w:spacing w:before="240" w:beforeLines="100" w:beforeAutospacing="0" w:after="240" w:afterLines="100" w:afterAutospacing="0"/>
        <w:ind w:left="726" w:hanging="726"/>
        <w:rPr>
          <w:rFonts w:ascii="Times New Roman" w:hAnsi="Times New Roman"/>
          <w:b w:val="0"/>
          <w:color w:val="auto"/>
        </w:rPr>
      </w:pPr>
      <w:bookmarkStart w:id="235" w:name="_Toc522884005"/>
      <w:bookmarkStart w:id="236" w:name="_Toc519721504"/>
      <w:r>
        <w:rPr>
          <w:rFonts w:hint="eastAsia" w:ascii="Times New Roman" w:hAnsi="Times New Roman"/>
          <w:b w:val="0"/>
          <w:color w:val="auto"/>
        </w:rPr>
        <w:t>特殊情况的处置程序</w:t>
      </w:r>
      <w:bookmarkEnd w:id="232"/>
      <w:bookmarkEnd w:id="233"/>
      <w:bookmarkEnd w:id="234"/>
      <w:bookmarkEnd w:id="235"/>
      <w:bookmarkEnd w:id="236"/>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37" w:name="_Toc419380415"/>
      <w:bookmarkStart w:id="238" w:name="_Toc522884006"/>
      <w:bookmarkStart w:id="239" w:name="_Toc419380976"/>
      <w:bookmarkStart w:id="240" w:name="_Toc431224321"/>
      <w:r>
        <w:rPr>
          <w:rStyle w:val="64"/>
          <w:rFonts w:ascii="Times New Roman" w:hAnsi="Times New Roman"/>
          <w:b w:val="0"/>
          <w:color w:val="auto"/>
        </w:rPr>
        <w:t>关于评标活动暂停</w:t>
      </w:r>
      <w:bookmarkEnd w:id="237"/>
      <w:bookmarkEnd w:id="238"/>
      <w:bookmarkEnd w:id="239"/>
      <w:bookmarkEnd w:id="240"/>
    </w:p>
    <w:p>
      <w:pPr>
        <w:pStyle w:val="51"/>
        <w:numPr>
          <w:ilvl w:val="2"/>
          <w:numId w:val="14"/>
        </w:numPr>
        <w:spacing w:line="360" w:lineRule="auto"/>
        <w:ind w:left="723" w:hanging="723"/>
        <w:rPr>
          <w:rFonts w:ascii="Times New Roman" w:hAnsi="Times New Roman" w:cs="Arial"/>
          <w:color w:val="auto"/>
          <w:sz w:val="24"/>
          <w:szCs w:val="24"/>
          <w:lang w:eastAsia="zh-CN"/>
        </w:rPr>
      </w:pPr>
      <w:bookmarkStart w:id="241" w:name="_Toc522299710"/>
      <w:r>
        <w:rPr>
          <w:rFonts w:ascii="Times New Roman" w:hAnsi="Times New Roman"/>
          <w:color w:val="auto"/>
          <w:sz w:val="24"/>
          <w:szCs w:val="24"/>
          <w:lang w:eastAsia="zh-CN"/>
        </w:rPr>
        <w:t>评标委员会应当执行连续评标的原则</w:t>
      </w:r>
      <w:r>
        <w:rPr>
          <w:rFonts w:ascii="Times New Roman" w:hAnsi="Times New Roman" w:cs="Arial"/>
          <w:color w:val="auto"/>
          <w:sz w:val="24"/>
          <w:szCs w:val="24"/>
          <w:lang w:eastAsia="zh-CN"/>
        </w:rPr>
        <w:t>，按资格审查及评标标准和方法中规定完成全部评标工作。只有发生不可抗力导致评标工作无法继续时，评标活动方可暂停。</w:t>
      </w:r>
      <w:bookmarkEnd w:id="241"/>
    </w:p>
    <w:p>
      <w:pPr>
        <w:pStyle w:val="51"/>
        <w:numPr>
          <w:ilvl w:val="2"/>
          <w:numId w:val="14"/>
        </w:numPr>
        <w:spacing w:line="360" w:lineRule="auto"/>
        <w:ind w:left="723" w:hanging="723"/>
        <w:rPr>
          <w:rFonts w:ascii="Times New Roman" w:hAnsi="Times New Roman" w:cs="Arial"/>
          <w:color w:val="auto"/>
          <w:sz w:val="24"/>
          <w:szCs w:val="24"/>
          <w:lang w:eastAsia="zh-CN"/>
        </w:rPr>
      </w:pPr>
      <w:bookmarkStart w:id="242" w:name="_Toc522299711"/>
      <w:r>
        <w:rPr>
          <w:rFonts w:ascii="Times New Roman" w:hAnsi="Times New Roman"/>
          <w:color w:val="auto"/>
          <w:sz w:val="24"/>
          <w:szCs w:val="24"/>
          <w:lang w:eastAsia="zh-CN"/>
        </w:rPr>
        <w:t>发生评标暂停情况时</w:t>
      </w:r>
      <w:r>
        <w:rPr>
          <w:rFonts w:ascii="Times New Roman" w:hAnsi="Times New Roman" w:cs="Arial"/>
          <w:color w:val="auto"/>
          <w:sz w:val="24"/>
          <w:szCs w:val="24"/>
          <w:lang w:eastAsia="zh-CN"/>
        </w:rPr>
        <w:t>，评标委员会应当封存全部投标文件和评标记录，待不可抗力的影响结束且具备继续评标的条件时，由原评标委员会继续评标。</w:t>
      </w:r>
      <w:bookmarkEnd w:id="242"/>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43" w:name="_Toc419380977"/>
      <w:bookmarkStart w:id="244" w:name="_Toc431224322"/>
      <w:bookmarkStart w:id="245" w:name="_Toc419380416"/>
      <w:bookmarkStart w:id="246" w:name="_Toc522884007"/>
      <w:r>
        <w:rPr>
          <w:rStyle w:val="64"/>
          <w:rFonts w:ascii="Times New Roman" w:hAnsi="Times New Roman"/>
          <w:b w:val="0"/>
          <w:color w:val="auto"/>
        </w:rPr>
        <w:t>关于评标中途更换评委</w:t>
      </w:r>
      <w:bookmarkEnd w:id="243"/>
      <w:bookmarkEnd w:id="244"/>
      <w:bookmarkEnd w:id="245"/>
      <w:bookmarkEnd w:id="246"/>
    </w:p>
    <w:p>
      <w:pPr>
        <w:pStyle w:val="51"/>
        <w:numPr>
          <w:ilvl w:val="2"/>
          <w:numId w:val="14"/>
        </w:numPr>
        <w:spacing w:line="360" w:lineRule="auto"/>
        <w:ind w:left="723" w:hanging="723"/>
        <w:rPr>
          <w:rFonts w:ascii="Times New Roman" w:hAnsi="Times New Roman" w:cs="Arial"/>
          <w:color w:val="auto"/>
          <w:sz w:val="24"/>
          <w:szCs w:val="24"/>
          <w:lang w:eastAsia="zh-CN"/>
        </w:rPr>
      </w:pPr>
      <w:bookmarkStart w:id="247" w:name="_Toc522299713"/>
      <w:r>
        <w:rPr>
          <w:rFonts w:ascii="Times New Roman" w:hAnsi="Times New Roman"/>
          <w:color w:val="auto"/>
          <w:sz w:val="24"/>
          <w:szCs w:val="24"/>
          <w:lang w:eastAsia="zh-CN"/>
        </w:rPr>
        <w:t>除非发生下列情况之一</w:t>
      </w:r>
      <w:r>
        <w:rPr>
          <w:rFonts w:ascii="Times New Roman" w:hAnsi="Times New Roman" w:cs="Arial"/>
          <w:color w:val="auto"/>
          <w:sz w:val="24"/>
          <w:szCs w:val="24"/>
          <w:lang w:eastAsia="zh-CN"/>
        </w:rPr>
        <w:t>，评标委员会成员不得在评标中途更换：</w:t>
      </w:r>
      <w:bookmarkEnd w:id="247"/>
    </w:p>
    <w:p>
      <w:pPr>
        <w:numPr>
          <w:ilvl w:val="0"/>
          <w:numId w:val="20"/>
        </w:numPr>
        <w:tabs>
          <w:tab w:val="left" w:pos="1080"/>
        </w:tabs>
        <w:autoSpaceDE/>
        <w:autoSpaceDN/>
        <w:snapToGrid w:val="0"/>
        <w:spacing w:line="360" w:lineRule="auto"/>
        <w:ind w:left="723" w:firstLine="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因不可抗拒的客观原因，不能到场或需在评标中途退出评标活动</w:t>
      </w:r>
      <w:r>
        <w:rPr>
          <w:rFonts w:hint="eastAsia" w:ascii="Times New Roman" w:hAnsi="Times New Roman" w:cs="Arial"/>
          <w:color w:val="auto"/>
          <w:sz w:val="24"/>
          <w:szCs w:val="24"/>
          <w:lang w:eastAsia="zh-CN"/>
        </w:rPr>
        <w:t>；</w:t>
      </w:r>
    </w:p>
    <w:p>
      <w:pPr>
        <w:numPr>
          <w:ilvl w:val="0"/>
          <w:numId w:val="20"/>
        </w:numPr>
        <w:tabs>
          <w:tab w:val="left" w:pos="1080"/>
        </w:tabs>
        <w:autoSpaceDE/>
        <w:autoSpaceDN/>
        <w:snapToGrid w:val="0"/>
        <w:spacing w:line="360" w:lineRule="auto"/>
        <w:ind w:left="723" w:firstLine="0"/>
        <w:jc w:val="both"/>
        <w:rPr>
          <w:rFonts w:ascii="Times New Roman" w:hAnsi="Times New Roman" w:cs="Arial"/>
          <w:color w:val="auto"/>
          <w:sz w:val="24"/>
          <w:szCs w:val="24"/>
          <w:lang w:eastAsia="zh-CN"/>
        </w:rPr>
      </w:pPr>
      <w:r>
        <w:rPr>
          <w:rFonts w:ascii="Times New Roman" w:hAnsi="Times New Roman" w:cs="Arial"/>
          <w:color w:val="auto"/>
          <w:sz w:val="24"/>
          <w:szCs w:val="24"/>
          <w:lang w:eastAsia="zh-CN"/>
        </w:rPr>
        <w:t>根据法律法规规定</w:t>
      </w:r>
      <w:r>
        <w:rPr>
          <w:rFonts w:hint="eastAsia" w:ascii="Times New Roman" w:hAnsi="Times New Roman" w:cs="Arial"/>
          <w:color w:val="auto"/>
          <w:sz w:val="24"/>
          <w:szCs w:val="24"/>
          <w:lang w:eastAsia="zh-CN"/>
        </w:rPr>
        <w:t>，某个或某几个评标委员会成员</w:t>
      </w:r>
      <w:r>
        <w:rPr>
          <w:rFonts w:ascii="Times New Roman" w:hAnsi="Times New Roman" w:cs="Arial"/>
          <w:color w:val="auto"/>
          <w:sz w:val="24"/>
          <w:szCs w:val="24"/>
          <w:lang w:eastAsia="zh-CN"/>
        </w:rPr>
        <w:t>需要回避。</w:t>
      </w:r>
    </w:p>
    <w:p>
      <w:pPr>
        <w:pStyle w:val="51"/>
        <w:numPr>
          <w:ilvl w:val="2"/>
          <w:numId w:val="14"/>
        </w:numPr>
        <w:spacing w:line="360" w:lineRule="auto"/>
        <w:ind w:left="723" w:hanging="723"/>
        <w:rPr>
          <w:rFonts w:ascii="Times New Roman" w:hAnsi="Times New Roman" w:cs="Arial"/>
          <w:color w:val="auto"/>
          <w:sz w:val="24"/>
          <w:szCs w:val="24"/>
          <w:lang w:eastAsia="zh-CN"/>
        </w:rPr>
      </w:pPr>
      <w:bookmarkStart w:id="248" w:name="_Toc522299714"/>
      <w:r>
        <w:rPr>
          <w:rFonts w:ascii="Times New Roman" w:hAnsi="Times New Roman"/>
          <w:color w:val="auto"/>
          <w:sz w:val="24"/>
          <w:szCs w:val="24"/>
          <w:lang w:eastAsia="zh-CN"/>
        </w:rPr>
        <w:t>退出评标的</w:t>
      </w:r>
      <w:r>
        <w:rPr>
          <w:rFonts w:hint="eastAsia" w:ascii="Times New Roman" w:hAnsi="Times New Roman"/>
          <w:color w:val="auto"/>
          <w:sz w:val="24"/>
          <w:szCs w:val="24"/>
          <w:lang w:eastAsia="zh-CN"/>
        </w:rPr>
        <w:t>评标委员会成员</w:t>
      </w:r>
      <w:r>
        <w:rPr>
          <w:rFonts w:ascii="Times New Roman" w:hAnsi="Times New Roman" w:cs="Arial"/>
          <w:color w:val="auto"/>
          <w:sz w:val="24"/>
          <w:szCs w:val="24"/>
          <w:lang w:eastAsia="zh-CN"/>
        </w:rPr>
        <w:t>，其已完成的评标行为无效。由采购人或者采购代理机构根据本</w:t>
      </w:r>
      <w:r>
        <w:rPr>
          <w:rFonts w:hint="eastAsia" w:ascii="Times New Roman" w:hAnsi="Times New Roman" w:cs="Arial"/>
          <w:color w:val="auto"/>
          <w:sz w:val="24"/>
          <w:szCs w:val="24"/>
          <w:lang w:eastAsia="zh-CN"/>
        </w:rPr>
        <w:t>招标文件</w:t>
      </w:r>
      <w:r>
        <w:rPr>
          <w:rFonts w:ascii="Times New Roman" w:hAnsi="Times New Roman" w:cs="Arial"/>
          <w:color w:val="auto"/>
          <w:sz w:val="24"/>
          <w:szCs w:val="24"/>
          <w:lang w:eastAsia="zh-CN"/>
        </w:rPr>
        <w:t>规定的评标委员会成员产生方式另行确定替代者进行评标。</w:t>
      </w:r>
      <w:bookmarkEnd w:id="248"/>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49" w:name="_Toc431224323"/>
      <w:bookmarkStart w:id="250" w:name="_Toc419380417"/>
      <w:bookmarkStart w:id="251" w:name="_Toc522884008"/>
      <w:bookmarkStart w:id="252" w:name="_Toc419380978"/>
      <w:r>
        <w:rPr>
          <w:rStyle w:val="64"/>
          <w:rFonts w:hint="eastAsia" w:ascii="Times New Roman" w:hAnsi="Times New Roman"/>
          <w:b w:val="0"/>
          <w:color w:val="auto"/>
        </w:rPr>
        <w:t>记名投票</w:t>
      </w:r>
      <w:bookmarkEnd w:id="249"/>
      <w:bookmarkEnd w:id="250"/>
      <w:bookmarkEnd w:id="251"/>
      <w:bookmarkEnd w:id="252"/>
    </w:p>
    <w:p>
      <w:pPr>
        <w:snapToGrid w:val="0"/>
        <w:spacing w:line="360" w:lineRule="auto"/>
        <w:ind w:left="723"/>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在任何评标环节中，需评标委员会就某项</w:t>
      </w:r>
      <w:r>
        <w:rPr>
          <w:rFonts w:ascii="Times New Roman" w:hAnsi="Times New Roman" w:cs="Arial"/>
          <w:color w:val="auto"/>
          <w:sz w:val="24"/>
          <w:szCs w:val="24"/>
          <w:lang w:eastAsia="zh-CN"/>
        </w:rPr>
        <w:t>定性的</w:t>
      </w:r>
      <w:r>
        <w:rPr>
          <w:rFonts w:hint="eastAsia" w:ascii="Times New Roman" w:hAnsi="Times New Roman" w:cs="Arial"/>
          <w:color w:val="auto"/>
          <w:sz w:val="24"/>
          <w:szCs w:val="24"/>
          <w:lang w:eastAsia="zh-CN"/>
        </w:rPr>
        <w:t>评审</w:t>
      </w:r>
      <w:r>
        <w:rPr>
          <w:rFonts w:ascii="Times New Roman" w:hAnsi="Times New Roman" w:cs="Arial"/>
          <w:color w:val="auto"/>
          <w:sz w:val="24"/>
          <w:szCs w:val="24"/>
          <w:lang w:eastAsia="zh-CN"/>
        </w:rPr>
        <w:t>结论</w:t>
      </w:r>
      <w:r>
        <w:rPr>
          <w:rFonts w:hint="eastAsia" w:ascii="Times New Roman" w:hAnsi="Times New Roman" w:cs="Arial"/>
          <w:color w:val="auto"/>
          <w:sz w:val="24"/>
          <w:szCs w:val="24"/>
          <w:lang w:eastAsia="zh-CN"/>
        </w:rPr>
        <w:t>做出表决的，</w:t>
      </w:r>
      <w:r>
        <w:rPr>
          <w:rFonts w:ascii="Times New Roman" w:hAnsi="Times New Roman" w:cs="Arial"/>
          <w:color w:val="auto"/>
          <w:sz w:val="24"/>
          <w:szCs w:val="24"/>
          <w:lang w:eastAsia="zh-CN"/>
        </w:rPr>
        <w:t>由评标委员会全体</w:t>
      </w:r>
      <w:r>
        <w:rPr>
          <w:rFonts w:hint="eastAsia" w:ascii="Times New Roman" w:hAnsi="Times New Roman" w:cs="Arial"/>
          <w:color w:val="auto"/>
          <w:sz w:val="24"/>
          <w:szCs w:val="24"/>
          <w:lang w:eastAsia="zh-CN"/>
        </w:rPr>
        <w:t>成员</w:t>
      </w:r>
      <w:r>
        <w:rPr>
          <w:rFonts w:ascii="Times New Roman" w:hAnsi="Times New Roman" w:cs="Arial"/>
          <w:color w:val="auto"/>
          <w:sz w:val="24"/>
          <w:szCs w:val="24"/>
          <w:lang w:eastAsia="zh-CN"/>
        </w:rPr>
        <w:t>按</w:t>
      </w:r>
      <w:r>
        <w:rPr>
          <w:rFonts w:hint="eastAsia" w:ascii="Times New Roman" w:hAnsi="Times New Roman" w:cs="Arial"/>
          <w:color w:val="auto"/>
          <w:sz w:val="24"/>
          <w:szCs w:val="24"/>
          <w:lang w:eastAsia="zh-CN"/>
        </w:rPr>
        <w:t>照</w:t>
      </w:r>
      <w:r>
        <w:rPr>
          <w:rFonts w:ascii="Times New Roman" w:hAnsi="Times New Roman" w:cs="Arial"/>
          <w:color w:val="auto"/>
          <w:sz w:val="24"/>
          <w:szCs w:val="24"/>
          <w:lang w:eastAsia="zh-CN"/>
        </w:rPr>
        <w:t>少数服从多数的原则，以记名投票方式</w:t>
      </w:r>
      <w:r>
        <w:rPr>
          <w:rFonts w:hint="eastAsia" w:ascii="Times New Roman" w:hAnsi="Times New Roman" w:cs="Arial"/>
          <w:color w:val="auto"/>
          <w:sz w:val="24"/>
          <w:szCs w:val="24"/>
          <w:lang w:eastAsia="zh-CN"/>
        </w:rPr>
        <w:t>表</w:t>
      </w:r>
      <w:r>
        <w:rPr>
          <w:rFonts w:ascii="Times New Roman" w:hAnsi="Times New Roman" w:cs="Arial"/>
          <w:color w:val="auto"/>
          <w:sz w:val="24"/>
          <w:szCs w:val="24"/>
          <w:lang w:eastAsia="zh-CN"/>
        </w:rPr>
        <w:t>决。</w:t>
      </w:r>
    </w:p>
    <w:p>
      <w:pPr>
        <w:pStyle w:val="4"/>
        <w:keepNext w:val="0"/>
        <w:keepLines w:val="0"/>
        <w:numPr>
          <w:ilvl w:val="0"/>
          <w:numId w:val="14"/>
        </w:numPr>
        <w:spacing w:before="240" w:beforeLines="100" w:beforeAutospacing="0" w:after="240" w:afterLines="100" w:afterAutospacing="0"/>
        <w:ind w:left="726" w:hanging="726"/>
        <w:rPr>
          <w:rFonts w:ascii="Times New Roman" w:hAnsi="Times New Roman"/>
          <w:b w:val="0"/>
          <w:color w:val="auto"/>
        </w:rPr>
      </w:pPr>
      <w:r>
        <w:rPr>
          <w:rFonts w:hint="eastAsia" w:ascii="Times New Roman" w:hAnsi="Times New Roman"/>
          <w:b w:val="0"/>
          <w:color w:val="auto"/>
        </w:rPr>
        <w:t>其它</w:t>
      </w:r>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53" w:name="_Toc522299716"/>
      <w:r>
        <w:rPr>
          <w:rStyle w:val="64"/>
          <w:rFonts w:ascii="Times New Roman" w:hAnsi="Times New Roman"/>
          <w:b w:val="0"/>
          <w:color w:val="auto"/>
        </w:rPr>
        <w:t>根据《政府采购促进中小企业发展暂行办法》（财库[2011]181号）、《财政部 司法部关于政府采购支持监狱企业发展有关问题的通知》（财库〔2014〕68号）和《三部门联合发布关于促进残疾人就业政府采购政策的通知》（财库〔2017〕141号）的规定，对满足价格扣除条件且在投标文件中提交了《</w:t>
      </w:r>
      <w:r>
        <w:rPr>
          <w:rStyle w:val="64"/>
          <w:rFonts w:hint="eastAsia" w:ascii="Times New Roman" w:hAnsi="Times New Roman"/>
          <w:b w:val="0"/>
          <w:color w:val="auto"/>
        </w:rPr>
        <w:t>中小企业声明函</w:t>
      </w:r>
      <w:r>
        <w:rPr>
          <w:rStyle w:val="64"/>
          <w:rFonts w:ascii="Times New Roman" w:hAnsi="Times New Roman"/>
          <w:b w:val="0"/>
          <w:color w:val="auto"/>
        </w:rPr>
        <w:t>》</w:t>
      </w:r>
      <w:r>
        <w:rPr>
          <w:rStyle w:val="64"/>
          <w:rFonts w:hint="eastAsia" w:ascii="Times New Roman" w:hAnsi="Times New Roman"/>
          <w:b w:val="0"/>
          <w:color w:val="auto"/>
        </w:rPr>
        <w:t>且声明为小型或微型企业的</w:t>
      </w:r>
      <w:r>
        <w:rPr>
          <w:rStyle w:val="64"/>
          <w:rFonts w:ascii="Times New Roman" w:hAnsi="Times New Roman"/>
          <w:b w:val="0"/>
          <w:color w:val="auto"/>
        </w:rPr>
        <w:t>或《残疾人福利性单位声明函》或省级以上监狱管理局、戒毒管理局（含新疆生产建设兵团）出具的属于监狱企业的证明文件的投标人，其投标报价扣除</w:t>
      </w:r>
      <w:r>
        <w:rPr>
          <w:rStyle w:val="64"/>
          <w:rFonts w:hint="eastAsia" w:ascii="Times New Roman" w:hAnsi="Times New Roman"/>
          <w:b w:val="0"/>
          <w:color w:val="auto"/>
          <w:u w:val="single"/>
        </w:rPr>
        <w:t>6</w:t>
      </w:r>
      <w:r>
        <w:rPr>
          <w:rStyle w:val="64"/>
          <w:rFonts w:ascii="Times New Roman" w:hAnsi="Times New Roman"/>
          <w:b w:val="0"/>
          <w:color w:val="auto"/>
        </w:rPr>
        <w:t>%后参与评审。对于同时属于小微企业、监狱企业或残疾人福利性单位的，不重复进行投标报价扣除。小型、微型企业提供中型企业制造的货物的，视同为中型企业。</w:t>
      </w:r>
      <w:bookmarkEnd w:id="253"/>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bookmarkStart w:id="254" w:name="_Toc522299717"/>
      <w:r>
        <w:rPr>
          <w:rStyle w:val="64"/>
          <w:rFonts w:ascii="Times New Roman" w:hAnsi="Times New Roman"/>
          <w:b w:val="0"/>
          <w:color w:val="auto"/>
        </w:rPr>
        <w:t>联合协议中约定，小型、微型企业和监狱企业或残疾人福利性单位的协议合同金额占到联合体协议合同总金额30%以上的，可给予联合体</w:t>
      </w:r>
      <w:r>
        <w:rPr>
          <w:rStyle w:val="64"/>
          <w:rFonts w:hint="eastAsia" w:ascii="Times New Roman" w:hAnsi="Times New Roman"/>
          <w:b w:val="0"/>
          <w:color w:val="auto"/>
          <w:u w:val="single"/>
        </w:rPr>
        <w:t>2</w:t>
      </w:r>
      <w:r>
        <w:rPr>
          <w:rStyle w:val="64"/>
          <w:rFonts w:ascii="Times New Roman" w:hAnsi="Times New Roman"/>
          <w:b w:val="0"/>
          <w:color w:val="auto"/>
        </w:rPr>
        <w:t>%的价格扣除。</w:t>
      </w:r>
      <w:bookmarkEnd w:id="254"/>
    </w:p>
    <w:p>
      <w:pPr>
        <w:pStyle w:val="5"/>
        <w:keepNext w:val="0"/>
        <w:keepLines w:val="0"/>
        <w:numPr>
          <w:ilvl w:val="1"/>
          <w:numId w:val="14"/>
        </w:numPr>
        <w:snapToGrid w:val="0"/>
        <w:spacing w:before="0" w:after="0" w:line="360" w:lineRule="auto"/>
        <w:ind w:left="723" w:hanging="723"/>
        <w:rPr>
          <w:rStyle w:val="64"/>
          <w:rFonts w:ascii="Times New Roman" w:hAnsi="Times New Roman"/>
          <w:b w:val="0"/>
          <w:color w:val="auto"/>
        </w:rPr>
      </w:pPr>
      <w:r>
        <w:rPr>
          <w:rStyle w:val="64"/>
          <w:rFonts w:ascii="Times New Roman" w:hAnsi="Times New Roman"/>
          <w:b w:val="0"/>
          <w:color w:val="auto"/>
        </w:rPr>
        <w:t>联合体各方均为小型、微型企业和监狱企业或残疾人福利性单位的，联合体视同为小型、微型企业和监狱企业或残疾人福利性单位。</w:t>
      </w:r>
    </w:p>
    <w:p>
      <w:pPr>
        <w:rPr>
          <w:rFonts w:ascii="Times New Roman" w:hAnsi="Times New Roman" w:cs="Arial"/>
          <w:color w:val="auto"/>
          <w:sz w:val="24"/>
          <w:szCs w:val="24"/>
          <w:lang w:eastAsia="zh-CN"/>
        </w:rPr>
      </w:pPr>
      <w:r>
        <w:rPr>
          <w:rFonts w:ascii="Times New Roman" w:hAnsi="Times New Roman" w:cs="Arial"/>
          <w:color w:val="auto"/>
          <w:sz w:val="24"/>
          <w:szCs w:val="24"/>
          <w:lang w:eastAsia="zh-CN"/>
        </w:rPr>
        <w:br w:type="page"/>
      </w:r>
    </w:p>
    <w:p>
      <w:pPr>
        <w:pStyle w:val="4"/>
        <w:keepNext w:val="0"/>
        <w:keepLines w:val="0"/>
        <w:rPr>
          <w:rStyle w:val="64"/>
          <w:rFonts w:ascii="Times New Roman" w:hAnsi="Times New Roman"/>
          <w:b/>
          <w:color w:val="auto"/>
          <w:kern w:val="0"/>
          <w:szCs w:val="20"/>
        </w:rPr>
      </w:pPr>
      <w:bookmarkStart w:id="255" w:name="_Toc522884009"/>
      <w:r>
        <w:rPr>
          <w:rStyle w:val="64"/>
          <w:rFonts w:ascii="Times New Roman" w:hAnsi="Times New Roman"/>
          <w:b/>
          <w:color w:val="auto"/>
          <w:kern w:val="0"/>
          <w:szCs w:val="20"/>
        </w:rPr>
        <w:t>附表</w:t>
      </w:r>
      <w:r>
        <w:rPr>
          <w:rStyle w:val="64"/>
          <w:rFonts w:hint="eastAsia" w:ascii="Times New Roman" w:hAnsi="Times New Roman"/>
          <w:b/>
          <w:color w:val="auto"/>
          <w:kern w:val="0"/>
          <w:szCs w:val="20"/>
        </w:rPr>
        <w:t>1</w:t>
      </w:r>
      <w:r>
        <w:rPr>
          <w:rStyle w:val="64"/>
          <w:rFonts w:ascii="Times New Roman" w:hAnsi="Times New Roman"/>
          <w:b/>
          <w:color w:val="auto"/>
          <w:kern w:val="0"/>
          <w:szCs w:val="20"/>
        </w:rPr>
        <w:t>：</w:t>
      </w:r>
      <w:r>
        <w:rPr>
          <w:rStyle w:val="64"/>
          <w:rFonts w:hint="eastAsia" w:ascii="Times New Roman" w:hAnsi="Times New Roman"/>
          <w:b/>
          <w:bCs w:val="0"/>
          <w:color w:val="auto"/>
          <w:kern w:val="0"/>
          <w:szCs w:val="20"/>
        </w:rPr>
        <w:t>资格</w:t>
      </w:r>
      <w:r>
        <w:rPr>
          <w:rStyle w:val="64"/>
          <w:rFonts w:hint="eastAsia" w:ascii="Times New Roman" w:hAnsi="Times New Roman"/>
          <w:b/>
          <w:color w:val="auto"/>
          <w:kern w:val="0"/>
          <w:szCs w:val="20"/>
        </w:rPr>
        <w:t>审查</w:t>
      </w:r>
      <w:r>
        <w:rPr>
          <w:rStyle w:val="64"/>
          <w:rFonts w:ascii="Times New Roman" w:hAnsi="Times New Roman"/>
          <w:b/>
          <w:color w:val="auto"/>
          <w:kern w:val="0"/>
          <w:szCs w:val="20"/>
        </w:rPr>
        <w:t>表</w:t>
      </w:r>
      <w:bookmarkEnd w:id="255"/>
    </w:p>
    <w:p>
      <w:pPr>
        <w:pStyle w:val="11"/>
        <w:jc w:val="center"/>
        <w:rPr>
          <w:rStyle w:val="64"/>
          <w:rFonts w:ascii="Times New Roman" w:hAnsi="Times New Roman"/>
          <w:color w:val="auto"/>
          <w:kern w:val="0"/>
          <w:szCs w:val="20"/>
        </w:rPr>
      </w:pPr>
      <w:r>
        <w:rPr>
          <w:rStyle w:val="64"/>
          <w:rFonts w:hint="eastAsia" w:ascii="Times New Roman" w:hAnsi="Times New Roman"/>
          <w:bCs w:val="0"/>
          <w:color w:val="auto"/>
          <w:kern w:val="0"/>
          <w:szCs w:val="20"/>
        </w:rPr>
        <w:t>资格</w:t>
      </w:r>
      <w:r>
        <w:rPr>
          <w:rStyle w:val="64"/>
          <w:rFonts w:hint="eastAsia" w:ascii="Times New Roman" w:hAnsi="Times New Roman"/>
          <w:color w:val="auto"/>
          <w:kern w:val="0"/>
          <w:szCs w:val="20"/>
        </w:rPr>
        <w:t>审查</w:t>
      </w:r>
      <w:r>
        <w:rPr>
          <w:rStyle w:val="64"/>
          <w:rFonts w:ascii="Times New Roman" w:hAnsi="Times New Roman"/>
          <w:color w:val="auto"/>
          <w:kern w:val="0"/>
          <w:szCs w:val="20"/>
        </w:rPr>
        <w:t>表</w:t>
      </w:r>
    </w:p>
    <w:p>
      <w:pPr>
        <w:pStyle w:val="11"/>
        <w:rPr>
          <w:color w:val="auto"/>
          <w:lang w:eastAsia="zh-CN"/>
        </w:rPr>
      </w:pPr>
      <w:r>
        <w:rPr>
          <w:rFonts w:hint="eastAsia" w:ascii="Times New Roman" w:hAnsi="Times New Roman" w:cs="Arial"/>
          <w:bCs/>
          <w:color w:val="auto"/>
          <w:sz w:val="24"/>
          <w:szCs w:val="24"/>
          <w:lang w:eastAsia="zh-CN"/>
        </w:rPr>
        <w:t>项目</w:t>
      </w:r>
      <w:r>
        <w:rPr>
          <w:rFonts w:ascii="Times New Roman" w:hAnsi="Times New Roman" w:cs="Arial"/>
          <w:bCs/>
          <w:color w:val="auto"/>
          <w:sz w:val="24"/>
          <w:szCs w:val="24"/>
          <w:lang w:eastAsia="zh-CN"/>
        </w:rPr>
        <w:t>名称：</w:t>
      </w:r>
      <w:r>
        <w:rPr>
          <w:rFonts w:hint="eastAsia" w:ascii="Times New Roman" w:hAnsi="Times New Roman" w:cs="Arial"/>
          <w:bCs/>
          <w:color w:val="auto"/>
          <w:sz w:val="24"/>
          <w:szCs w:val="24"/>
          <w:u w:val="single"/>
          <w:lang w:eastAsia="zh-CN"/>
        </w:rPr>
        <w:t xml:space="preserve"> </w:t>
      </w:r>
      <w:r>
        <w:rPr>
          <w:rFonts w:ascii="Times New Roman" w:hAnsi="Times New Roman" w:cs="Arial"/>
          <w:bCs/>
          <w:color w:val="auto"/>
          <w:sz w:val="24"/>
          <w:szCs w:val="24"/>
          <w:u w:val="single"/>
          <w:lang w:eastAsia="zh-CN"/>
        </w:rPr>
        <w:t xml:space="preserve">                         </w:t>
      </w:r>
    </w:p>
    <w:tbl>
      <w:tblPr>
        <w:tblStyle w:val="36"/>
        <w:tblW w:w="842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584"/>
        <w:gridCol w:w="2631"/>
        <w:gridCol w:w="4427"/>
        <w:gridCol w:w="783"/>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584" w:type="dxa"/>
            <w:vAlign w:val="center"/>
          </w:tcPr>
          <w:p>
            <w:pPr>
              <w:spacing w:line="300" w:lineRule="auto"/>
              <w:jc w:val="center"/>
              <w:rPr>
                <w:rFonts w:ascii="Times New Roman" w:hAnsi="Times New Roman"/>
                <w:b/>
                <w:color w:val="auto"/>
                <w:sz w:val="24"/>
              </w:rPr>
            </w:pPr>
            <w:r>
              <w:rPr>
                <w:rFonts w:ascii="Times New Roman" w:hAnsi="Times New Roman"/>
                <w:b/>
                <w:color w:val="auto"/>
                <w:sz w:val="24"/>
              </w:rPr>
              <w:t>序号</w:t>
            </w:r>
          </w:p>
        </w:tc>
        <w:tc>
          <w:tcPr>
            <w:tcW w:w="2631" w:type="dxa"/>
            <w:vAlign w:val="center"/>
          </w:tcPr>
          <w:p>
            <w:pPr>
              <w:spacing w:line="300" w:lineRule="auto"/>
              <w:jc w:val="center"/>
              <w:rPr>
                <w:rFonts w:ascii="Times New Roman" w:hAnsi="Times New Roman"/>
                <w:b/>
                <w:color w:val="auto"/>
                <w:sz w:val="24"/>
              </w:rPr>
            </w:pPr>
            <w:r>
              <w:rPr>
                <w:rFonts w:ascii="Times New Roman" w:hAnsi="Times New Roman"/>
                <w:b/>
                <w:color w:val="auto"/>
                <w:sz w:val="24"/>
              </w:rPr>
              <w:t>评审内容</w:t>
            </w:r>
          </w:p>
        </w:tc>
        <w:tc>
          <w:tcPr>
            <w:tcW w:w="4427" w:type="dxa"/>
            <w:vAlign w:val="center"/>
          </w:tcPr>
          <w:p>
            <w:pPr>
              <w:spacing w:line="300" w:lineRule="auto"/>
              <w:jc w:val="center"/>
              <w:rPr>
                <w:rFonts w:ascii="Times New Roman" w:hAnsi="Times New Roman"/>
                <w:b/>
                <w:color w:val="auto"/>
                <w:sz w:val="24"/>
              </w:rPr>
            </w:pPr>
            <w:r>
              <w:rPr>
                <w:rFonts w:ascii="Times New Roman" w:hAnsi="Times New Roman"/>
                <w:b/>
                <w:color w:val="auto"/>
                <w:sz w:val="24"/>
              </w:rPr>
              <w:t>评审合格标准</w:t>
            </w:r>
          </w:p>
        </w:tc>
        <w:tc>
          <w:tcPr>
            <w:tcW w:w="783" w:type="dxa"/>
            <w:vAlign w:val="center"/>
          </w:tcPr>
          <w:p>
            <w:pPr>
              <w:spacing w:line="300" w:lineRule="auto"/>
              <w:jc w:val="center"/>
              <w:rPr>
                <w:rFonts w:ascii="Times New Roman" w:hAnsi="Times New Roman"/>
                <w:b/>
                <w:color w:val="auto"/>
                <w:sz w:val="24"/>
              </w:rPr>
            </w:pPr>
            <w:r>
              <w:rPr>
                <w:rFonts w:hint="eastAsia" w:ascii="Times New Roman" w:hAnsi="Times New Roman"/>
                <w:b/>
                <w:color w:val="auto"/>
                <w:sz w:val="24"/>
                <w:lang w:eastAsia="zh-CN"/>
              </w:rPr>
              <w:t>评审</w:t>
            </w:r>
            <w:r>
              <w:rPr>
                <w:rFonts w:ascii="Times New Roman" w:hAnsi="Times New Roman"/>
                <w:b/>
                <w:color w:val="auto"/>
                <w:sz w:val="24"/>
              </w:rPr>
              <w:t>结论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before="171" w:line="300" w:lineRule="auto"/>
              <w:jc w:val="center"/>
              <w:rPr>
                <w:rFonts w:ascii="Times New Roman" w:hAnsi="Times New Roman"/>
                <w:color w:val="auto"/>
                <w:sz w:val="24"/>
                <w:szCs w:val="24"/>
              </w:rPr>
            </w:pPr>
            <w:r>
              <w:rPr>
                <w:rFonts w:ascii="Times New Roman" w:hAnsi="Times New Roman"/>
                <w:color w:val="auto"/>
                <w:sz w:val="24"/>
                <w:szCs w:val="24"/>
              </w:rPr>
              <w:t>1</w:t>
            </w:r>
          </w:p>
        </w:tc>
        <w:tc>
          <w:tcPr>
            <w:tcW w:w="2631" w:type="dxa"/>
            <w:vAlign w:val="center"/>
          </w:tcPr>
          <w:p>
            <w:pPr>
              <w:pStyle w:val="52"/>
              <w:spacing w:before="155" w:line="300" w:lineRule="auto"/>
              <w:ind w:left="-106" w:leftChars="-48"/>
              <w:jc w:val="both"/>
              <w:rPr>
                <w:rFonts w:ascii="Times New Roman" w:hAnsi="Times New Roman"/>
                <w:color w:val="auto"/>
                <w:sz w:val="24"/>
                <w:szCs w:val="24"/>
              </w:rPr>
            </w:pPr>
            <w:r>
              <w:rPr>
                <w:rFonts w:ascii="Times New Roman" w:hAnsi="Times New Roman"/>
                <w:color w:val="auto"/>
                <w:sz w:val="24"/>
                <w:szCs w:val="24"/>
              </w:rPr>
              <w:t>投标人名称</w:t>
            </w:r>
          </w:p>
        </w:tc>
        <w:tc>
          <w:tcPr>
            <w:tcW w:w="4427" w:type="dxa"/>
            <w:vAlign w:val="center"/>
          </w:tcPr>
          <w:p>
            <w:pPr>
              <w:pStyle w:val="52"/>
              <w:spacing w:before="1"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与</w:t>
            </w:r>
            <w:r>
              <w:rPr>
                <w:rFonts w:hint="eastAsia" w:ascii="Times New Roman" w:hAnsi="Times New Roman"/>
                <w:color w:val="auto"/>
                <w:sz w:val="24"/>
                <w:szCs w:val="24"/>
                <w:lang w:eastAsia="zh-CN"/>
              </w:rPr>
              <w:t>主体</w:t>
            </w:r>
            <w:r>
              <w:rPr>
                <w:rFonts w:ascii="Times New Roman" w:hAnsi="Times New Roman"/>
                <w:color w:val="auto"/>
                <w:sz w:val="24"/>
                <w:szCs w:val="24"/>
                <w:lang w:eastAsia="zh-CN"/>
              </w:rPr>
              <w:t>资格证书一致（符合法定工商变更程序除外）</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rPr>
            </w:pPr>
            <w:r>
              <w:rPr>
                <w:rFonts w:ascii="Times New Roman" w:hAnsi="Times New Roman"/>
                <w:color w:val="auto"/>
                <w:sz w:val="24"/>
                <w:szCs w:val="24"/>
              </w:rPr>
              <w:t>2</w:t>
            </w:r>
          </w:p>
        </w:tc>
        <w:tc>
          <w:tcPr>
            <w:tcW w:w="2631" w:type="dxa"/>
            <w:vAlign w:val="center"/>
          </w:tcPr>
          <w:p>
            <w:pPr>
              <w:pStyle w:val="52"/>
              <w:spacing w:before="156" w:line="300" w:lineRule="auto"/>
              <w:ind w:left="-106" w:leftChars="-48" w:right="232"/>
              <w:jc w:val="both"/>
              <w:rPr>
                <w:rFonts w:ascii="Times New Roman" w:hAnsi="Times New Roman"/>
                <w:color w:val="auto"/>
                <w:sz w:val="24"/>
                <w:szCs w:val="24"/>
                <w:lang w:eastAsia="zh-CN"/>
              </w:rPr>
            </w:pPr>
            <w:r>
              <w:rPr>
                <w:rFonts w:ascii="Times New Roman" w:hAnsi="Times New Roman"/>
                <w:color w:val="auto"/>
                <w:sz w:val="24"/>
                <w:szCs w:val="24"/>
                <w:lang w:eastAsia="zh-CN"/>
              </w:rPr>
              <w:t>具有独立承担民事责任的能力</w:t>
            </w:r>
          </w:p>
        </w:tc>
        <w:tc>
          <w:tcPr>
            <w:tcW w:w="4427" w:type="dxa"/>
            <w:vAlign w:val="center"/>
          </w:tcPr>
          <w:p>
            <w:pPr>
              <w:pStyle w:val="52"/>
              <w:spacing w:before="3"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提供了有效的法人或者其他组织的</w:t>
            </w:r>
            <w:r>
              <w:rPr>
                <w:rFonts w:ascii="Times New Roman" w:hAnsi="Times New Roman"/>
                <w:color w:val="auto"/>
                <w:spacing w:val="-4"/>
                <w:sz w:val="24"/>
                <w:szCs w:val="24"/>
                <w:lang w:eastAsia="zh-CN"/>
              </w:rPr>
              <w:t>营业执照等证明文件</w:t>
            </w:r>
            <w:r>
              <w:rPr>
                <w:rFonts w:hint="eastAsia" w:ascii="Times New Roman" w:hAnsi="Times New Roman"/>
                <w:color w:val="auto"/>
                <w:spacing w:val="-4"/>
                <w:sz w:val="24"/>
                <w:szCs w:val="24"/>
                <w:lang w:eastAsia="zh-CN"/>
              </w:rPr>
              <w:t>或</w:t>
            </w:r>
            <w:r>
              <w:rPr>
                <w:rFonts w:ascii="Times New Roman" w:hAnsi="Times New Roman"/>
                <w:color w:val="auto"/>
                <w:spacing w:val="-4"/>
                <w:sz w:val="24"/>
                <w:szCs w:val="24"/>
                <w:lang w:eastAsia="zh-CN"/>
              </w:rPr>
              <w:t>自然人的身份</w:t>
            </w:r>
            <w:r>
              <w:rPr>
                <w:rFonts w:ascii="Times New Roman" w:hAnsi="Times New Roman"/>
                <w:color w:val="auto"/>
                <w:sz w:val="24"/>
                <w:szCs w:val="24"/>
                <w:lang w:eastAsia="zh-CN"/>
              </w:rPr>
              <w:t>证明</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rPr>
            </w:pPr>
            <w:r>
              <w:rPr>
                <w:rFonts w:ascii="Times New Roman" w:hAnsi="Times New Roman"/>
                <w:color w:val="auto"/>
                <w:sz w:val="24"/>
                <w:szCs w:val="24"/>
              </w:rPr>
              <w:t>3</w:t>
            </w:r>
          </w:p>
        </w:tc>
        <w:tc>
          <w:tcPr>
            <w:tcW w:w="2631" w:type="dxa"/>
            <w:vAlign w:val="center"/>
          </w:tcPr>
          <w:p>
            <w:pPr>
              <w:pStyle w:val="52"/>
              <w:spacing w:line="300" w:lineRule="auto"/>
              <w:ind w:left="-106" w:leftChars="-48"/>
              <w:jc w:val="both"/>
              <w:rPr>
                <w:rFonts w:ascii="Times New Roman" w:hAnsi="Times New Roman"/>
                <w:color w:val="auto"/>
                <w:sz w:val="24"/>
                <w:szCs w:val="24"/>
                <w:lang w:eastAsia="zh-CN"/>
              </w:rPr>
            </w:pPr>
            <w:r>
              <w:rPr>
                <w:rFonts w:ascii="Times New Roman" w:hAnsi="Times New Roman"/>
                <w:color w:val="auto"/>
                <w:sz w:val="24"/>
                <w:szCs w:val="24"/>
                <w:lang w:eastAsia="zh-CN"/>
              </w:rPr>
              <w:t>具有健全的财务会计制度</w:t>
            </w:r>
          </w:p>
        </w:tc>
        <w:tc>
          <w:tcPr>
            <w:tcW w:w="4427" w:type="dxa"/>
            <w:vAlign w:val="center"/>
          </w:tcPr>
          <w:p>
            <w:pPr>
              <w:pStyle w:val="52"/>
              <w:spacing w:before="2"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提供了满足招标文件要求的经审计的财务报告或本年度其基本开户银行出具的资信证明</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rPr>
            </w:pPr>
            <w:r>
              <w:rPr>
                <w:rFonts w:ascii="Times New Roman" w:hAnsi="Times New Roman"/>
                <w:color w:val="auto"/>
                <w:sz w:val="24"/>
                <w:szCs w:val="24"/>
              </w:rPr>
              <w:t>4</w:t>
            </w:r>
          </w:p>
        </w:tc>
        <w:tc>
          <w:tcPr>
            <w:tcW w:w="2631" w:type="dxa"/>
            <w:vAlign w:val="center"/>
          </w:tcPr>
          <w:p>
            <w:pPr>
              <w:pStyle w:val="52"/>
              <w:spacing w:line="300" w:lineRule="auto"/>
              <w:ind w:left="-101" w:leftChars="-46"/>
              <w:rPr>
                <w:rFonts w:ascii="Times New Roman" w:hAnsi="Times New Roman"/>
                <w:color w:val="auto"/>
                <w:sz w:val="24"/>
                <w:szCs w:val="24"/>
                <w:lang w:eastAsia="zh-CN"/>
              </w:rPr>
            </w:pPr>
            <w:r>
              <w:rPr>
                <w:rFonts w:ascii="Times New Roman" w:hAnsi="Times New Roman"/>
                <w:color w:val="auto"/>
                <w:sz w:val="24"/>
                <w:szCs w:val="24"/>
                <w:lang w:eastAsia="zh-CN"/>
              </w:rPr>
              <w:t>投标保证金</w:t>
            </w:r>
          </w:p>
        </w:tc>
        <w:tc>
          <w:tcPr>
            <w:tcW w:w="4427" w:type="dxa"/>
            <w:vAlign w:val="center"/>
          </w:tcPr>
          <w:p>
            <w:pPr>
              <w:pStyle w:val="52"/>
              <w:spacing w:line="300" w:lineRule="auto"/>
              <w:rPr>
                <w:rFonts w:ascii="Times New Roman" w:hAnsi="Times New Roman"/>
                <w:color w:val="auto"/>
                <w:sz w:val="24"/>
                <w:szCs w:val="24"/>
                <w:lang w:eastAsia="zh-CN"/>
              </w:rPr>
            </w:pPr>
            <w:r>
              <w:rPr>
                <w:rFonts w:ascii="Times New Roman" w:hAnsi="Times New Roman"/>
                <w:color w:val="auto"/>
                <w:sz w:val="24"/>
                <w:szCs w:val="24"/>
                <w:lang w:eastAsia="zh-CN"/>
              </w:rPr>
              <w:t>按照招标文件的规定提交投标保证金（包括形式及金额）</w:t>
            </w:r>
          </w:p>
        </w:tc>
        <w:tc>
          <w:tcPr>
            <w:tcW w:w="783" w:type="dxa"/>
            <w:vAlign w:val="center"/>
          </w:tcPr>
          <w:p>
            <w:pPr>
              <w:pStyle w:val="52"/>
              <w:spacing w:line="300" w:lineRule="auto"/>
              <w:jc w:val="center"/>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rPr>
            </w:pPr>
            <w:r>
              <w:rPr>
                <w:rFonts w:ascii="Times New Roman" w:hAnsi="Times New Roman"/>
                <w:color w:val="auto"/>
                <w:sz w:val="24"/>
                <w:szCs w:val="24"/>
              </w:rPr>
              <w:t>5</w:t>
            </w:r>
          </w:p>
        </w:tc>
        <w:tc>
          <w:tcPr>
            <w:tcW w:w="2631" w:type="dxa"/>
            <w:vAlign w:val="center"/>
          </w:tcPr>
          <w:p>
            <w:pPr>
              <w:pStyle w:val="52"/>
              <w:spacing w:before="155" w:line="300" w:lineRule="auto"/>
              <w:ind w:left="-106" w:leftChars="-48" w:right="232"/>
              <w:jc w:val="both"/>
              <w:rPr>
                <w:rFonts w:ascii="Times New Roman" w:hAnsi="Times New Roman"/>
                <w:color w:val="auto"/>
                <w:sz w:val="24"/>
                <w:szCs w:val="24"/>
                <w:lang w:eastAsia="zh-CN"/>
              </w:rPr>
            </w:pPr>
            <w:r>
              <w:rPr>
                <w:rFonts w:ascii="Times New Roman" w:hAnsi="Times New Roman"/>
                <w:color w:val="auto"/>
                <w:sz w:val="24"/>
                <w:szCs w:val="24"/>
                <w:lang w:eastAsia="zh-CN"/>
              </w:rPr>
              <w:t>具有履行合同所必需的设备和专业技术能力</w:t>
            </w:r>
          </w:p>
        </w:tc>
        <w:tc>
          <w:tcPr>
            <w:tcW w:w="4427" w:type="dxa"/>
            <w:vAlign w:val="center"/>
          </w:tcPr>
          <w:p>
            <w:pPr>
              <w:pStyle w:val="52"/>
              <w:spacing w:before="1"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提供了可充分满足履行合同所需设备和专业技术能力的证明材料或承诺</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rPr>
            </w:pPr>
            <w:r>
              <w:rPr>
                <w:rFonts w:ascii="Times New Roman" w:hAnsi="Times New Roman"/>
                <w:color w:val="auto"/>
                <w:sz w:val="24"/>
                <w:szCs w:val="24"/>
              </w:rPr>
              <w:t>6</w:t>
            </w:r>
          </w:p>
        </w:tc>
        <w:tc>
          <w:tcPr>
            <w:tcW w:w="2631" w:type="dxa"/>
            <w:vAlign w:val="center"/>
          </w:tcPr>
          <w:p>
            <w:pPr>
              <w:pStyle w:val="52"/>
              <w:spacing w:before="168" w:line="300" w:lineRule="auto"/>
              <w:ind w:left="-106" w:leftChars="-48" w:right="232"/>
              <w:jc w:val="both"/>
              <w:rPr>
                <w:rFonts w:ascii="Times New Roman" w:hAnsi="Times New Roman"/>
                <w:color w:val="auto"/>
                <w:sz w:val="24"/>
                <w:szCs w:val="24"/>
                <w:lang w:eastAsia="zh-CN"/>
              </w:rPr>
            </w:pPr>
            <w:r>
              <w:rPr>
                <w:rFonts w:ascii="Times New Roman" w:hAnsi="Times New Roman"/>
                <w:color w:val="auto"/>
                <w:sz w:val="24"/>
                <w:szCs w:val="24"/>
                <w:lang w:eastAsia="zh-CN"/>
              </w:rPr>
              <w:t>有依法缴纳税收和社会保障资金的良好记录</w:t>
            </w:r>
          </w:p>
        </w:tc>
        <w:tc>
          <w:tcPr>
            <w:tcW w:w="4427" w:type="dxa"/>
            <w:vAlign w:val="center"/>
          </w:tcPr>
          <w:p>
            <w:pPr>
              <w:pStyle w:val="52"/>
              <w:spacing w:before="1"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1.提供了招标文件</w:t>
            </w:r>
            <w:r>
              <w:rPr>
                <w:rFonts w:hint="eastAsia" w:ascii="Times New Roman" w:hAnsi="Times New Roman"/>
                <w:color w:val="auto"/>
                <w:sz w:val="24"/>
                <w:szCs w:val="24"/>
                <w:lang w:eastAsia="zh-CN"/>
              </w:rPr>
              <w:t>规定</w:t>
            </w:r>
            <w:r>
              <w:rPr>
                <w:rFonts w:ascii="Times New Roman" w:hAnsi="Times New Roman"/>
                <w:color w:val="auto"/>
                <w:sz w:val="24"/>
                <w:szCs w:val="24"/>
                <w:lang w:eastAsia="zh-CN"/>
              </w:rPr>
              <w:t>时间内的缴纳</w:t>
            </w:r>
            <w:r>
              <w:rPr>
                <w:rFonts w:ascii="Times New Roman" w:hAnsi="Times New Roman"/>
                <w:color w:val="auto"/>
                <w:spacing w:val="-3"/>
                <w:sz w:val="24"/>
                <w:szCs w:val="24"/>
                <w:lang w:eastAsia="zh-CN"/>
              </w:rPr>
              <w:t>增值税或营业税或所得税的凭证</w:t>
            </w:r>
            <w:r>
              <w:rPr>
                <w:rFonts w:ascii="Times New Roman" w:hAnsi="Times New Roman"/>
                <w:color w:val="auto"/>
                <w:sz w:val="24"/>
                <w:szCs w:val="24"/>
                <w:lang w:eastAsia="zh-CN"/>
              </w:rPr>
              <w:t>（银行出具的缴税凭证或税务机关出具的证</w:t>
            </w:r>
            <w:r>
              <w:rPr>
                <w:rFonts w:ascii="Times New Roman" w:hAnsi="Times New Roman"/>
                <w:color w:val="auto"/>
                <w:spacing w:val="-4"/>
                <w:sz w:val="24"/>
                <w:szCs w:val="24"/>
                <w:lang w:eastAsia="zh-CN"/>
              </w:rPr>
              <w:t>明的复印件，并加盖本单位公章</w:t>
            </w:r>
            <w:r>
              <w:rPr>
                <w:rFonts w:ascii="Times New Roman" w:hAnsi="Times New Roman"/>
                <w:color w:val="auto"/>
                <w:spacing w:val="-17"/>
                <w:sz w:val="24"/>
                <w:szCs w:val="24"/>
                <w:lang w:eastAsia="zh-CN"/>
              </w:rPr>
              <w:t>）</w:t>
            </w:r>
            <w:r>
              <w:rPr>
                <w:rFonts w:ascii="Times New Roman" w:hAnsi="Times New Roman"/>
                <w:color w:val="auto"/>
                <w:sz w:val="24"/>
                <w:szCs w:val="24"/>
                <w:lang w:eastAsia="zh-CN"/>
              </w:rPr>
              <w:t>或免税证明（复印件加盖公章）2.提供了招标文件</w:t>
            </w:r>
            <w:r>
              <w:rPr>
                <w:rFonts w:hint="eastAsia" w:ascii="Times New Roman" w:hAnsi="Times New Roman"/>
                <w:color w:val="auto"/>
                <w:sz w:val="24"/>
                <w:szCs w:val="24"/>
                <w:lang w:eastAsia="zh-CN"/>
              </w:rPr>
              <w:t>规定</w:t>
            </w:r>
            <w:r>
              <w:rPr>
                <w:rFonts w:ascii="Times New Roman" w:hAnsi="Times New Roman"/>
                <w:color w:val="auto"/>
                <w:sz w:val="24"/>
                <w:szCs w:val="24"/>
                <w:lang w:eastAsia="zh-CN"/>
              </w:rPr>
              <w:t>时间内的社</w:t>
            </w:r>
            <w:r>
              <w:rPr>
                <w:rFonts w:ascii="Times New Roman" w:hAnsi="Times New Roman"/>
                <w:color w:val="auto"/>
                <w:spacing w:val="-4"/>
                <w:sz w:val="24"/>
                <w:szCs w:val="24"/>
                <w:lang w:eastAsia="zh-CN"/>
              </w:rPr>
              <w:t>会保障资金缴纳记录</w:t>
            </w:r>
            <w:r>
              <w:rPr>
                <w:rFonts w:ascii="Times New Roman" w:hAnsi="Times New Roman"/>
                <w:color w:val="auto"/>
                <w:sz w:val="24"/>
                <w:szCs w:val="24"/>
                <w:lang w:eastAsia="zh-CN"/>
              </w:rPr>
              <w:t>（专用收据或社会保险缴纳清单</w:t>
            </w:r>
            <w:r>
              <w:rPr>
                <w:rFonts w:ascii="Times New Roman" w:hAnsi="Times New Roman"/>
                <w:color w:val="auto"/>
                <w:spacing w:val="-20"/>
                <w:sz w:val="24"/>
                <w:szCs w:val="24"/>
                <w:lang w:eastAsia="zh-CN"/>
              </w:rPr>
              <w:t>）</w:t>
            </w:r>
            <w:r>
              <w:rPr>
                <w:rFonts w:ascii="Times New Roman" w:hAnsi="Times New Roman"/>
                <w:color w:val="auto"/>
                <w:spacing w:val="-3"/>
                <w:sz w:val="24"/>
                <w:szCs w:val="24"/>
                <w:lang w:eastAsia="zh-CN"/>
              </w:rPr>
              <w:t>或免缴纳证明</w:t>
            </w:r>
            <w:r>
              <w:rPr>
                <w:rFonts w:ascii="Times New Roman" w:hAnsi="Times New Roman"/>
                <w:color w:val="auto"/>
                <w:sz w:val="24"/>
                <w:szCs w:val="24"/>
                <w:lang w:eastAsia="zh-CN"/>
              </w:rPr>
              <w:t>（复印件加盖公章）</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7</w:t>
            </w:r>
          </w:p>
        </w:tc>
        <w:tc>
          <w:tcPr>
            <w:tcW w:w="2631" w:type="dxa"/>
            <w:vAlign w:val="center"/>
          </w:tcPr>
          <w:p>
            <w:pPr>
              <w:pStyle w:val="52"/>
              <w:spacing w:line="300" w:lineRule="auto"/>
              <w:ind w:left="-106" w:leftChars="-48" w:right="95"/>
              <w:jc w:val="both"/>
              <w:rPr>
                <w:rFonts w:ascii="Times New Roman" w:hAnsi="Times New Roman"/>
                <w:color w:val="auto"/>
                <w:sz w:val="24"/>
                <w:szCs w:val="24"/>
                <w:lang w:eastAsia="zh-CN"/>
              </w:rPr>
            </w:pPr>
            <w:r>
              <w:rPr>
                <w:rFonts w:ascii="Times New Roman" w:hAnsi="Times New Roman"/>
                <w:color w:val="auto"/>
                <w:sz w:val="24"/>
                <w:szCs w:val="24"/>
                <w:lang w:eastAsia="zh-CN"/>
              </w:rPr>
              <w:t>参加政府采购活动前三年</w:t>
            </w:r>
            <w:r>
              <w:rPr>
                <w:rFonts w:ascii="Times New Roman" w:hAnsi="Times New Roman"/>
                <w:color w:val="auto"/>
                <w:spacing w:val="-11"/>
                <w:sz w:val="24"/>
                <w:szCs w:val="24"/>
                <w:lang w:eastAsia="zh-CN"/>
              </w:rPr>
              <w:t>内，在经营活动中没有重大</w:t>
            </w:r>
            <w:r>
              <w:rPr>
                <w:rFonts w:ascii="Times New Roman" w:hAnsi="Times New Roman"/>
                <w:color w:val="auto"/>
                <w:sz w:val="24"/>
                <w:szCs w:val="24"/>
                <w:lang w:eastAsia="zh-CN"/>
              </w:rPr>
              <w:t>违法记录</w:t>
            </w:r>
          </w:p>
        </w:tc>
        <w:tc>
          <w:tcPr>
            <w:tcW w:w="4427" w:type="dxa"/>
            <w:vAlign w:val="center"/>
          </w:tcPr>
          <w:p>
            <w:pPr>
              <w:pStyle w:val="52"/>
              <w:spacing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提供了有效的参加政府采购活动前</w:t>
            </w:r>
            <w:r>
              <w:rPr>
                <w:rFonts w:hint="eastAsia" w:ascii="Times New Roman" w:hAnsi="Times New Roman"/>
                <w:color w:val="auto"/>
                <w:sz w:val="24"/>
                <w:szCs w:val="24"/>
                <w:lang w:eastAsia="zh-CN"/>
              </w:rPr>
              <w:t>三</w:t>
            </w:r>
            <w:r>
              <w:rPr>
                <w:rFonts w:ascii="Times New Roman" w:hAnsi="Times New Roman"/>
                <w:color w:val="auto"/>
                <w:sz w:val="24"/>
                <w:szCs w:val="24"/>
                <w:lang w:eastAsia="zh-CN"/>
              </w:rPr>
              <w:t>年内在经营活动中没有重大违法记录的书面声明</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8</w:t>
            </w:r>
          </w:p>
        </w:tc>
        <w:tc>
          <w:tcPr>
            <w:tcW w:w="2631" w:type="dxa"/>
            <w:vAlign w:val="center"/>
          </w:tcPr>
          <w:p>
            <w:pPr>
              <w:pStyle w:val="52"/>
              <w:spacing w:line="300" w:lineRule="auto"/>
              <w:ind w:left="-106" w:leftChars="-48" w:right="95"/>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资质</w:t>
            </w:r>
          </w:p>
        </w:tc>
        <w:tc>
          <w:tcPr>
            <w:tcW w:w="4427" w:type="dxa"/>
            <w:vAlign w:val="center"/>
          </w:tcPr>
          <w:p>
            <w:pPr>
              <w:pStyle w:val="52"/>
              <w:spacing w:line="300" w:lineRule="auto"/>
              <w:ind w:left="-106" w:leftChars="-48" w:right="-97" w:rightChars="-44"/>
              <w:jc w:val="both"/>
              <w:rPr>
                <w:rFonts w:ascii="Times New Roman" w:hAnsi="Times New Roman"/>
                <w:color w:val="auto"/>
                <w:sz w:val="24"/>
                <w:szCs w:val="24"/>
                <w:lang w:eastAsia="zh-CN"/>
              </w:rPr>
            </w:pPr>
            <w:r>
              <w:rPr>
                <w:rFonts w:hint="eastAsia"/>
                <w:color w:val="auto"/>
                <w:kern w:val="2"/>
                <w:sz w:val="24"/>
                <w:lang w:eastAsia="zh-CN"/>
              </w:rPr>
              <w:t>营业执照（或经营许可文件）营业（或经营）范围须包括园林绿化施工或园林绿化养护等相关内容</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9</w:t>
            </w:r>
          </w:p>
        </w:tc>
        <w:tc>
          <w:tcPr>
            <w:tcW w:w="2631" w:type="dxa"/>
            <w:vAlign w:val="center"/>
          </w:tcPr>
          <w:p>
            <w:pPr>
              <w:pStyle w:val="52"/>
              <w:spacing w:before="163" w:line="300" w:lineRule="auto"/>
              <w:ind w:left="-106" w:leftChars="-48" w:right="258"/>
              <w:jc w:val="both"/>
              <w:rPr>
                <w:rFonts w:ascii="Times New Roman" w:hAnsi="Times New Roman"/>
                <w:color w:val="auto"/>
                <w:sz w:val="24"/>
                <w:szCs w:val="24"/>
              </w:rPr>
            </w:pPr>
            <w:r>
              <w:rPr>
                <w:rFonts w:hint="eastAsia" w:ascii="Times New Roman" w:hAnsi="Times New Roman"/>
                <w:color w:val="auto"/>
                <w:sz w:val="24"/>
                <w:szCs w:val="24"/>
                <w:lang w:eastAsia="zh-CN"/>
              </w:rPr>
              <w:t>“</w:t>
            </w:r>
            <w:r>
              <w:rPr>
                <w:rFonts w:ascii="Times New Roman" w:hAnsi="Times New Roman"/>
                <w:color w:val="auto"/>
                <w:sz w:val="24"/>
                <w:szCs w:val="24"/>
                <w:lang w:eastAsia="zh-CN"/>
              </w:rPr>
              <w:t>信用中国</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网站和中国政府采购网</w:t>
            </w:r>
            <w:r>
              <w:rPr>
                <w:rFonts w:ascii="Times New Roman" w:hAnsi="Times New Roman"/>
                <w:color w:val="auto"/>
                <w:sz w:val="24"/>
                <w:szCs w:val="24"/>
              </w:rPr>
              <w:t>（</w:t>
            </w:r>
            <w:r>
              <w:rPr>
                <w:color w:val="auto"/>
              </w:rPr>
              <w:fldChar w:fldCharType="begin"/>
            </w:r>
            <w:r>
              <w:rPr>
                <w:color w:val="auto"/>
              </w:rPr>
              <w:instrText xml:space="preserve"> HYPERLINK "http://www.ccgp.gov.cn/" \h </w:instrText>
            </w:r>
            <w:r>
              <w:rPr>
                <w:color w:val="auto"/>
              </w:rPr>
              <w:fldChar w:fldCharType="separate"/>
            </w:r>
            <w:r>
              <w:rPr>
                <w:rFonts w:ascii="Times New Roman" w:hAnsi="Times New Roman"/>
                <w:color w:val="auto"/>
                <w:sz w:val="24"/>
                <w:szCs w:val="24"/>
              </w:rPr>
              <w:t>www.ccgp.gov.cn</w:t>
            </w:r>
            <w:r>
              <w:rPr>
                <w:rFonts w:ascii="Times New Roman" w:hAnsi="Times New Roman"/>
                <w:color w:val="auto"/>
                <w:sz w:val="24"/>
                <w:szCs w:val="24"/>
              </w:rPr>
              <w:fldChar w:fldCharType="end"/>
            </w:r>
            <w:r>
              <w:rPr>
                <w:rFonts w:ascii="Times New Roman" w:hAnsi="Times New Roman"/>
                <w:color w:val="auto"/>
                <w:sz w:val="24"/>
                <w:szCs w:val="24"/>
              </w:rPr>
              <w:t>）查询记录</w:t>
            </w:r>
          </w:p>
        </w:tc>
        <w:tc>
          <w:tcPr>
            <w:tcW w:w="4427" w:type="dxa"/>
            <w:vAlign w:val="center"/>
          </w:tcPr>
          <w:p>
            <w:pPr>
              <w:pStyle w:val="52"/>
              <w:wordWrap w:val="0"/>
              <w:spacing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未被</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信用中国</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网站（www.credit</w:t>
            </w:r>
            <w:r>
              <w:rPr>
                <w:rFonts w:ascii="Times New Roman" w:hAnsi="Times New Roman"/>
                <w:color w:val="auto"/>
                <w:spacing w:val="-1"/>
                <w:sz w:val="24"/>
                <w:szCs w:val="24"/>
                <w:lang w:eastAsia="zh-CN"/>
              </w:rPr>
              <w:t>c</w:t>
            </w:r>
            <w:r>
              <w:rPr>
                <w:rFonts w:ascii="Times New Roman" w:hAnsi="Times New Roman"/>
                <w:color w:val="auto"/>
                <w:sz w:val="24"/>
                <w:szCs w:val="24"/>
                <w:lang w:eastAsia="zh-CN"/>
              </w:rPr>
              <w:t>hin</w:t>
            </w:r>
            <w:r>
              <w:rPr>
                <w:rFonts w:ascii="Times New Roman" w:hAnsi="Times New Roman"/>
                <w:color w:val="auto"/>
                <w:spacing w:val="-1"/>
                <w:sz w:val="24"/>
                <w:szCs w:val="24"/>
                <w:lang w:eastAsia="zh-CN"/>
              </w:rPr>
              <w:t>a</w:t>
            </w:r>
            <w:r>
              <w:rPr>
                <w:rFonts w:ascii="Times New Roman" w:hAnsi="Times New Roman"/>
                <w:color w:val="auto"/>
                <w:sz w:val="24"/>
                <w:szCs w:val="24"/>
                <w:lang w:eastAsia="zh-CN"/>
              </w:rPr>
              <w:t>.go</w:t>
            </w:r>
            <w:r>
              <w:rPr>
                <w:rFonts w:ascii="Times New Roman" w:hAnsi="Times New Roman"/>
                <w:color w:val="auto"/>
                <w:spacing w:val="-12"/>
                <w:sz w:val="24"/>
                <w:szCs w:val="24"/>
                <w:lang w:eastAsia="zh-CN"/>
              </w:rPr>
              <w:t>v</w:t>
            </w:r>
            <w:r>
              <w:rPr>
                <w:rFonts w:ascii="Times New Roman" w:hAnsi="Times New Roman"/>
                <w:color w:val="auto"/>
                <w:spacing w:val="-3"/>
                <w:sz w:val="24"/>
                <w:szCs w:val="24"/>
                <w:lang w:eastAsia="zh-CN"/>
              </w:rPr>
              <w:t>.</w:t>
            </w:r>
            <w:r>
              <w:rPr>
                <w:rFonts w:ascii="Times New Roman" w:hAnsi="Times New Roman"/>
                <w:color w:val="auto"/>
                <w:spacing w:val="-1"/>
                <w:sz w:val="24"/>
                <w:szCs w:val="24"/>
                <w:lang w:eastAsia="zh-CN"/>
              </w:rPr>
              <w:t>c</w:t>
            </w:r>
            <w:r>
              <w:rPr>
                <w:rFonts w:ascii="Times New Roman" w:hAnsi="Times New Roman"/>
                <w:color w:val="auto"/>
                <w:sz w:val="24"/>
                <w:szCs w:val="24"/>
                <w:lang w:eastAsia="zh-CN"/>
              </w:rPr>
              <w:t>n</w:t>
            </w:r>
            <w:r>
              <w:rPr>
                <w:rFonts w:ascii="Times New Roman" w:hAnsi="Times New Roman"/>
                <w:color w:val="auto"/>
                <w:spacing w:val="-113"/>
                <w:sz w:val="24"/>
                <w:szCs w:val="24"/>
                <w:lang w:eastAsia="zh-CN"/>
              </w:rPr>
              <w:t>）</w:t>
            </w:r>
            <w:r>
              <w:rPr>
                <w:rFonts w:ascii="Times New Roman" w:hAnsi="Times New Roman"/>
                <w:color w:val="auto"/>
                <w:sz w:val="24"/>
                <w:szCs w:val="24"/>
                <w:lang w:eastAsia="zh-CN"/>
              </w:rPr>
              <w:t>中列入失信被执行人或重大税收违法案件当事人名单的供应商、未被中国政府采购网</w:t>
            </w:r>
            <w:r>
              <w:rPr>
                <w:rFonts w:ascii="Times New Roman" w:hAnsi="Times New Roman"/>
                <w:color w:val="auto"/>
                <w:spacing w:val="-6"/>
                <w:sz w:val="24"/>
                <w:szCs w:val="24"/>
                <w:lang w:eastAsia="zh-CN"/>
              </w:rPr>
              <w:t>（</w:t>
            </w:r>
            <w:bookmarkStart w:id="256" w:name="OLE_LINK2"/>
            <w:bookmarkStart w:id="257" w:name="OLE_LINK3"/>
            <w:r>
              <w:rPr>
                <w:color w:val="auto"/>
              </w:rPr>
              <w:fldChar w:fldCharType="begin"/>
            </w:r>
            <w:r>
              <w:rPr>
                <w:color w:val="auto"/>
                <w:lang w:eastAsia="zh-CN"/>
              </w:rPr>
              <w:instrText xml:space="preserve"> HYPERLINK "http://www.ccgp.gov.cn/" \h </w:instrText>
            </w:r>
            <w:r>
              <w:rPr>
                <w:color w:val="auto"/>
              </w:rPr>
              <w:fldChar w:fldCharType="separate"/>
            </w:r>
            <w:r>
              <w:rPr>
                <w:rFonts w:ascii="Times New Roman" w:hAnsi="Times New Roman"/>
                <w:color w:val="auto"/>
                <w:spacing w:val="-6"/>
                <w:sz w:val="24"/>
                <w:szCs w:val="24"/>
                <w:lang w:eastAsia="zh-CN"/>
              </w:rPr>
              <w:t>www.ccgp.gov.cn</w:t>
            </w:r>
            <w:r>
              <w:rPr>
                <w:rFonts w:ascii="Times New Roman" w:hAnsi="Times New Roman"/>
                <w:color w:val="auto"/>
                <w:spacing w:val="-6"/>
                <w:sz w:val="24"/>
                <w:szCs w:val="24"/>
                <w:lang w:eastAsia="zh-CN"/>
              </w:rPr>
              <w:fldChar w:fldCharType="end"/>
            </w:r>
            <w:bookmarkEnd w:id="256"/>
            <w:bookmarkEnd w:id="257"/>
            <w:r>
              <w:rPr>
                <w:rFonts w:ascii="Times New Roman" w:hAnsi="Times New Roman"/>
                <w:color w:val="auto"/>
                <w:spacing w:val="-6"/>
                <w:sz w:val="24"/>
                <w:szCs w:val="24"/>
                <w:lang w:eastAsia="zh-CN"/>
              </w:rPr>
              <w:t>）</w:t>
            </w:r>
            <w:r>
              <w:rPr>
                <w:rFonts w:ascii="Times New Roman" w:hAnsi="Times New Roman"/>
                <w:color w:val="auto"/>
                <w:sz w:val="24"/>
                <w:szCs w:val="24"/>
                <w:lang w:eastAsia="zh-CN"/>
              </w:rPr>
              <w:t>列入政府采购严重违法失信行为记录名单</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10</w:t>
            </w:r>
          </w:p>
        </w:tc>
        <w:tc>
          <w:tcPr>
            <w:tcW w:w="2631" w:type="dxa"/>
            <w:vAlign w:val="center"/>
          </w:tcPr>
          <w:p>
            <w:pPr>
              <w:pStyle w:val="52"/>
              <w:spacing w:before="156" w:line="300" w:lineRule="auto"/>
              <w:ind w:left="-106" w:leftChars="-48" w:right="95"/>
              <w:jc w:val="both"/>
              <w:rPr>
                <w:rFonts w:ascii="Times New Roman" w:hAnsi="Times New Roman"/>
                <w:color w:val="auto"/>
                <w:sz w:val="24"/>
                <w:szCs w:val="24"/>
                <w:lang w:eastAsia="zh-CN"/>
              </w:rPr>
            </w:pPr>
            <w:r>
              <w:rPr>
                <w:rFonts w:ascii="Times New Roman" w:hAnsi="Times New Roman"/>
                <w:color w:val="auto"/>
                <w:sz w:val="24"/>
                <w:szCs w:val="24"/>
                <w:lang w:eastAsia="zh-CN"/>
              </w:rPr>
              <w:t>单位负责人为同一人或者</w:t>
            </w:r>
            <w:r>
              <w:rPr>
                <w:rFonts w:ascii="Times New Roman" w:hAnsi="Times New Roman"/>
                <w:color w:val="auto"/>
                <w:spacing w:val="-11"/>
                <w:sz w:val="24"/>
                <w:szCs w:val="24"/>
                <w:lang w:eastAsia="zh-CN"/>
              </w:rPr>
              <w:t>存在控股、管理关系的不同</w:t>
            </w:r>
            <w:r>
              <w:rPr>
                <w:rFonts w:ascii="Times New Roman" w:hAnsi="Times New Roman"/>
                <w:color w:val="auto"/>
                <w:spacing w:val="-13"/>
                <w:sz w:val="24"/>
                <w:szCs w:val="24"/>
                <w:lang w:eastAsia="zh-CN"/>
              </w:rPr>
              <w:t>单位，不得同时参加本项目的投标</w:t>
            </w:r>
          </w:p>
        </w:tc>
        <w:tc>
          <w:tcPr>
            <w:tcW w:w="4427" w:type="dxa"/>
            <w:vAlign w:val="center"/>
          </w:tcPr>
          <w:p>
            <w:pPr>
              <w:pStyle w:val="52"/>
              <w:spacing w:before="2"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提供了</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投标人控股股东名称、控股公司的名称和存在管理、被管理关系的单位名称说明</w:t>
            </w:r>
            <w:r>
              <w:rPr>
                <w:rFonts w:hint="eastAsia" w:ascii="Times New Roman" w:hAnsi="Times New Roman"/>
                <w:color w:val="auto"/>
                <w:sz w:val="24"/>
                <w:szCs w:val="24"/>
                <w:lang w:eastAsia="zh-CN"/>
              </w:rPr>
              <w:t>”</w:t>
            </w:r>
            <w:r>
              <w:rPr>
                <w:rFonts w:ascii="Times New Roman" w:hAnsi="Times New Roman"/>
                <w:color w:val="auto"/>
                <w:sz w:val="24"/>
                <w:szCs w:val="24"/>
                <w:lang w:eastAsia="zh-CN"/>
              </w:rPr>
              <w:t>。各投标人之间不存在单位负责人为同一人或者存在控股、管理关系情形</w:t>
            </w:r>
          </w:p>
        </w:tc>
        <w:tc>
          <w:tcPr>
            <w:tcW w:w="783" w:type="dxa"/>
            <w:vAlign w:val="center"/>
          </w:tcPr>
          <w:p>
            <w:pPr>
              <w:pStyle w:val="52"/>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line="300" w:lineRule="auto"/>
              <w:jc w:val="center"/>
              <w:rPr>
                <w:rFonts w:ascii="Times New Roman" w:hAnsi="Times New Roman"/>
                <w:b/>
                <w:color w:val="auto"/>
                <w:sz w:val="24"/>
                <w:szCs w:val="24"/>
                <w:lang w:eastAsia="zh-CN"/>
              </w:rPr>
            </w:pPr>
            <w:r>
              <w:rPr>
                <w:rFonts w:hint="eastAsia" w:ascii="Times New Roman" w:hAnsi="Times New Roman"/>
                <w:color w:val="auto"/>
                <w:sz w:val="24"/>
                <w:szCs w:val="24"/>
                <w:lang w:eastAsia="zh-CN"/>
              </w:rPr>
              <w:t>11</w:t>
            </w:r>
          </w:p>
        </w:tc>
        <w:tc>
          <w:tcPr>
            <w:tcW w:w="2631" w:type="dxa"/>
            <w:vAlign w:val="center"/>
          </w:tcPr>
          <w:p>
            <w:pPr>
              <w:pStyle w:val="52"/>
              <w:spacing w:before="156" w:line="300" w:lineRule="auto"/>
              <w:ind w:left="-106" w:leftChars="-48" w:right="95"/>
              <w:jc w:val="both"/>
              <w:rPr>
                <w:rFonts w:ascii="Times New Roman" w:hAnsi="Times New Roman"/>
                <w:color w:val="auto"/>
                <w:sz w:val="24"/>
                <w:szCs w:val="24"/>
                <w:lang w:eastAsia="zh-CN"/>
              </w:rPr>
            </w:pPr>
            <w:r>
              <w:rPr>
                <w:rFonts w:ascii="Times New Roman" w:hAnsi="Times New Roman"/>
                <w:color w:val="auto"/>
                <w:spacing w:val="-10"/>
                <w:sz w:val="24"/>
                <w:szCs w:val="24"/>
                <w:lang w:eastAsia="zh-CN"/>
              </w:rPr>
              <w:t>为本项目提供整体设计、规范编制或者项目管理、监理、检测等服务的</w:t>
            </w:r>
          </w:p>
        </w:tc>
        <w:tc>
          <w:tcPr>
            <w:tcW w:w="4427" w:type="dxa"/>
            <w:vAlign w:val="center"/>
          </w:tcPr>
          <w:p>
            <w:pPr>
              <w:pStyle w:val="52"/>
              <w:spacing w:before="2" w:line="300" w:lineRule="auto"/>
              <w:ind w:left="-106" w:leftChars="-48" w:right="-97" w:rightChars="-44"/>
              <w:jc w:val="both"/>
              <w:rPr>
                <w:rFonts w:ascii="Times New Roman" w:hAnsi="Times New Roman"/>
                <w:color w:val="auto"/>
                <w:sz w:val="24"/>
                <w:szCs w:val="24"/>
                <w:lang w:eastAsia="zh-CN"/>
              </w:rPr>
            </w:pPr>
            <w:r>
              <w:rPr>
                <w:rFonts w:ascii="Times New Roman" w:hAnsi="Times New Roman"/>
                <w:color w:val="auto"/>
                <w:sz w:val="24"/>
                <w:szCs w:val="24"/>
                <w:lang w:eastAsia="zh-CN"/>
              </w:rPr>
              <w:t>提供了投标人未为本项目提供整体</w:t>
            </w:r>
            <w:r>
              <w:rPr>
                <w:rFonts w:ascii="Times New Roman" w:hAnsi="Times New Roman"/>
                <w:color w:val="auto"/>
                <w:spacing w:val="-10"/>
                <w:sz w:val="24"/>
                <w:szCs w:val="24"/>
                <w:lang w:eastAsia="zh-CN"/>
              </w:rPr>
              <w:t>设计、规范编制或者项目管理、监理、检测等服务的声明或承诺</w:t>
            </w:r>
          </w:p>
        </w:tc>
        <w:tc>
          <w:tcPr>
            <w:tcW w:w="783" w:type="dxa"/>
            <w:vAlign w:val="center"/>
          </w:tcPr>
          <w:p>
            <w:pPr>
              <w:pStyle w:val="10"/>
              <w:spacing w:line="300" w:lineRule="auto"/>
              <w:jc w:val="both"/>
              <w:rPr>
                <w:rFonts w:ascii="Times New Roman" w:hAnsi="Times New Roman"/>
                <w:color w:val="auto"/>
                <w:sz w:val="21"/>
                <w:szCs w:val="21"/>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584" w:type="dxa"/>
            <w:vAlign w:val="center"/>
          </w:tcPr>
          <w:p>
            <w:pPr>
              <w:pStyle w:val="52"/>
              <w:spacing w:before="31"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12</w:t>
            </w:r>
          </w:p>
        </w:tc>
        <w:tc>
          <w:tcPr>
            <w:tcW w:w="7058" w:type="dxa"/>
            <w:gridSpan w:val="2"/>
            <w:vAlign w:val="center"/>
          </w:tcPr>
          <w:p>
            <w:pPr>
              <w:pStyle w:val="52"/>
              <w:spacing w:before="15" w:line="300" w:lineRule="auto"/>
              <w:ind w:left="106"/>
              <w:jc w:val="center"/>
              <w:rPr>
                <w:rFonts w:ascii="Times New Roman" w:hAnsi="Times New Roman"/>
                <w:color w:val="auto"/>
                <w:sz w:val="24"/>
                <w:szCs w:val="24"/>
                <w:lang w:eastAsia="zh-CN"/>
              </w:rPr>
            </w:pPr>
            <w:r>
              <w:rPr>
                <w:rFonts w:ascii="Times New Roman" w:hAnsi="Times New Roman"/>
                <w:color w:val="auto"/>
                <w:spacing w:val="-11"/>
                <w:sz w:val="24"/>
                <w:szCs w:val="24"/>
                <w:lang w:eastAsia="zh-CN"/>
              </w:rPr>
              <w:t>法律、行政法规规定的其他条件</w:t>
            </w:r>
          </w:p>
        </w:tc>
        <w:tc>
          <w:tcPr>
            <w:tcW w:w="783" w:type="dxa"/>
            <w:vAlign w:val="center"/>
          </w:tcPr>
          <w:p>
            <w:pPr>
              <w:pStyle w:val="52"/>
              <w:spacing w:line="300" w:lineRule="auto"/>
              <w:jc w:val="both"/>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7642" w:type="dxa"/>
            <w:gridSpan w:val="3"/>
            <w:vAlign w:val="center"/>
          </w:tcPr>
          <w:p>
            <w:pPr>
              <w:pStyle w:val="52"/>
              <w:spacing w:before="15" w:line="300" w:lineRule="auto"/>
              <w:ind w:left="106"/>
              <w:jc w:val="center"/>
              <w:rPr>
                <w:rFonts w:ascii="Times New Roman" w:hAnsi="Times New Roman"/>
                <w:color w:val="auto"/>
                <w:spacing w:val="-11"/>
                <w:sz w:val="24"/>
                <w:szCs w:val="24"/>
                <w:lang w:eastAsia="zh-CN"/>
              </w:rPr>
            </w:pPr>
            <w:r>
              <w:rPr>
                <w:rFonts w:ascii="Times New Roman" w:hAnsi="Times New Roman"/>
                <w:b/>
                <w:color w:val="auto"/>
                <w:sz w:val="24"/>
                <w:szCs w:val="24"/>
                <w:lang w:eastAsia="zh-CN"/>
              </w:rPr>
              <w:t>结论（通过或未通过）</w:t>
            </w:r>
          </w:p>
        </w:tc>
        <w:tc>
          <w:tcPr>
            <w:tcW w:w="783" w:type="dxa"/>
            <w:vAlign w:val="center"/>
          </w:tcPr>
          <w:p>
            <w:pPr>
              <w:pStyle w:val="52"/>
              <w:spacing w:line="300" w:lineRule="auto"/>
              <w:jc w:val="both"/>
              <w:rPr>
                <w:rFonts w:ascii="Times New Roman" w:hAnsi="Times New Roman"/>
                <w:color w:val="auto"/>
                <w:sz w:val="24"/>
                <w:szCs w:val="24"/>
                <w:lang w:eastAsia="zh-CN"/>
              </w:rPr>
            </w:pPr>
          </w:p>
        </w:tc>
      </w:tr>
    </w:tbl>
    <w:p>
      <w:pPr>
        <w:spacing w:before="1"/>
        <w:ind w:left="-849" w:leftChars="-386" w:firstLine="960" w:firstLineChars="400"/>
        <w:rPr>
          <w:rFonts w:ascii="Times New Roman" w:hAnsi="Times New Roman"/>
          <w:color w:val="auto"/>
          <w:sz w:val="24"/>
          <w:szCs w:val="24"/>
          <w:lang w:eastAsia="zh-CN"/>
        </w:rPr>
      </w:pPr>
    </w:p>
    <w:p>
      <w:pPr>
        <w:spacing w:before="1"/>
        <w:ind w:left="-849" w:leftChars="-386" w:firstLine="960" w:firstLineChars="400"/>
        <w:rPr>
          <w:rFonts w:ascii="Times New Roman" w:hAnsi="Times New Roman"/>
          <w:color w:val="auto"/>
          <w:sz w:val="24"/>
          <w:szCs w:val="24"/>
          <w:lang w:eastAsia="zh-CN"/>
        </w:rPr>
      </w:pPr>
      <w:r>
        <w:rPr>
          <w:rFonts w:hint="eastAsia" w:ascii="Times New Roman" w:hAnsi="Times New Roman"/>
          <w:color w:val="auto"/>
          <w:sz w:val="24"/>
          <w:szCs w:val="24"/>
          <w:lang w:eastAsia="zh-CN"/>
        </w:rPr>
        <w:t>采购代理机构盖章：</w:t>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 xml:space="preserve">                                   日期：    年  月  日</w:t>
      </w:r>
    </w:p>
    <w:p>
      <w:pPr>
        <w:spacing w:line="360" w:lineRule="auto"/>
        <w:rPr>
          <w:rFonts w:ascii="Times New Roman" w:hAnsi="Times New Roman" w:cs="Arial"/>
          <w:color w:val="auto"/>
          <w:sz w:val="24"/>
          <w:lang w:eastAsia="zh-CN"/>
        </w:rPr>
      </w:pPr>
    </w:p>
    <w:p>
      <w:pPr>
        <w:pStyle w:val="12"/>
        <w:rPr>
          <w:rFonts w:ascii="Times New Roman" w:hAnsi="Times New Roman"/>
          <w:color w:val="auto"/>
          <w:lang w:eastAsia="zh-CN"/>
        </w:rPr>
      </w:pPr>
      <w:bookmarkStart w:id="258" w:name="_Toc519323565"/>
      <w:bookmarkEnd w:id="258"/>
      <w:bookmarkStart w:id="259" w:name="_Toc519323952"/>
      <w:bookmarkEnd w:id="259"/>
      <w:bookmarkStart w:id="260" w:name="_Toc519323562"/>
      <w:bookmarkEnd w:id="260"/>
      <w:bookmarkStart w:id="261" w:name="_Toc519323951"/>
      <w:bookmarkEnd w:id="261"/>
      <w:bookmarkStart w:id="262" w:name="_Toc519323786"/>
      <w:bookmarkEnd w:id="262"/>
      <w:bookmarkStart w:id="263" w:name="_Toc519323656"/>
      <w:bookmarkEnd w:id="263"/>
      <w:bookmarkStart w:id="264" w:name="_Toc519323726"/>
      <w:bookmarkEnd w:id="264"/>
      <w:bookmarkStart w:id="265" w:name="_Toc519323727"/>
      <w:bookmarkEnd w:id="265"/>
      <w:bookmarkStart w:id="266" w:name="_Toc519323787"/>
      <w:bookmarkEnd w:id="266"/>
      <w:bookmarkStart w:id="267" w:name="_Toc519323567"/>
      <w:bookmarkEnd w:id="267"/>
      <w:bookmarkStart w:id="268" w:name="_Toc519323953"/>
      <w:bookmarkEnd w:id="268"/>
      <w:bookmarkStart w:id="269" w:name="_Toc519324010"/>
      <w:bookmarkEnd w:id="269"/>
      <w:bookmarkStart w:id="270" w:name="_Toc519327182"/>
      <w:bookmarkEnd w:id="270"/>
      <w:bookmarkStart w:id="271" w:name="_Toc519323660"/>
      <w:bookmarkEnd w:id="271"/>
      <w:bookmarkStart w:id="272" w:name="_Toc519323958"/>
      <w:bookmarkEnd w:id="272"/>
      <w:bookmarkStart w:id="273" w:name="_Toc519323662"/>
      <w:bookmarkEnd w:id="273"/>
      <w:bookmarkStart w:id="274" w:name="_Toc519323793"/>
      <w:bookmarkEnd w:id="274"/>
      <w:bookmarkStart w:id="275" w:name="_Toc519324004"/>
      <w:bookmarkEnd w:id="275"/>
      <w:bookmarkStart w:id="276" w:name="_Toc519323725"/>
      <w:bookmarkEnd w:id="276"/>
      <w:bookmarkStart w:id="277" w:name="_Toc519323563"/>
      <w:bookmarkEnd w:id="277"/>
      <w:bookmarkStart w:id="278" w:name="_Toc519324007"/>
      <w:bookmarkEnd w:id="278"/>
      <w:bookmarkStart w:id="279" w:name="_Toc519323731"/>
      <w:bookmarkEnd w:id="279"/>
      <w:bookmarkStart w:id="280" w:name="_Toc519327185"/>
      <w:bookmarkEnd w:id="280"/>
      <w:bookmarkStart w:id="281" w:name="_Toc519324006"/>
      <w:bookmarkEnd w:id="281"/>
      <w:bookmarkStart w:id="282" w:name="_Toc519323902"/>
      <w:bookmarkEnd w:id="282"/>
      <w:bookmarkStart w:id="283" w:name="_Toc519323569"/>
      <w:bookmarkEnd w:id="283"/>
      <w:bookmarkStart w:id="284" w:name="_Toc519327181"/>
      <w:bookmarkEnd w:id="284"/>
      <w:bookmarkStart w:id="285" w:name="_Toc519323904"/>
      <w:bookmarkEnd w:id="285"/>
      <w:bookmarkStart w:id="286" w:name="_Toc519323788"/>
      <w:bookmarkEnd w:id="286"/>
      <w:bookmarkStart w:id="287" w:name="_Toc519323899"/>
      <w:bookmarkEnd w:id="287"/>
      <w:bookmarkStart w:id="288" w:name="_Toc519323901"/>
      <w:bookmarkEnd w:id="288"/>
      <w:bookmarkStart w:id="289" w:name="_Toc519323728"/>
      <w:bookmarkEnd w:id="289"/>
      <w:bookmarkStart w:id="290" w:name="_Toc519323724"/>
      <w:bookmarkEnd w:id="290"/>
      <w:bookmarkStart w:id="291" w:name="_Toc519323954"/>
      <w:bookmarkEnd w:id="291"/>
      <w:bookmarkStart w:id="292" w:name="_Toc519323957"/>
      <w:bookmarkEnd w:id="292"/>
      <w:bookmarkStart w:id="293" w:name="_Toc519323789"/>
      <w:bookmarkEnd w:id="293"/>
      <w:bookmarkStart w:id="294" w:name="_Toc519323903"/>
      <w:bookmarkEnd w:id="294"/>
      <w:bookmarkStart w:id="295" w:name="_Toc519327178"/>
      <w:bookmarkEnd w:id="295"/>
      <w:bookmarkStart w:id="296" w:name="_Toc519323791"/>
      <w:bookmarkEnd w:id="296"/>
      <w:bookmarkStart w:id="297" w:name="_Toc519327179"/>
      <w:bookmarkEnd w:id="297"/>
      <w:bookmarkStart w:id="298" w:name="_Toc519323568"/>
      <w:bookmarkEnd w:id="298"/>
      <w:bookmarkStart w:id="299" w:name="_Toc519323659"/>
      <w:bookmarkEnd w:id="299"/>
      <w:bookmarkStart w:id="300" w:name="_Toc519327180"/>
      <w:bookmarkEnd w:id="300"/>
      <w:bookmarkStart w:id="301" w:name="_Toc519324012"/>
      <w:bookmarkEnd w:id="301"/>
      <w:bookmarkStart w:id="302" w:name="_Toc519323900"/>
      <w:bookmarkEnd w:id="302"/>
      <w:bookmarkStart w:id="303" w:name="_Toc519323733"/>
      <w:bookmarkEnd w:id="303"/>
      <w:bookmarkStart w:id="304" w:name="_Toc519324011"/>
      <w:bookmarkEnd w:id="304"/>
      <w:bookmarkStart w:id="305" w:name="_Toc519323667"/>
      <w:bookmarkEnd w:id="305"/>
      <w:bookmarkStart w:id="306" w:name="_Toc519323658"/>
      <w:bookmarkEnd w:id="306"/>
      <w:bookmarkStart w:id="307" w:name="_Toc519323898"/>
      <w:bookmarkEnd w:id="307"/>
      <w:bookmarkStart w:id="308" w:name="_Toc519323665"/>
      <w:bookmarkEnd w:id="308"/>
      <w:bookmarkStart w:id="309" w:name="_Toc519323960"/>
      <w:bookmarkEnd w:id="309"/>
      <w:bookmarkStart w:id="310" w:name="_Toc519323666"/>
      <w:bookmarkEnd w:id="310"/>
      <w:bookmarkStart w:id="311" w:name="_Toc519323663"/>
      <w:bookmarkEnd w:id="311"/>
      <w:bookmarkStart w:id="312" w:name="_Toc519323792"/>
      <w:bookmarkEnd w:id="312"/>
      <w:bookmarkStart w:id="313" w:name="_Toc519324009"/>
      <w:bookmarkEnd w:id="313"/>
      <w:bookmarkStart w:id="314" w:name="_Toc519323734"/>
      <w:bookmarkEnd w:id="314"/>
      <w:bookmarkStart w:id="315" w:name="_Toc519323905"/>
      <w:bookmarkEnd w:id="315"/>
      <w:bookmarkStart w:id="316" w:name="_Toc519323570"/>
      <w:bookmarkEnd w:id="316"/>
      <w:bookmarkStart w:id="317" w:name="_Toc519323566"/>
      <w:bookmarkEnd w:id="317"/>
      <w:bookmarkStart w:id="318" w:name="_Toc519327186"/>
      <w:bookmarkEnd w:id="318"/>
      <w:bookmarkStart w:id="319" w:name="_Toc519327184"/>
      <w:bookmarkEnd w:id="319"/>
      <w:bookmarkStart w:id="320" w:name="_Toc519323959"/>
      <w:bookmarkEnd w:id="320"/>
      <w:bookmarkStart w:id="321" w:name="_Toc519323732"/>
      <w:bookmarkEnd w:id="321"/>
      <w:bookmarkStart w:id="322" w:name="_Toc519323657"/>
      <w:bookmarkEnd w:id="322"/>
      <w:bookmarkStart w:id="323" w:name="_Toc519323797"/>
      <w:bookmarkEnd w:id="323"/>
      <w:bookmarkStart w:id="324" w:name="_Toc519323661"/>
      <w:bookmarkEnd w:id="324"/>
      <w:bookmarkStart w:id="325" w:name="_Toc519323573"/>
      <w:bookmarkEnd w:id="325"/>
      <w:bookmarkStart w:id="326" w:name="_Toc519323955"/>
      <w:bookmarkEnd w:id="326"/>
      <w:bookmarkStart w:id="327" w:name="_Toc519323906"/>
      <w:bookmarkEnd w:id="327"/>
      <w:bookmarkStart w:id="328" w:name="_Toc519323576"/>
      <w:bookmarkEnd w:id="328"/>
      <w:bookmarkStart w:id="329" w:name="_Toc519324005"/>
      <w:bookmarkEnd w:id="329"/>
      <w:bookmarkStart w:id="330" w:name="_Toc519323794"/>
      <w:bookmarkEnd w:id="330"/>
      <w:bookmarkStart w:id="331" w:name="_Toc519327183"/>
      <w:bookmarkEnd w:id="331"/>
      <w:bookmarkStart w:id="332" w:name="_Toc519327187"/>
      <w:bookmarkEnd w:id="332"/>
      <w:bookmarkStart w:id="333" w:name="_Toc519323908"/>
      <w:bookmarkEnd w:id="333"/>
      <w:bookmarkStart w:id="334" w:name="_Toc519323795"/>
      <w:bookmarkEnd w:id="334"/>
      <w:bookmarkStart w:id="335" w:name="_Toc519323675"/>
      <w:bookmarkEnd w:id="335"/>
      <w:bookmarkStart w:id="336" w:name="_Toc519323582"/>
      <w:bookmarkEnd w:id="336"/>
      <w:bookmarkStart w:id="337" w:name="_Toc519323572"/>
      <w:bookmarkEnd w:id="337"/>
      <w:bookmarkStart w:id="338" w:name="_Toc519323670"/>
      <w:bookmarkEnd w:id="338"/>
      <w:bookmarkStart w:id="339" w:name="_Toc519323564"/>
      <w:bookmarkEnd w:id="339"/>
      <w:bookmarkStart w:id="340" w:name="_Toc519327189"/>
      <w:bookmarkEnd w:id="340"/>
      <w:bookmarkStart w:id="341" w:name="_Toc519324015"/>
      <w:bookmarkEnd w:id="341"/>
      <w:bookmarkStart w:id="342" w:name="_Toc519323571"/>
      <w:bookmarkEnd w:id="342"/>
      <w:bookmarkStart w:id="343" w:name="_Toc519323743"/>
      <w:bookmarkEnd w:id="343"/>
      <w:bookmarkStart w:id="344" w:name="_Toc519324013"/>
      <w:bookmarkEnd w:id="344"/>
      <w:bookmarkStart w:id="345" w:name="_Toc519323583"/>
      <w:bookmarkEnd w:id="345"/>
      <w:bookmarkStart w:id="346" w:name="_Toc519323970"/>
      <w:bookmarkEnd w:id="346"/>
      <w:bookmarkStart w:id="347" w:name="_Toc519327188"/>
      <w:bookmarkEnd w:id="347"/>
      <w:bookmarkStart w:id="348" w:name="_Toc519323801"/>
      <w:bookmarkEnd w:id="348"/>
      <w:bookmarkStart w:id="349" w:name="_Toc519323796"/>
      <w:bookmarkEnd w:id="349"/>
      <w:bookmarkStart w:id="350" w:name="_Toc519323907"/>
      <w:bookmarkEnd w:id="350"/>
      <w:bookmarkStart w:id="351" w:name="_Toc519324008"/>
      <w:bookmarkEnd w:id="351"/>
      <w:bookmarkStart w:id="352" w:name="_Toc519323917"/>
      <w:bookmarkEnd w:id="352"/>
      <w:bookmarkStart w:id="353" w:name="_Toc519323671"/>
      <w:bookmarkEnd w:id="353"/>
      <w:bookmarkStart w:id="354" w:name="_Toc519323729"/>
      <w:bookmarkEnd w:id="354"/>
      <w:bookmarkStart w:id="355" w:name="_Toc519323961"/>
      <w:bookmarkEnd w:id="355"/>
      <w:bookmarkStart w:id="356" w:name="_Toc519323956"/>
      <w:bookmarkEnd w:id="356"/>
      <w:bookmarkStart w:id="357" w:name="_Toc519323676"/>
      <w:bookmarkEnd w:id="357"/>
      <w:bookmarkStart w:id="358" w:name="_Toc519323581"/>
      <w:bookmarkEnd w:id="358"/>
      <w:bookmarkStart w:id="359" w:name="_Toc519324018"/>
      <w:bookmarkEnd w:id="359"/>
      <w:bookmarkStart w:id="360" w:name="_Toc519323800"/>
      <w:bookmarkEnd w:id="360"/>
      <w:bookmarkStart w:id="361" w:name="_Toc519324024"/>
      <w:bookmarkEnd w:id="361"/>
      <w:bookmarkStart w:id="362" w:name="_Toc519323909"/>
      <w:bookmarkEnd w:id="362"/>
      <w:bookmarkStart w:id="363" w:name="_Toc519323585"/>
      <w:bookmarkEnd w:id="363"/>
      <w:bookmarkStart w:id="364" w:name="_Toc519323586"/>
      <w:bookmarkEnd w:id="364"/>
      <w:bookmarkStart w:id="365" w:name="_Toc519323912"/>
      <w:bookmarkEnd w:id="365"/>
      <w:bookmarkStart w:id="366" w:name="_Toc519324019"/>
      <w:bookmarkEnd w:id="366"/>
      <w:bookmarkStart w:id="367" w:name="_Toc519323679"/>
      <w:bookmarkEnd w:id="367"/>
      <w:bookmarkStart w:id="368" w:name="_Toc519327202"/>
      <w:bookmarkEnd w:id="368"/>
      <w:bookmarkStart w:id="369" w:name="_Toc519323680"/>
      <w:bookmarkEnd w:id="369"/>
      <w:bookmarkStart w:id="370" w:name="_Toc519323739"/>
      <w:bookmarkEnd w:id="370"/>
      <w:bookmarkStart w:id="371" w:name="_Toc519324014"/>
      <w:bookmarkEnd w:id="371"/>
      <w:bookmarkStart w:id="372" w:name="_Toc519323810"/>
      <w:bookmarkEnd w:id="372"/>
      <w:bookmarkStart w:id="373" w:name="_Toc519323918"/>
      <w:bookmarkEnd w:id="373"/>
      <w:bookmarkStart w:id="374" w:name="_Toc519323790"/>
      <w:bookmarkEnd w:id="374"/>
      <w:bookmarkStart w:id="375" w:name="_Toc519327198"/>
      <w:bookmarkEnd w:id="375"/>
      <w:bookmarkStart w:id="376" w:name="_Toc519327203"/>
      <w:bookmarkEnd w:id="376"/>
      <w:bookmarkStart w:id="377" w:name="_Toc519323962"/>
      <w:bookmarkEnd w:id="377"/>
      <w:bookmarkStart w:id="378" w:name="_Toc519323749"/>
      <w:bookmarkEnd w:id="378"/>
      <w:bookmarkStart w:id="379" w:name="_Toc519323744"/>
      <w:bookmarkEnd w:id="379"/>
      <w:bookmarkStart w:id="380" w:name="_Toc519324025"/>
      <w:bookmarkEnd w:id="380"/>
      <w:bookmarkStart w:id="381" w:name="_Toc519323730"/>
      <w:bookmarkEnd w:id="381"/>
      <w:bookmarkStart w:id="382" w:name="_Toc519323811"/>
      <w:bookmarkEnd w:id="382"/>
      <w:bookmarkStart w:id="383" w:name="_Toc519327192"/>
      <w:bookmarkEnd w:id="383"/>
      <w:bookmarkStart w:id="384" w:name="_Toc519323913"/>
      <w:bookmarkEnd w:id="384"/>
      <w:bookmarkStart w:id="385" w:name="_Toc519323807"/>
      <w:bookmarkEnd w:id="385"/>
      <w:bookmarkStart w:id="386" w:name="_Toc519323974"/>
      <w:bookmarkEnd w:id="386"/>
      <w:bookmarkStart w:id="387" w:name="_Toc519323965"/>
      <w:bookmarkEnd w:id="387"/>
      <w:bookmarkStart w:id="388" w:name="_Toc519324023"/>
      <w:bookmarkEnd w:id="388"/>
      <w:bookmarkStart w:id="389" w:name="_Toc519323681"/>
      <w:bookmarkEnd w:id="389"/>
      <w:bookmarkStart w:id="390" w:name="_Toc519324029"/>
      <w:bookmarkEnd w:id="390"/>
      <w:bookmarkStart w:id="391" w:name="_Toc519323805"/>
      <w:bookmarkEnd w:id="391"/>
      <w:bookmarkStart w:id="392" w:name="_Toc519323735"/>
      <w:bookmarkEnd w:id="392"/>
      <w:bookmarkStart w:id="393" w:name="_Toc519327197"/>
      <w:bookmarkEnd w:id="393"/>
      <w:bookmarkStart w:id="394" w:name="_Toc519323745"/>
      <w:bookmarkEnd w:id="394"/>
      <w:bookmarkStart w:id="395" w:name="_Toc519323921"/>
      <w:bookmarkEnd w:id="395"/>
      <w:bookmarkStart w:id="396" w:name="_Toc519323971"/>
      <w:bookmarkEnd w:id="396"/>
      <w:bookmarkStart w:id="397" w:name="_Toc519323587"/>
      <w:bookmarkEnd w:id="397"/>
      <w:bookmarkStart w:id="398" w:name="_Toc519324028"/>
      <w:bookmarkEnd w:id="398"/>
      <w:bookmarkStart w:id="399" w:name="_Toc519323806"/>
      <w:bookmarkEnd w:id="399"/>
      <w:bookmarkStart w:id="400" w:name="_Toc519323966"/>
      <w:bookmarkEnd w:id="400"/>
      <w:bookmarkStart w:id="401" w:name="_Toc519323922"/>
      <w:bookmarkEnd w:id="401"/>
      <w:bookmarkStart w:id="402" w:name="_Toc519323972"/>
      <w:bookmarkEnd w:id="402"/>
      <w:bookmarkStart w:id="403" w:name="_Toc519323677"/>
      <w:bookmarkEnd w:id="403"/>
      <w:bookmarkStart w:id="404" w:name="_Toc519327201"/>
      <w:bookmarkEnd w:id="404"/>
      <w:bookmarkStart w:id="405" w:name="_Toc519323809"/>
      <w:bookmarkEnd w:id="405"/>
      <w:bookmarkStart w:id="406" w:name="_Toc519327193"/>
      <w:bookmarkEnd w:id="406"/>
      <w:bookmarkStart w:id="407" w:name="_Toc519323664"/>
      <w:bookmarkEnd w:id="407"/>
      <w:bookmarkStart w:id="408" w:name="_Toc519323923"/>
      <w:bookmarkEnd w:id="408"/>
      <w:bookmarkStart w:id="409" w:name="_Toc519323738"/>
      <w:bookmarkEnd w:id="409"/>
      <w:bookmarkStart w:id="410" w:name="_Toc519323747"/>
      <w:bookmarkEnd w:id="410"/>
      <w:bookmarkStart w:id="411" w:name="_Toc519323976"/>
      <w:bookmarkEnd w:id="411"/>
      <w:bookmarkStart w:id="412" w:name="_Toc519323919"/>
      <w:bookmarkEnd w:id="412"/>
      <w:bookmarkStart w:id="413" w:name="_Toc519327199"/>
      <w:bookmarkEnd w:id="413"/>
      <w:bookmarkStart w:id="414" w:name="_Toc519324027"/>
      <w:bookmarkEnd w:id="414"/>
      <w:bookmarkStart w:id="415" w:name="_Toc519323577"/>
      <w:bookmarkEnd w:id="415"/>
      <w:bookmarkStart w:id="416" w:name="_Toc519323975"/>
      <w:bookmarkEnd w:id="416"/>
      <w:bookmarkStart w:id="417" w:name="_Toc519323748"/>
      <w:bookmarkEnd w:id="417"/>
    </w:p>
    <w:p>
      <w:pPr>
        <w:tabs>
          <w:tab w:val="left" w:pos="4680"/>
        </w:tabs>
        <w:snapToGrid w:val="0"/>
        <w:spacing w:line="360" w:lineRule="auto"/>
        <w:rPr>
          <w:rFonts w:ascii="Times New Roman" w:hAnsi="Times New Roman"/>
          <w:color w:val="auto"/>
          <w:sz w:val="24"/>
          <w:szCs w:val="24"/>
          <w:lang w:eastAsia="zh-CN"/>
        </w:rPr>
        <w:sectPr>
          <w:footerReference r:id="rId5" w:type="default"/>
          <w:pgSz w:w="11906" w:h="16838"/>
          <w:pgMar w:top="1440" w:right="1797" w:bottom="1440" w:left="1797" w:header="851" w:footer="992" w:gutter="0"/>
          <w:cols w:space="425" w:num="1"/>
          <w:docGrid w:linePitch="312" w:charSpace="0"/>
        </w:sectPr>
      </w:pPr>
    </w:p>
    <w:p>
      <w:pPr>
        <w:pStyle w:val="4"/>
        <w:keepNext w:val="0"/>
        <w:keepLines w:val="0"/>
        <w:rPr>
          <w:rStyle w:val="64"/>
          <w:rFonts w:ascii="Times New Roman" w:hAnsi="Times New Roman"/>
          <w:b/>
          <w:bCs w:val="0"/>
          <w:color w:val="auto"/>
          <w:kern w:val="0"/>
          <w:szCs w:val="20"/>
        </w:rPr>
      </w:pPr>
      <w:bookmarkStart w:id="418" w:name="_Toc522884010"/>
      <w:r>
        <w:rPr>
          <w:rStyle w:val="64"/>
          <w:rFonts w:ascii="Times New Roman" w:hAnsi="Times New Roman"/>
          <w:b/>
          <w:bCs w:val="0"/>
          <w:color w:val="auto"/>
          <w:kern w:val="0"/>
          <w:szCs w:val="20"/>
        </w:rPr>
        <w:t>附表</w:t>
      </w:r>
      <w:r>
        <w:rPr>
          <w:rStyle w:val="64"/>
          <w:rFonts w:hint="eastAsia" w:ascii="Times New Roman" w:hAnsi="Times New Roman"/>
          <w:b/>
          <w:bCs w:val="0"/>
          <w:color w:val="auto"/>
          <w:kern w:val="0"/>
          <w:szCs w:val="20"/>
        </w:rPr>
        <w:t>2</w:t>
      </w:r>
      <w:r>
        <w:rPr>
          <w:rStyle w:val="64"/>
          <w:rFonts w:ascii="Times New Roman" w:hAnsi="Times New Roman"/>
          <w:b/>
          <w:bCs w:val="0"/>
          <w:color w:val="auto"/>
          <w:kern w:val="0"/>
          <w:szCs w:val="20"/>
        </w:rPr>
        <w:t>：评标委员会签到表</w:t>
      </w:r>
      <w:bookmarkEnd w:id="418"/>
    </w:p>
    <w:p>
      <w:pPr>
        <w:tabs>
          <w:tab w:val="left" w:pos="4680"/>
        </w:tabs>
        <w:spacing w:after="120" w:afterLines="50" w:line="300" w:lineRule="auto"/>
        <w:jc w:val="center"/>
        <w:rPr>
          <w:rFonts w:ascii="Times New Roman" w:hAnsi="Times New Roman" w:cs="Arial"/>
          <w:color w:val="auto"/>
          <w:sz w:val="24"/>
          <w:szCs w:val="24"/>
          <w:lang w:eastAsia="zh-CN"/>
        </w:rPr>
      </w:pPr>
      <w:r>
        <w:rPr>
          <w:rFonts w:ascii="Times New Roman" w:hAnsi="Times New Roman" w:cs="Arial"/>
          <w:color w:val="auto"/>
          <w:sz w:val="24"/>
          <w:szCs w:val="24"/>
          <w:lang w:eastAsia="zh-CN"/>
        </w:rPr>
        <w:t>评标委员会签到表</w:t>
      </w:r>
    </w:p>
    <w:p>
      <w:pPr>
        <w:tabs>
          <w:tab w:val="left" w:pos="4680"/>
        </w:tabs>
        <w:spacing w:after="120" w:afterLines="50" w:line="300" w:lineRule="auto"/>
        <w:rPr>
          <w:rFonts w:ascii="Times New Roman" w:hAnsi="Times New Roman" w:cs="Arial"/>
          <w:bCs/>
          <w:color w:val="auto"/>
          <w:sz w:val="24"/>
          <w:szCs w:val="24"/>
          <w:lang w:eastAsia="zh-CN"/>
        </w:rPr>
      </w:pPr>
      <w:r>
        <w:rPr>
          <w:rFonts w:hint="eastAsia" w:ascii="Times New Roman" w:hAnsi="Times New Roman" w:cs="Arial"/>
          <w:bCs/>
          <w:color w:val="auto"/>
          <w:sz w:val="24"/>
          <w:szCs w:val="24"/>
          <w:lang w:eastAsia="zh-CN"/>
        </w:rPr>
        <w:t>项目</w:t>
      </w:r>
      <w:r>
        <w:rPr>
          <w:rFonts w:ascii="Times New Roman" w:hAnsi="Times New Roman" w:cs="Arial"/>
          <w:bCs/>
          <w:color w:val="auto"/>
          <w:sz w:val="24"/>
          <w:szCs w:val="24"/>
          <w:lang w:eastAsia="zh-CN"/>
        </w:rPr>
        <w:t>名称：</w:t>
      </w:r>
      <w:r>
        <w:rPr>
          <w:rFonts w:hint="eastAsia" w:ascii="Times New Roman" w:hAnsi="Times New Roman" w:cs="Arial"/>
          <w:bCs/>
          <w:color w:val="auto"/>
          <w:sz w:val="24"/>
          <w:szCs w:val="24"/>
          <w:u w:val="single"/>
          <w:lang w:eastAsia="zh-CN"/>
        </w:rPr>
        <w:t xml:space="preserve"> </w:t>
      </w:r>
      <w:r>
        <w:rPr>
          <w:rFonts w:ascii="Times New Roman" w:hAnsi="Times New Roman" w:cs="Arial"/>
          <w:bCs/>
          <w:color w:val="auto"/>
          <w:sz w:val="24"/>
          <w:szCs w:val="24"/>
          <w:u w:val="single"/>
          <w:lang w:eastAsia="zh-CN"/>
        </w:rPr>
        <w:t xml:space="preserve">                            </w:t>
      </w:r>
      <w:r>
        <w:rPr>
          <w:rFonts w:hint="eastAsia" w:ascii="Times New Roman" w:hAnsi="Times New Roman" w:cs="Arial"/>
          <w:bCs/>
          <w:color w:val="auto"/>
          <w:sz w:val="24"/>
          <w:szCs w:val="24"/>
          <w:u w:val="single"/>
          <w:lang w:eastAsia="zh-CN"/>
        </w:rPr>
        <w:t xml:space="preserve"> </w:t>
      </w:r>
      <w:r>
        <w:rPr>
          <w:rFonts w:hint="eastAsia" w:ascii="Times New Roman" w:hAnsi="Times New Roman" w:cs="Arial"/>
          <w:bCs/>
          <w:color w:val="auto"/>
          <w:sz w:val="24"/>
          <w:szCs w:val="24"/>
          <w:lang w:eastAsia="zh-CN"/>
        </w:rPr>
        <w:t xml:space="preserve">                                                                                            </w:t>
      </w:r>
      <w:r>
        <w:rPr>
          <w:rFonts w:ascii="Times New Roman" w:hAnsi="Times New Roman" w:cs="Arial"/>
          <w:bCs/>
          <w:color w:val="auto"/>
          <w:sz w:val="24"/>
          <w:szCs w:val="24"/>
          <w:lang w:eastAsia="zh-CN"/>
        </w:rPr>
        <w:t>评标时间：</w:t>
      </w:r>
      <w:r>
        <w:rPr>
          <w:rFonts w:hint="eastAsia" w:ascii="Times New Roman" w:hAnsi="Times New Roman" w:cs="Arial"/>
          <w:bCs/>
          <w:color w:val="auto"/>
          <w:sz w:val="24"/>
          <w:szCs w:val="24"/>
          <w:u w:val="single"/>
          <w:lang w:eastAsia="zh-CN"/>
        </w:rPr>
        <w:t xml:space="preserve">      </w:t>
      </w:r>
      <w:r>
        <w:rPr>
          <w:rFonts w:hint="eastAsia" w:ascii="Times New Roman" w:hAnsi="Times New Roman" w:cs="Arial"/>
          <w:bCs/>
          <w:color w:val="auto"/>
          <w:sz w:val="24"/>
          <w:szCs w:val="24"/>
          <w:lang w:eastAsia="zh-CN"/>
        </w:rPr>
        <w:t>年</w:t>
      </w:r>
      <w:r>
        <w:rPr>
          <w:rFonts w:hint="eastAsia" w:ascii="Times New Roman" w:hAnsi="Times New Roman" w:cs="Arial"/>
          <w:bCs/>
          <w:color w:val="auto"/>
          <w:sz w:val="24"/>
          <w:szCs w:val="24"/>
          <w:u w:val="single"/>
          <w:lang w:eastAsia="zh-CN"/>
        </w:rPr>
        <w:t xml:space="preserve">    </w:t>
      </w:r>
      <w:r>
        <w:rPr>
          <w:rFonts w:hint="eastAsia" w:ascii="Times New Roman" w:hAnsi="Times New Roman" w:cs="Arial"/>
          <w:bCs/>
          <w:color w:val="auto"/>
          <w:sz w:val="24"/>
          <w:szCs w:val="24"/>
          <w:lang w:eastAsia="zh-CN"/>
        </w:rPr>
        <w:t>月</w:t>
      </w:r>
      <w:r>
        <w:rPr>
          <w:rFonts w:hint="eastAsia" w:ascii="Times New Roman" w:hAnsi="Times New Roman" w:cs="Arial"/>
          <w:bCs/>
          <w:color w:val="auto"/>
          <w:sz w:val="24"/>
          <w:szCs w:val="24"/>
          <w:u w:val="single"/>
          <w:lang w:eastAsia="zh-CN"/>
        </w:rPr>
        <w:t xml:space="preserve">    </w:t>
      </w:r>
      <w:r>
        <w:rPr>
          <w:rFonts w:hint="eastAsia" w:ascii="Times New Roman" w:hAnsi="Times New Roman" w:cs="Arial"/>
          <w:bCs/>
          <w:color w:val="auto"/>
          <w:sz w:val="24"/>
          <w:szCs w:val="24"/>
          <w:lang w:eastAsia="zh-CN"/>
        </w:rPr>
        <w:t>日</w:t>
      </w:r>
    </w:p>
    <w:tbl>
      <w:tblPr>
        <w:tblStyle w:val="36"/>
        <w:tblW w:w="14040"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20"/>
        <w:gridCol w:w="1800"/>
        <w:gridCol w:w="1575"/>
        <w:gridCol w:w="4725"/>
        <w:gridCol w:w="2940"/>
        <w:gridCol w:w="22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20" w:type="dxa"/>
          </w:tcPr>
          <w:p>
            <w:pPr>
              <w:tabs>
                <w:tab w:val="left" w:pos="4680"/>
              </w:tabs>
              <w:spacing w:before="120" w:beforeLines="50" w:after="120" w:afterLines="50"/>
              <w:jc w:val="center"/>
              <w:rPr>
                <w:rFonts w:ascii="Times New Roman" w:hAnsi="Times New Roman" w:cs="Arial"/>
                <w:b/>
                <w:bCs/>
                <w:color w:val="auto"/>
                <w:sz w:val="24"/>
                <w:szCs w:val="24"/>
              </w:rPr>
            </w:pPr>
            <w:r>
              <w:rPr>
                <w:rFonts w:ascii="Times New Roman" w:hAnsi="Times New Roman" w:cs="Arial"/>
                <w:b/>
                <w:bCs/>
                <w:color w:val="auto"/>
                <w:sz w:val="24"/>
                <w:szCs w:val="24"/>
              </w:rPr>
              <w:t>序号</w:t>
            </w:r>
          </w:p>
        </w:tc>
        <w:tc>
          <w:tcPr>
            <w:tcW w:w="1800" w:type="dxa"/>
          </w:tcPr>
          <w:p>
            <w:pPr>
              <w:tabs>
                <w:tab w:val="left" w:pos="4680"/>
              </w:tabs>
              <w:spacing w:before="120" w:beforeLines="50" w:after="120" w:afterLines="50"/>
              <w:jc w:val="center"/>
              <w:rPr>
                <w:rFonts w:ascii="Times New Roman" w:hAnsi="Times New Roman" w:cs="Arial"/>
                <w:b/>
                <w:bCs/>
                <w:color w:val="auto"/>
                <w:sz w:val="24"/>
                <w:szCs w:val="24"/>
              </w:rPr>
            </w:pPr>
            <w:r>
              <w:rPr>
                <w:rFonts w:ascii="Times New Roman" w:hAnsi="Times New Roman" w:cs="Arial"/>
                <w:b/>
                <w:bCs/>
                <w:color w:val="auto"/>
                <w:sz w:val="24"/>
                <w:szCs w:val="24"/>
              </w:rPr>
              <w:t>姓名</w:t>
            </w:r>
          </w:p>
        </w:tc>
        <w:tc>
          <w:tcPr>
            <w:tcW w:w="1575" w:type="dxa"/>
          </w:tcPr>
          <w:p>
            <w:pPr>
              <w:tabs>
                <w:tab w:val="left" w:pos="4680"/>
              </w:tabs>
              <w:spacing w:before="120" w:beforeLines="50" w:after="120" w:afterLines="50"/>
              <w:jc w:val="center"/>
              <w:rPr>
                <w:rFonts w:ascii="Times New Roman" w:hAnsi="Times New Roman" w:cs="Arial"/>
                <w:b/>
                <w:bCs/>
                <w:color w:val="auto"/>
                <w:sz w:val="24"/>
                <w:szCs w:val="24"/>
              </w:rPr>
            </w:pPr>
            <w:r>
              <w:rPr>
                <w:rFonts w:ascii="Times New Roman" w:hAnsi="Times New Roman" w:cs="Arial"/>
                <w:b/>
                <w:bCs/>
                <w:color w:val="auto"/>
                <w:sz w:val="24"/>
                <w:szCs w:val="24"/>
              </w:rPr>
              <w:t>职称</w:t>
            </w:r>
          </w:p>
        </w:tc>
        <w:tc>
          <w:tcPr>
            <w:tcW w:w="4725" w:type="dxa"/>
          </w:tcPr>
          <w:p>
            <w:pPr>
              <w:tabs>
                <w:tab w:val="left" w:pos="4680"/>
              </w:tabs>
              <w:spacing w:before="120" w:beforeLines="50" w:after="120" w:afterLines="50"/>
              <w:jc w:val="center"/>
              <w:rPr>
                <w:rFonts w:ascii="Times New Roman" w:hAnsi="Times New Roman" w:cs="Arial"/>
                <w:b/>
                <w:bCs/>
                <w:color w:val="auto"/>
                <w:sz w:val="24"/>
                <w:szCs w:val="24"/>
              </w:rPr>
            </w:pPr>
            <w:r>
              <w:rPr>
                <w:rFonts w:ascii="Times New Roman" w:hAnsi="Times New Roman" w:cs="Arial"/>
                <w:b/>
                <w:bCs/>
                <w:color w:val="auto"/>
                <w:sz w:val="24"/>
                <w:szCs w:val="24"/>
              </w:rPr>
              <w:t>工作单位</w:t>
            </w:r>
          </w:p>
        </w:tc>
        <w:tc>
          <w:tcPr>
            <w:tcW w:w="2940" w:type="dxa"/>
          </w:tcPr>
          <w:p>
            <w:pPr>
              <w:tabs>
                <w:tab w:val="left" w:pos="4680"/>
              </w:tabs>
              <w:spacing w:before="120" w:beforeLines="50" w:after="120" w:afterLines="50"/>
              <w:jc w:val="center"/>
              <w:rPr>
                <w:rFonts w:ascii="Times New Roman" w:hAnsi="Times New Roman" w:cs="Arial"/>
                <w:b/>
                <w:bCs/>
                <w:color w:val="auto"/>
                <w:sz w:val="24"/>
                <w:szCs w:val="24"/>
              </w:rPr>
            </w:pPr>
            <w:r>
              <w:rPr>
                <w:rFonts w:hint="eastAsia" w:ascii="Times New Roman" w:hAnsi="Times New Roman" w:cs="Arial"/>
                <w:b/>
                <w:bCs/>
                <w:color w:val="auto"/>
                <w:sz w:val="24"/>
                <w:szCs w:val="24"/>
                <w:lang w:eastAsia="zh-CN"/>
              </w:rPr>
              <w:t>身份证号码</w:t>
            </w:r>
          </w:p>
        </w:tc>
        <w:tc>
          <w:tcPr>
            <w:tcW w:w="2280" w:type="dxa"/>
          </w:tcPr>
          <w:p>
            <w:pPr>
              <w:tabs>
                <w:tab w:val="left" w:pos="4680"/>
              </w:tabs>
              <w:spacing w:before="120" w:beforeLines="50" w:after="120" w:afterLines="50"/>
              <w:jc w:val="center"/>
              <w:rPr>
                <w:rFonts w:ascii="Times New Roman" w:hAnsi="Times New Roman" w:cs="Arial"/>
                <w:b/>
                <w:bCs/>
                <w:color w:val="auto"/>
                <w:sz w:val="24"/>
                <w:szCs w:val="24"/>
              </w:rPr>
            </w:pPr>
            <w:r>
              <w:rPr>
                <w:rFonts w:ascii="Times New Roman" w:hAnsi="Times New Roman" w:cs="Arial"/>
                <w:b/>
                <w:bCs/>
                <w:color w:val="auto"/>
                <w:sz w:val="24"/>
                <w:szCs w:val="24"/>
              </w:rPr>
              <w:t>签到时间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20" w:type="dxa"/>
          </w:tcPr>
          <w:p>
            <w:pPr>
              <w:tabs>
                <w:tab w:val="left" w:pos="4680"/>
              </w:tabs>
              <w:spacing w:before="120" w:beforeLines="50" w:after="120" w:afterLines="50"/>
              <w:jc w:val="center"/>
              <w:rPr>
                <w:rFonts w:ascii="Times New Roman" w:hAnsi="Times New Roman" w:cs="Arial"/>
                <w:bCs/>
                <w:color w:val="auto"/>
                <w:sz w:val="24"/>
                <w:szCs w:val="24"/>
              </w:rPr>
            </w:pPr>
            <w:r>
              <w:rPr>
                <w:rFonts w:ascii="Times New Roman" w:hAnsi="Times New Roman" w:cs="Arial"/>
                <w:bCs/>
                <w:color w:val="auto"/>
                <w:sz w:val="24"/>
                <w:szCs w:val="24"/>
              </w:rPr>
              <w:t>1</w:t>
            </w:r>
          </w:p>
        </w:tc>
        <w:tc>
          <w:tcPr>
            <w:tcW w:w="1800" w:type="dxa"/>
          </w:tcPr>
          <w:p>
            <w:pPr>
              <w:tabs>
                <w:tab w:val="left" w:pos="4680"/>
              </w:tabs>
              <w:spacing w:before="120" w:beforeLines="50" w:after="120" w:afterLines="50"/>
              <w:rPr>
                <w:rFonts w:ascii="Times New Roman" w:hAnsi="Times New Roman" w:cs="Arial"/>
                <w:bCs/>
                <w:color w:val="auto"/>
                <w:sz w:val="24"/>
                <w:szCs w:val="24"/>
              </w:rPr>
            </w:pPr>
          </w:p>
        </w:tc>
        <w:tc>
          <w:tcPr>
            <w:tcW w:w="1575" w:type="dxa"/>
          </w:tcPr>
          <w:p>
            <w:pPr>
              <w:tabs>
                <w:tab w:val="left" w:pos="4680"/>
              </w:tabs>
              <w:spacing w:before="120" w:beforeLines="50" w:after="120" w:afterLines="50"/>
              <w:rPr>
                <w:rFonts w:ascii="Times New Roman" w:hAnsi="Times New Roman" w:cs="Arial"/>
                <w:bCs/>
                <w:color w:val="auto"/>
                <w:sz w:val="24"/>
                <w:szCs w:val="24"/>
              </w:rPr>
            </w:pPr>
          </w:p>
        </w:tc>
        <w:tc>
          <w:tcPr>
            <w:tcW w:w="4725" w:type="dxa"/>
          </w:tcPr>
          <w:p>
            <w:pPr>
              <w:tabs>
                <w:tab w:val="left" w:pos="4680"/>
              </w:tabs>
              <w:spacing w:before="120" w:beforeLines="50" w:after="120" w:afterLines="50"/>
              <w:rPr>
                <w:rFonts w:ascii="Times New Roman" w:hAnsi="Times New Roman" w:cs="Arial"/>
                <w:bCs/>
                <w:color w:val="auto"/>
                <w:sz w:val="24"/>
                <w:szCs w:val="24"/>
              </w:rPr>
            </w:pPr>
          </w:p>
        </w:tc>
        <w:tc>
          <w:tcPr>
            <w:tcW w:w="2940" w:type="dxa"/>
          </w:tcPr>
          <w:p>
            <w:pPr>
              <w:tabs>
                <w:tab w:val="left" w:pos="4680"/>
              </w:tabs>
              <w:spacing w:before="120" w:beforeLines="50" w:after="120" w:afterLines="50"/>
              <w:rPr>
                <w:rFonts w:ascii="Times New Roman" w:hAnsi="Times New Roman" w:cs="Arial"/>
                <w:bCs/>
                <w:color w:val="auto"/>
                <w:sz w:val="24"/>
                <w:szCs w:val="24"/>
              </w:rPr>
            </w:pPr>
          </w:p>
        </w:tc>
        <w:tc>
          <w:tcPr>
            <w:tcW w:w="2280" w:type="dxa"/>
          </w:tcPr>
          <w:p>
            <w:pPr>
              <w:tabs>
                <w:tab w:val="left" w:pos="4680"/>
              </w:tabs>
              <w:spacing w:before="120" w:beforeLines="50" w:after="120" w:afterLines="50"/>
              <w:rPr>
                <w:rFonts w:ascii="Times New Roman" w:hAnsi="Times New Roman" w:cs="Arial"/>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20" w:type="dxa"/>
          </w:tcPr>
          <w:p>
            <w:pPr>
              <w:tabs>
                <w:tab w:val="left" w:pos="4680"/>
              </w:tabs>
              <w:spacing w:before="120" w:beforeLines="50" w:after="120" w:afterLines="50"/>
              <w:jc w:val="center"/>
              <w:rPr>
                <w:rFonts w:ascii="Times New Roman" w:hAnsi="Times New Roman" w:cs="Arial"/>
                <w:bCs/>
                <w:color w:val="auto"/>
                <w:sz w:val="24"/>
                <w:szCs w:val="24"/>
              </w:rPr>
            </w:pPr>
            <w:r>
              <w:rPr>
                <w:rFonts w:ascii="Times New Roman" w:hAnsi="Times New Roman" w:cs="Arial"/>
                <w:bCs/>
                <w:color w:val="auto"/>
                <w:sz w:val="24"/>
                <w:szCs w:val="24"/>
              </w:rPr>
              <w:t>2</w:t>
            </w:r>
          </w:p>
        </w:tc>
        <w:tc>
          <w:tcPr>
            <w:tcW w:w="1800" w:type="dxa"/>
          </w:tcPr>
          <w:p>
            <w:pPr>
              <w:tabs>
                <w:tab w:val="left" w:pos="4680"/>
              </w:tabs>
              <w:spacing w:before="120" w:beforeLines="50" w:after="120" w:afterLines="50"/>
              <w:rPr>
                <w:rFonts w:ascii="Times New Roman" w:hAnsi="Times New Roman" w:cs="Arial"/>
                <w:bCs/>
                <w:color w:val="auto"/>
                <w:sz w:val="24"/>
                <w:szCs w:val="24"/>
              </w:rPr>
            </w:pPr>
          </w:p>
        </w:tc>
        <w:tc>
          <w:tcPr>
            <w:tcW w:w="1575" w:type="dxa"/>
          </w:tcPr>
          <w:p>
            <w:pPr>
              <w:tabs>
                <w:tab w:val="left" w:pos="4680"/>
              </w:tabs>
              <w:spacing w:before="120" w:beforeLines="50" w:after="120" w:afterLines="50"/>
              <w:rPr>
                <w:rFonts w:ascii="Times New Roman" w:hAnsi="Times New Roman" w:cs="Arial"/>
                <w:bCs/>
                <w:color w:val="auto"/>
                <w:sz w:val="24"/>
                <w:szCs w:val="24"/>
              </w:rPr>
            </w:pPr>
          </w:p>
        </w:tc>
        <w:tc>
          <w:tcPr>
            <w:tcW w:w="4725" w:type="dxa"/>
          </w:tcPr>
          <w:p>
            <w:pPr>
              <w:tabs>
                <w:tab w:val="left" w:pos="4680"/>
              </w:tabs>
              <w:spacing w:before="120" w:beforeLines="50" w:after="120" w:afterLines="50"/>
              <w:rPr>
                <w:rFonts w:ascii="Times New Roman" w:hAnsi="Times New Roman" w:cs="Arial"/>
                <w:bCs/>
                <w:color w:val="auto"/>
                <w:sz w:val="24"/>
                <w:szCs w:val="24"/>
              </w:rPr>
            </w:pPr>
          </w:p>
        </w:tc>
        <w:tc>
          <w:tcPr>
            <w:tcW w:w="2940" w:type="dxa"/>
          </w:tcPr>
          <w:p>
            <w:pPr>
              <w:tabs>
                <w:tab w:val="left" w:pos="4680"/>
              </w:tabs>
              <w:spacing w:before="120" w:beforeLines="50" w:after="120" w:afterLines="50"/>
              <w:rPr>
                <w:rFonts w:ascii="Times New Roman" w:hAnsi="Times New Roman" w:cs="Arial"/>
                <w:bCs/>
                <w:color w:val="auto"/>
                <w:sz w:val="24"/>
                <w:szCs w:val="24"/>
              </w:rPr>
            </w:pPr>
          </w:p>
        </w:tc>
        <w:tc>
          <w:tcPr>
            <w:tcW w:w="2280" w:type="dxa"/>
          </w:tcPr>
          <w:p>
            <w:pPr>
              <w:tabs>
                <w:tab w:val="left" w:pos="4680"/>
              </w:tabs>
              <w:spacing w:before="120" w:beforeLines="50" w:after="120" w:afterLines="50"/>
              <w:rPr>
                <w:rFonts w:ascii="Times New Roman" w:hAnsi="Times New Roman" w:cs="Arial"/>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20" w:type="dxa"/>
          </w:tcPr>
          <w:p>
            <w:pPr>
              <w:tabs>
                <w:tab w:val="left" w:pos="4680"/>
              </w:tabs>
              <w:spacing w:before="120" w:beforeLines="50" w:after="120" w:afterLines="50"/>
              <w:jc w:val="center"/>
              <w:rPr>
                <w:rFonts w:ascii="Times New Roman" w:hAnsi="Times New Roman" w:cs="Arial"/>
                <w:bCs/>
                <w:color w:val="auto"/>
                <w:sz w:val="24"/>
                <w:szCs w:val="24"/>
              </w:rPr>
            </w:pPr>
            <w:r>
              <w:rPr>
                <w:rFonts w:ascii="Times New Roman" w:hAnsi="Times New Roman" w:cs="Arial"/>
                <w:bCs/>
                <w:color w:val="auto"/>
                <w:sz w:val="24"/>
                <w:szCs w:val="24"/>
              </w:rPr>
              <w:t>3</w:t>
            </w:r>
          </w:p>
        </w:tc>
        <w:tc>
          <w:tcPr>
            <w:tcW w:w="1800" w:type="dxa"/>
          </w:tcPr>
          <w:p>
            <w:pPr>
              <w:tabs>
                <w:tab w:val="left" w:pos="4680"/>
              </w:tabs>
              <w:spacing w:before="120" w:beforeLines="50" w:after="120" w:afterLines="50"/>
              <w:rPr>
                <w:rFonts w:ascii="Times New Roman" w:hAnsi="Times New Roman" w:cs="Arial"/>
                <w:bCs/>
                <w:color w:val="auto"/>
                <w:sz w:val="24"/>
                <w:szCs w:val="24"/>
              </w:rPr>
            </w:pPr>
          </w:p>
        </w:tc>
        <w:tc>
          <w:tcPr>
            <w:tcW w:w="1575" w:type="dxa"/>
          </w:tcPr>
          <w:p>
            <w:pPr>
              <w:tabs>
                <w:tab w:val="left" w:pos="4680"/>
              </w:tabs>
              <w:spacing w:before="120" w:beforeLines="50" w:after="120" w:afterLines="50"/>
              <w:rPr>
                <w:rFonts w:ascii="Times New Roman" w:hAnsi="Times New Roman" w:cs="Arial"/>
                <w:bCs/>
                <w:color w:val="auto"/>
                <w:sz w:val="24"/>
                <w:szCs w:val="24"/>
              </w:rPr>
            </w:pPr>
          </w:p>
        </w:tc>
        <w:tc>
          <w:tcPr>
            <w:tcW w:w="4725" w:type="dxa"/>
          </w:tcPr>
          <w:p>
            <w:pPr>
              <w:tabs>
                <w:tab w:val="left" w:pos="4680"/>
              </w:tabs>
              <w:spacing w:before="120" w:beforeLines="50" w:after="120" w:afterLines="50"/>
              <w:rPr>
                <w:rFonts w:ascii="Times New Roman" w:hAnsi="Times New Roman" w:cs="Arial"/>
                <w:bCs/>
                <w:color w:val="auto"/>
                <w:sz w:val="24"/>
                <w:szCs w:val="24"/>
              </w:rPr>
            </w:pPr>
          </w:p>
        </w:tc>
        <w:tc>
          <w:tcPr>
            <w:tcW w:w="2940" w:type="dxa"/>
          </w:tcPr>
          <w:p>
            <w:pPr>
              <w:tabs>
                <w:tab w:val="left" w:pos="4680"/>
              </w:tabs>
              <w:spacing w:before="120" w:beforeLines="50" w:after="120" w:afterLines="50"/>
              <w:rPr>
                <w:rFonts w:ascii="Times New Roman" w:hAnsi="Times New Roman" w:cs="Arial"/>
                <w:bCs/>
                <w:color w:val="auto"/>
                <w:sz w:val="24"/>
                <w:szCs w:val="24"/>
              </w:rPr>
            </w:pPr>
          </w:p>
        </w:tc>
        <w:tc>
          <w:tcPr>
            <w:tcW w:w="2280" w:type="dxa"/>
          </w:tcPr>
          <w:p>
            <w:pPr>
              <w:tabs>
                <w:tab w:val="left" w:pos="4680"/>
              </w:tabs>
              <w:spacing w:before="120" w:beforeLines="50" w:after="120" w:afterLines="50"/>
              <w:rPr>
                <w:rFonts w:ascii="Times New Roman" w:hAnsi="Times New Roman" w:cs="Arial"/>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20" w:type="dxa"/>
          </w:tcPr>
          <w:p>
            <w:pPr>
              <w:tabs>
                <w:tab w:val="left" w:pos="4680"/>
              </w:tabs>
              <w:spacing w:before="120" w:beforeLines="50" w:after="120" w:afterLines="50"/>
              <w:jc w:val="center"/>
              <w:rPr>
                <w:rFonts w:ascii="Times New Roman" w:hAnsi="Times New Roman" w:cs="Arial"/>
                <w:bCs/>
                <w:color w:val="auto"/>
                <w:sz w:val="24"/>
                <w:szCs w:val="24"/>
              </w:rPr>
            </w:pPr>
            <w:r>
              <w:rPr>
                <w:rFonts w:ascii="Times New Roman" w:hAnsi="Times New Roman" w:cs="Arial"/>
                <w:bCs/>
                <w:color w:val="auto"/>
                <w:sz w:val="24"/>
                <w:szCs w:val="24"/>
              </w:rPr>
              <w:t>4</w:t>
            </w:r>
          </w:p>
        </w:tc>
        <w:tc>
          <w:tcPr>
            <w:tcW w:w="1800" w:type="dxa"/>
          </w:tcPr>
          <w:p>
            <w:pPr>
              <w:tabs>
                <w:tab w:val="left" w:pos="4680"/>
              </w:tabs>
              <w:spacing w:before="120" w:beforeLines="50" w:after="120" w:afterLines="50"/>
              <w:rPr>
                <w:rFonts w:ascii="Times New Roman" w:hAnsi="Times New Roman" w:cs="Arial"/>
                <w:bCs/>
                <w:color w:val="auto"/>
                <w:sz w:val="24"/>
                <w:szCs w:val="24"/>
              </w:rPr>
            </w:pPr>
          </w:p>
        </w:tc>
        <w:tc>
          <w:tcPr>
            <w:tcW w:w="1575" w:type="dxa"/>
          </w:tcPr>
          <w:p>
            <w:pPr>
              <w:tabs>
                <w:tab w:val="left" w:pos="4680"/>
              </w:tabs>
              <w:spacing w:before="120" w:beforeLines="50" w:after="120" w:afterLines="50"/>
              <w:rPr>
                <w:rFonts w:ascii="Times New Roman" w:hAnsi="Times New Roman" w:cs="Arial"/>
                <w:bCs/>
                <w:color w:val="auto"/>
                <w:sz w:val="24"/>
                <w:szCs w:val="24"/>
              </w:rPr>
            </w:pPr>
          </w:p>
        </w:tc>
        <w:tc>
          <w:tcPr>
            <w:tcW w:w="4725" w:type="dxa"/>
          </w:tcPr>
          <w:p>
            <w:pPr>
              <w:tabs>
                <w:tab w:val="left" w:pos="4680"/>
              </w:tabs>
              <w:spacing w:before="120" w:beforeLines="50" w:after="120" w:afterLines="50"/>
              <w:rPr>
                <w:rFonts w:ascii="Times New Roman" w:hAnsi="Times New Roman" w:cs="Arial"/>
                <w:bCs/>
                <w:color w:val="auto"/>
                <w:sz w:val="24"/>
                <w:szCs w:val="24"/>
              </w:rPr>
            </w:pPr>
          </w:p>
        </w:tc>
        <w:tc>
          <w:tcPr>
            <w:tcW w:w="2940" w:type="dxa"/>
          </w:tcPr>
          <w:p>
            <w:pPr>
              <w:tabs>
                <w:tab w:val="left" w:pos="4680"/>
              </w:tabs>
              <w:spacing w:before="120" w:beforeLines="50" w:after="120" w:afterLines="50"/>
              <w:rPr>
                <w:rFonts w:ascii="Times New Roman" w:hAnsi="Times New Roman" w:cs="Arial"/>
                <w:bCs/>
                <w:color w:val="auto"/>
                <w:sz w:val="24"/>
                <w:szCs w:val="24"/>
              </w:rPr>
            </w:pPr>
          </w:p>
        </w:tc>
        <w:tc>
          <w:tcPr>
            <w:tcW w:w="2280" w:type="dxa"/>
          </w:tcPr>
          <w:p>
            <w:pPr>
              <w:tabs>
                <w:tab w:val="left" w:pos="4680"/>
              </w:tabs>
              <w:spacing w:before="120" w:beforeLines="50" w:after="120" w:afterLines="50"/>
              <w:rPr>
                <w:rFonts w:ascii="Times New Roman" w:hAnsi="Times New Roman" w:cs="Arial"/>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20" w:type="dxa"/>
          </w:tcPr>
          <w:p>
            <w:pPr>
              <w:tabs>
                <w:tab w:val="left" w:pos="4680"/>
              </w:tabs>
              <w:spacing w:before="120" w:beforeLines="50" w:after="120" w:afterLines="50"/>
              <w:jc w:val="center"/>
              <w:rPr>
                <w:rFonts w:ascii="Times New Roman" w:hAnsi="Times New Roman" w:cs="Arial"/>
                <w:bCs/>
                <w:color w:val="auto"/>
                <w:sz w:val="24"/>
                <w:szCs w:val="24"/>
              </w:rPr>
            </w:pPr>
            <w:r>
              <w:rPr>
                <w:rFonts w:ascii="Times New Roman" w:hAnsi="Times New Roman" w:cs="Arial"/>
                <w:bCs/>
                <w:color w:val="auto"/>
                <w:sz w:val="24"/>
                <w:szCs w:val="24"/>
              </w:rPr>
              <w:t>5</w:t>
            </w:r>
          </w:p>
        </w:tc>
        <w:tc>
          <w:tcPr>
            <w:tcW w:w="1800" w:type="dxa"/>
          </w:tcPr>
          <w:p>
            <w:pPr>
              <w:tabs>
                <w:tab w:val="left" w:pos="4680"/>
              </w:tabs>
              <w:spacing w:before="120" w:beforeLines="50" w:after="120" w:afterLines="50"/>
              <w:rPr>
                <w:rFonts w:ascii="Times New Roman" w:hAnsi="Times New Roman" w:cs="Arial"/>
                <w:bCs/>
                <w:color w:val="auto"/>
                <w:sz w:val="24"/>
                <w:szCs w:val="24"/>
              </w:rPr>
            </w:pPr>
          </w:p>
        </w:tc>
        <w:tc>
          <w:tcPr>
            <w:tcW w:w="1575" w:type="dxa"/>
          </w:tcPr>
          <w:p>
            <w:pPr>
              <w:tabs>
                <w:tab w:val="left" w:pos="4680"/>
              </w:tabs>
              <w:spacing w:before="120" w:beforeLines="50" w:after="120" w:afterLines="50"/>
              <w:rPr>
                <w:rFonts w:ascii="Times New Roman" w:hAnsi="Times New Roman" w:cs="Arial"/>
                <w:bCs/>
                <w:color w:val="auto"/>
                <w:sz w:val="24"/>
                <w:szCs w:val="24"/>
              </w:rPr>
            </w:pPr>
          </w:p>
        </w:tc>
        <w:tc>
          <w:tcPr>
            <w:tcW w:w="4725" w:type="dxa"/>
          </w:tcPr>
          <w:p>
            <w:pPr>
              <w:tabs>
                <w:tab w:val="left" w:pos="4680"/>
              </w:tabs>
              <w:spacing w:before="120" w:beforeLines="50" w:after="120" w:afterLines="50"/>
              <w:rPr>
                <w:rFonts w:ascii="Times New Roman" w:hAnsi="Times New Roman" w:cs="Arial"/>
                <w:bCs/>
                <w:color w:val="auto"/>
                <w:sz w:val="24"/>
                <w:szCs w:val="24"/>
              </w:rPr>
            </w:pPr>
          </w:p>
        </w:tc>
        <w:tc>
          <w:tcPr>
            <w:tcW w:w="2940" w:type="dxa"/>
          </w:tcPr>
          <w:p>
            <w:pPr>
              <w:tabs>
                <w:tab w:val="left" w:pos="4680"/>
              </w:tabs>
              <w:spacing w:before="120" w:beforeLines="50" w:after="120" w:afterLines="50"/>
              <w:rPr>
                <w:rFonts w:ascii="Times New Roman" w:hAnsi="Times New Roman" w:cs="Arial"/>
                <w:bCs/>
                <w:color w:val="auto"/>
                <w:sz w:val="24"/>
                <w:szCs w:val="24"/>
              </w:rPr>
            </w:pPr>
          </w:p>
        </w:tc>
        <w:tc>
          <w:tcPr>
            <w:tcW w:w="2280" w:type="dxa"/>
          </w:tcPr>
          <w:p>
            <w:pPr>
              <w:tabs>
                <w:tab w:val="left" w:pos="4680"/>
              </w:tabs>
              <w:spacing w:before="120" w:beforeLines="50" w:after="120" w:afterLines="50"/>
              <w:rPr>
                <w:rFonts w:ascii="Times New Roman" w:hAnsi="Times New Roman" w:cs="Arial"/>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20" w:type="dxa"/>
          </w:tcPr>
          <w:p>
            <w:pPr>
              <w:tabs>
                <w:tab w:val="left" w:pos="4680"/>
              </w:tabs>
              <w:spacing w:before="120" w:beforeLines="50" w:after="120" w:afterLines="50"/>
              <w:jc w:val="center"/>
              <w:rPr>
                <w:rFonts w:ascii="Times New Roman" w:hAnsi="Times New Roman" w:cs="Arial"/>
                <w:bCs/>
                <w:color w:val="auto"/>
                <w:sz w:val="24"/>
                <w:szCs w:val="24"/>
              </w:rPr>
            </w:pPr>
            <w:r>
              <w:rPr>
                <w:rFonts w:ascii="Times New Roman" w:hAnsi="Times New Roman" w:cs="Arial"/>
                <w:bCs/>
                <w:color w:val="auto"/>
                <w:sz w:val="24"/>
                <w:szCs w:val="24"/>
              </w:rPr>
              <w:t>6</w:t>
            </w:r>
          </w:p>
        </w:tc>
        <w:tc>
          <w:tcPr>
            <w:tcW w:w="1800" w:type="dxa"/>
          </w:tcPr>
          <w:p>
            <w:pPr>
              <w:tabs>
                <w:tab w:val="left" w:pos="4680"/>
              </w:tabs>
              <w:spacing w:before="120" w:beforeLines="50" w:after="120" w:afterLines="50"/>
              <w:rPr>
                <w:rFonts w:ascii="Times New Roman" w:hAnsi="Times New Roman" w:cs="Arial"/>
                <w:bCs/>
                <w:color w:val="auto"/>
                <w:sz w:val="24"/>
                <w:szCs w:val="24"/>
              </w:rPr>
            </w:pPr>
          </w:p>
        </w:tc>
        <w:tc>
          <w:tcPr>
            <w:tcW w:w="1575" w:type="dxa"/>
          </w:tcPr>
          <w:p>
            <w:pPr>
              <w:tabs>
                <w:tab w:val="left" w:pos="4680"/>
              </w:tabs>
              <w:spacing w:before="120" w:beforeLines="50" w:after="120" w:afterLines="50"/>
              <w:rPr>
                <w:rFonts w:ascii="Times New Roman" w:hAnsi="Times New Roman" w:cs="Arial"/>
                <w:bCs/>
                <w:color w:val="auto"/>
                <w:sz w:val="24"/>
                <w:szCs w:val="24"/>
              </w:rPr>
            </w:pPr>
          </w:p>
        </w:tc>
        <w:tc>
          <w:tcPr>
            <w:tcW w:w="4725" w:type="dxa"/>
          </w:tcPr>
          <w:p>
            <w:pPr>
              <w:tabs>
                <w:tab w:val="left" w:pos="4680"/>
              </w:tabs>
              <w:spacing w:before="120" w:beforeLines="50" w:after="120" w:afterLines="50"/>
              <w:rPr>
                <w:rFonts w:ascii="Times New Roman" w:hAnsi="Times New Roman" w:cs="Arial"/>
                <w:bCs/>
                <w:color w:val="auto"/>
                <w:sz w:val="24"/>
                <w:szCs w:val="24"/>
              </w:rPr>
            </w:pPr>
          </w:p>
        </w:tc>
        <w:tc>
          <w:tcPr>
            <w:tcW w:w="2940" w:type="dxa"/>
          </w:tcPr>
          <w:p>
            <w:pPr>
              <w:tabs>
                <w:tab w:val="left" w:pos="4680"/>
              </w:tabs>
              <w:spacing w:before="120" w:beforeLines="50" w:after="120" w:afterLines="50"/>
              <w:rPr>
                <w:rFonts w:ascii="Times New Roman" w:hAnsi="Times New Roman" w:cs="Arial"/>
                <w:bCs/>
                <w:color w:val="auto"/>
                <w:sz w:val="24"/>
                <w:szCs w:val="24"/>
              </w:rPr>
            </w:pPr>
          </w:p>
        </w:tc>
        <w:tc>
          <w:tcPr>
            <w:tcW w:w="2280" w:type="dxa"/>
          </w:tcPr>
          <w:p>
            <w:pPr>
              <w:tabs>
                <w:tab w:val="left" w:pos="4680"/>
              </w:tabs>
              <w:spacing w:before="120" w:beforeLines="50" w:after="120" w:afterLines="50"/>
              <w:rPr>
                <w:rFonts w:ascii="Times New Roman" w:hAnsi="Times New Roman" w:cs="Arial"/>
                <w:bCs/>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720" w:type="dxa"/>
          </w:tcPr>
          <w:p>
            <w:pPr>
              <w:tabs>
                <w:tab w:val="left" w:pos="4680"/>
              </w:tabs>
              <w:spacing w:before="120" w:beforeLines="50" w:after="120" w:afterLines="50"/>
              <w:jc w:val="center"/>
              <w:rPr>
                <w:rFonts w:ascii="Times New Roman" w:hAnsi="Times New Roman" w:cs="Arial"/>
                <w:bCs/>
                <w:color w:val="auto"/>
                <w:sz w:val="24"/>
                <w:szCs w:val="24"/>
              </w:rPr>
            </w:pPr>
            <w:r>
              <w:rPr>
                <w:rFonts w:ascii="Times New Roman" w:hAnsi="Times New Roman" w:cs="Arial"/>
                <w:bCs/>
                <w:color w:val="auto"/>
                <w:sz w:val="24"/>
                <w:szCs w:val="24"/>
              </w:rPr>
              <w:t>7</w:t>
            </w:r>
          </w:p>
        </w:tc>
        <w:tc>
          <w:tcPr>
            <w:tcW w:w="1800" w:type="dxa"/>
          </w:tcPr>
          <w:p>
            <w:pPr>
              <w:tabs>
                <w:tab w:val="left" w:pos="4680"/>
              </w:tabs>
              <w:spacing w:before="120" w:beforeLines="50" w:after="120" w:afterLines="50"/>
              <w:rPr>
                <w:rFonts w:ascii="Times New Roman" w:hAnsi="Times New Roman" w:cs="Arial"/>
                <w:bCs/>
                <w:color w:val="auto"/>
                <w:sz w:val="24"/>
                <w:szCs w:val="24"/>
              </w:rPr>
            </w:pPr>
          </w:p>
        </w:tc>
        <w:tc>
          <w:tcPr>
            <w:tcW w:w="1575" w:type="dxa"/>
          </w:tcPr>
          <w:p>
            <w:pPr>
              <w:tabs>
                <w:tab w:val="left" w:pos="4680"/>
              </w:tabs>
              <w:spacing w:before="120" w:beforeLines="50" w:after="120" w:afterLines="50"/>
              <w:rPr>
                <w:rFonts w:ascii="Times New Roman" w:hAnsi="Times New Roman" w:cs="Arial"/>
                <w:bCs/>
                <w:color w:val="auto"/>
                <w:sz w:val="24"/>
                <w:szCs w:val="24"/>
              </w:rPr>
            </w:pPr>
          </w:p>
        </w:tc>
        <w:tc>
          <w:tcPr>
            <w:tcW w:w="4725" w:type="dxa"/>
          </w:tcPr>
          <w:p>
            <w:pPr>
              <w:tabs>
                <w:tab w:val="left" w:pos="4680"/>
              </w:tabs>
              <w:spacing w:before="120" w:beforeLines="50" w:after="120" w:afterLines="50"/>
              <w:rPr>
                <w:rFonts w:ascii="Times New Roman" w:hAnsi="Times New Roman" w:cs="Arial"/>
                <w:bCs/>
                <w:color w:val="auto"/>
                <w:sz w:val="24"/>
                <w:szCs w:val="24"/>
              </w:rPr>
            </w:pPr>
          </w:p>
        </w:tc>
        <w:tc>
          <w:tcPr>
            <w:tcW w:w="2940" w:type="dxa"/>
          </w:tcPr>
          <w:p>
            <w:pPr>
              <w:tabs>
                <w:tab w:val="left" w:pos="4680"/>
              </w:tabs>
              <w:spacing w:before="120" w:beforeLines="50" w:after="120" w:afterLines="50"/>
              <w:rPr>
                <w:rFonts w:ascii="Times New Roman" w:hAnsi="Times New Roman" w:cs="Arial"/>
                <w:bCs/>
                <w:color w:val="auto"/>
                <w:sz w:val="24"/>
                <w:szCs w:val="24"/>
              </w:rPr>
            </w:pPr>
          </w:p>
        </w:tc>
        <w:tc>
          <w:tcPr>
            <w:tcW w:w="2280" w:type="dxa"/>
          </w:tcPr>
          <w:p>
            <w:pPr>
              <w:tabs>
                <w:tab w:val="left" w:pos="4680"/>
              </w:tabs>
              <w:spacing w:before="120" w:beforeLines="50" w:after="120" w:afterLines="50"/>
              <w:rPr>
                <w:rFonts w:ascii="Times New Roman" w:hAnsi="Times New Roman" w:cs="Arial"/>
                <w:bCs/>
                <w:color w:val="auto"/>
                <w:sz w:val="24"/>
                <w:szCs w:val="24"/>
              </w:rPr>
            </w:pPr>
          </w:p>
        </w:tc>
      </w:tr>
    </w:tbl>
    <w:p>
      <w:pPr>
        <w:spacing w:line="400" w:lineRule="exact"/>
        <w:ind w:firstLine="480" w:firstLineChars="200"/>
        <w:rPr>
          <w:rFonts w:ascii="Times New Roman" w:hAnsi="Times New Roman"/>
          <w:color w:val="auto"/>
          <w:sz w:val="24"/>
          <w:szCs w:val="24"/>
          <w:lang w:eastAsia="zh-CN"/>
        </w:rPr>
      </w:pPr>
      <w:r>
        <w:rPr>
          <w:rFonts w:hint="eastAsia" w:ascii="Times New Roman" w:hAnsi="Times New Roman" w:cs="Arial"/>
          <w:color w:val="auto"/>
          <w:sz w:val="24"/>
          <w:szCs w:val="24"/>
          <w:lang w:eastAsia="zh-CN"/>
        </w:rPr>
        <w:t>评标委员会全体成员</w:t>
      </w:r>
      <w:r>
        <w:rPr>
          <w:rFonts w:ascii="Times New Roman" w:hAnsi="Times New Roman"/>
          <w:color w:val="auto"/>
          <w:sz w:val="24"/>
          <w:szCs w:val="24"/>
          <w:lang w:eastAsia="zh-CN"/>
        </w:rPr>
        <w:t>签名</w:t>
      </w:r>
      <w:r>
        <w:rPr>
          <w:rFonts w:hint="eastAsia" w:ascii="Times New Roman" w:hAnsi="Times New Roman"/>
          <w:color w:val="auto"/>
          <w:sz w:val="24"/>
          <w:szCs w:val="24"/>
          <w:lang w:eastAsia="zh-CN"/>
        </w:rPr>
        <w:t>：</w:t>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日期：    年  月  日</w:t>
      </w:r>
    </w:p>
    <w:p>
      <w:pPr>
        <w:spacing w:line="400" w:lineRule="exact"/>
        <w:ind w:firstLine="480" w:firstLineChars="200"/>
        <w:rPr>
          <w:rFonts w:ascii="Times New Roman" w:hAnsi="Times New Roman"/>
          <w:color w:val="auto"/>
          <w:sz w:val="24"/>
          <w:szCs w:val="24"/>
          <w:lang w:eastAsia="zh-CN"/>
        </w:rPr>
      </w:pPr>
    </w:p>
    <w:p>
      <w:pPr>
        <w:tabs>
          <w:tab w:val="left" w:pos="4680"/>
        </w:tabs>
        <w:spacing w:after="120" w:afterLines="50" w:line="300" w:lineRule="auto"/>
        <w:rPr>
          <w:rFonts w:ascii="Times New Roman" w:hAnsi="Times New Roman" w:cs="Arial"/>
          <w:b/>
          <w:bCs/>
          <w:color w:val="auto"/>
          <w:sz w:val="24"/>
          <w:szCs w:val="24"/>
          <w:u w:val="single"/>
          <w:lang w:eastAsia="zh-CN"/>
        </w:rPr>
        <w:sectPr>
          <w:headerReference r:id="rId6" w:type="default"/>
          <w:pgSz w:w="16838" w:h="11906" w:orient="landscape"/>
          <w:pgMar w:top="1797" w:right="1440" w:bottom="1797" w:left="1440" w:header="851" w:footer="992" w:gutter="0"/>
          <w:cols w:space="425" w:num="1"/>
          <w:docGrid w:linePitch="312" w:charSpace="0"/>
        </w:sectPr>
      </w:pPr>
    </w:p>
    <w:p>
      <w:pPr>
        <w:pStyle w:val="4"/>
        <w:keepNext w:val="0"/>
        <w:keepLines w:val="0"/>
        <w:rPr>
          <w:rStyle w:val="64"/>
          <w:rFonts w:ascii="Times New Roman" w:hAnsi="Times New Roman"/>
          <w:b/>
          <w:bCs w:val="0"/>
          <w:color w:val="auto"/>
          <w:kern w:val="0"/>
          <w:szCs w:val="20"/>
        </w:rPr>
      </w:pPr>
      <w:bookmarkStart w:id="419" w:name="_Toc522884011"/>
      <w:r>
        <w:rPr>
          <w:rStyle w:val="64"/>
          <w:rFonts w:ascii="Times New Roman" w:hAnsi="Times New Roman"/>
          <w:b/>
          <w:bCs w:val="0"/>
          <w:color w:val="auto"/>
          <w:kern w:val="0"/>
          <w:szCs w:val="20"/>
        </w:rPr>
        <w:t>附表</w:t>
      </w:r>
      <w:r>
        <w:rPr>
          <w:rStyle w:val="64"/>
          <w:rFonts w:hint="eastAsia" w:ascii="Times New Roman" w:hAnsi="Times New Roman"/>
          <w:b/>
          <w:bCs w:val="0"/>
          <w:color w:val="auto"/>
          <w:kern w:val="0"/>
          <w:szCs w:val="20"/>
        </w:rPr>
        <w:t>3</w:t>
      </w:r>
      <w:r>
        <w:rPr>
          <w:rStyle w:val="64"/>
          <w:rFonts w:ascii="Times New Roman" w:hAnsi="Times New Roman"/>
          <w:b/>
          <w:bCs w:val="0"/>
          <w:color w:val="auto"/>
          <w:kern w:val="0"/>
          <w:szCs w:val="20"/>
        </w:rPr>
        <w:t>：评标</w:t>
      </w:r>
      <w:r>
        <w:rPr>
          <w:rStyle w:val="64"/>
          <w:rFonts w:hint="eastAsia" w:ascii="Times New Roman" w:hAnsi="Times New Roman"/>
          <w:b/>
          <w:bCs w:val="0"/>
          <w:color w:val="auto"/>
          <w:kern w:val="0"/>
          <w:szCs w:val="20"/>
        </w:rPr>
        <w:t>专家声明书</w:t>
      </w:r>
      <w:bookmarkEnd w:id="419"/>
    </w:p>
    <w:p>
      <w:pPr>
        <w:spacing w:line="360" w:lineRule="auto"/>
        <w:jc w:val="center"/>
        <w:rPr>
          <w:rFonts w:ascii="Times New Roman" w:hAnsi="Times New Roman"/>
          <w:b/>
          <w:bCs/>
          <w:color w:val="auto"/>
          <w:sz w:val="24"/>
          <w:szCs w:val="24"/>
          <w:lang w:eastAsia="zh-CN"/>
        </w:rPr>
      </w:pPr>
    </w:p>
    <w:p>
      <w:pPr>
        <w:spacing w:line="360" w:lineRule="auto"/>
        <w:jc w:val="center"/>
        <w:rPr>
          <w:rFonts w:ascii="Times New Roman" w:hAnsi="Times New Roman"/>
          <w:color w:val="auto"/>
          <w:sz w:val="24"/>
          <w:szCs w:val="24"/>
          <w:lang w:eastAsia="zh-CN"/>
        </w:rPr>
      </w:pPr>
      <w:r>
        <w:rPr>
          <w:rFonts w:hint="eastAsia" w:ascii="Times New Roman" w:hAnsi="Times New Roman" w:cs="Arial"/>
          <w:color w:val="auto"/>
          <w:sz w:val="24"/>
          <w:szCs w:val="24"/>
          <w:lang w:eastAsia="zh-CN"/>
        </w:rPr>
        <w:t>评标委员会成员</w:t>
      </w:r>
      <w:r>
        <w:rPr>
          <w:rFonts w:ascii="Times New Roman" w:hAnsi="Times New Roman"/>
          <w:bCs/>
          <w:color w:val="auto"/>
          <w:sz w:val="24"/>
          <w:szCs w:val="24"/>
          <w:lang w:eastAsia="zh-CN"/>
        </w:rPr>
        <w:t>声明书</w:t>
      </w:r>
    </w:p>
    <w:p>
      <w:pPr>
        <w:spacing w:line="360" w:lineRule="auto"/>
        <w:rPr>
          <w:rFonts w:ascii="Times New Roman" w:hAnsi="Times New Roman"/>
          <w:color w:val="auto"/>
          <w:sz w:val="24"/>
          <w:szCs w:val="24"/>
          <w:lang w:eastAsia="zh-CN"/>
        </w:rPr>
      </w:pPr>
    </w:p>
    <w:p>
      <w:pPr>
        <w:spacing w:line="400" w:lineRule="exact"/>
        <w:ind w:firstLine="480" w:firstLineChars="200"/>
        <w:rPr>
          <w:rFonts w:ascii="Times New Roman" w:hAnsi="Times New Roman"/>
          <w:color w:val="auto"/>
          <w:sz w:val="24"/>
          <w:szCs w:val="24"/>
          <w:lang w:eastAsia="zh-CN"/>
        </w:rPr>
      </w:pPr>
      <w:r>
        <w:rPr>
          <w:rFonts w:ascii="Times New Roman" w:hAnsi="Times New Roman"/>
          <w:color w:val="auto"/>
          <w:sz w:val="24"/>
          <w:szCs w:val="24"/>
          <w:lang w:eastAsia="zh-CN"/>
        </w:rPr>
        <w:t>本人接受采购人邀请，担任</w:t>
      </w:r>
      <w:r>
        <w:rPr>
          <w:rFonts w:hint="eastAsia" w:ascii="Times New Roman" w:hAnsi="Times New Roman" w:cs="Arial"/>
          <w:bCs/>
          <w:color w:val="auto"/>
          <w:sz w:val="24"/>
          <w:szCs w:val="24"/>
          <w:u w:val="single"/>
          <w:lang w:eastAsia="zh-CN"/>
        </w:rPr>
        <w:t xml:space="preserve"> </w:t>
      </w:r>
      <w:r>
        <w:rPr>
          <w:rFonts w:ascii="Times New Roman" w:hAnsi="Times New Roman" w:cs="Arial"/>
          <w:bCs/>
          <w:color w:val="auto"/>
          <w:sz w:val="24"/>
          <w:szCs w:val="24"/>
          <w:u w:val="single"/>
          <w:lang w:eastAsia="zh-CN"/>
        </w:rPr>
        <w:t xml:space="preserve">                              </w:t>
      </w:r>
      <w:r>
        <w:rPr>
          <w:rFonts w:hint="eastAsia" w:ascii="Times New Roman" w:hAnsi="Times New Roman" w:cs="Arial"/>
          <w:bCs/>
          <w:color w:val="auto"/>
          <w:sz w:val="24"/>
          <w:szCs w:val="24"/>
          <w:lang w:eastAsia="zh-CN"/>
        </w:rPr>
        <w:t>（项目名称）</w:t>
      </w:r>
      <w:r>
        <w:rPr>
          <w:rFonts w:ascii="Times New Roman" w:hAnsi="Times New Roman"/>
          <w:color w:val="auto"/>
          <w:sz w:val="24"/>
          <w:szCs w:val="24"/>
          <w:lang w:eastAsia="zh-CN"/>
        </w:rPr>
        <w:t>招标的评标专家。</w:t>
      </w:r>
    </w:p>
    <w:p>
      <w:pPr>
        <w:spacing w:line="400" w:lineRule="exact"/>
        <w:ind w:firstLine="480" w:firstLineChars="200"/>
        <w:rPr>
          <w:rFonts w:ascii="Times New Roman" w:hAnsi="Times New Roman"/>
          <w:color w:val="auto"/>
          <w:sz w:val="24"/>
          <w:szCs w:val="24"/>
          <w:lang w:eastAsia="zh-CN"/>
        </w:rPr>
      </w:pPr>
      <w:r>
        <w:rPr>
          <w:rFonts w:ascii="Times New Roman" w:hAnsi="Times New Roman"/>
          <w:color w:val="auto"/>
          <w:sz w:val="24"/>
          <w:szCs w:val="24"/>
          <w:lang w:eastAsia="zh-CN"/>
        </w:rPr>
        <w:t>本人声明：本人</w:t>
      </w:r>
      <w:r>
        <w:rPr>
          <w:rFonts w:ascii="Times New Roman" w:hAnsi="Times New Roman" w:cs="Arial"/>
          <w:bCs/>
          <w:color w:val="auto"/>
          <w:sz w:val="24"/>
          <w:szCs w:val="24"/>
          <w:lang w:eastAsia="zh-CN"/>
        </w:rPr>
        <w:t>在评标</w:t>
      </w:r>
      <w:r>
        <w:rPr>
          <w:rFonts w:ascii="Times New Roman" w:hAnsi="Times New Roman"/>
          <w:color w:val="auto"/>
          <w:sz w:val="24"/>
          <w:szCs w:val="24"/>
          <w:lang w:eastAsia="zh-CN"/>
        </w:rPr>
        <w:t xml:space="preserve">前未与采购人或者采购代理机构以及投标人发生可能影响评标结果的接触；在中标结果确定之前，不向外透露对投标文件的评审、中标候选人的推荐情况以及与评标有关的其他情况；不收受采购人或者采购代理机构超出合理报酬以外的任何现金、有价证券和礼物；不收受有关利害关系人的任何财物和好处；无国家及本市有关规定需要回避的情形。 </w:t>
      </w:r>
    </w:p>
    <w:p>
      <w:pPr>
        <w:spacing w:line="400" w:lineRule="exact"/>
        <w:ind w:firstLine="480" w:firstLineChars="200"/>
        <w:rPr>
          <w:rFonts w:ascii="Times New Roman" w:hAnsi="Times New Roman"/>
          <w:color w:val="auto"/>
          <w:sz w:val="24"/>
          <w:szCs w:val="24"/>
          <w:lang w:eastAsia="zh-CN"/>
        </w:rPr>
      </w:pPr>
      <w:r>
        <w:rPr>
          <w:rFonts w:ascii="Times New Roman" w:hAnsi="Times New Roman"/>
          <w:color w:val="auto"/>
          <w:sz w:val="24"/>
          <w:szCs w:val="24"/>
          <w:lang w:eastAsia="zh-CN"/>
        </w:rPr>
        <w:t>本人</w:t>
      </w:r>
      <w:r>
        <w:rPr>
          <w:rFonts w:hint="eastAsia" w:ascii="Times New Roman" w:hAnsi="Times New Roman"/>
          <w:color w:val="auto"/>
          <w:sz w:val="24"/>
          <w:szCs w:val="24"/>
          <w:lang w:eastAsia="zh-CN"/>
        </w:rPr>
        <w:t>将严格遵守评审时间，主动出具身份证明，遵守评审工作纪律和评审回避的相关规定。在评审工作开始前，将手机等通讯工具或相关电子设备交由采购代理机构统一保管。</w:t>
      </w:r>
    </w:p>
    <w:p>
      <w:pPr>
        <w:spacing w:line="400" w:lineRule="exact"/>
        <w:ind w:firstLine="480" w:firstLineChars="200"/>
        <w:rPr>
          <w:rFonts w:ascii="Times New Roman" w:hAnsi="Times New Roman"/>
          <w:color w:val="auto"/>
          <w:sz w:val="24"/>
          <w:szCs w:val="24"/>
          <w:lang w:eastAsia="zh-CN"/>
        </w:rPr>
      </w:pPr>
      <w:r>
        <w:rPr>
          <w:rFonts w:hint="eastAsia" w:ascii="Times New Roman" w:hAnsi="Times New Roman"/>
          <w:color w:val="auto"/>
          <w:sz w:val="24"/>
          <w:szCs w:val="24"/>
          <w:lang w:eastAsia="zh-CN"/>
        </w:rPr>
        <w:t>本人承诺不干预或者影响正常评审工作，不明示或者暗示倾向性、发表引导性意见，不修改或细化采购文件确定的评审程序、评审方法、评审因素和评审标准，不接受供应商主动提出的澄清和解释，不征询采购人代表的倾向性意见，不协商评分，不记录、复制或带走任何评审资料。</w:t>
      </w:r>
    </w:p>
    <w:p>
      <w:pPr>
        <w:spacing w:line="400" w:lineRule="exact"/>
        <w:ind w:firstLine="480" w:firstLineChars="200"/>
        <w:rPr>
          <w:rFonts w:ascii="Times New Roman" w:hAnsi="Times New Roman"/>
          <w:color w:val="auto"/>
          <w:sz w:val="24"/>
          <w:szCs w:val="24"/>
          <w:lang w:eastAsia="zh-CN"/>
        </w:rPr>
      </w:pPr>
      <w:r>
        <w:rPr>
          <w:rFonts w:ascii="Times New Roman" w:hAnsi="Times New Roman"/>
          <w:color w:val="auto"/>
          <w:sz w:val="24"/>
          <w:szCs w:val="24"/>
          <w:lang w:eastAsia="zh-CN"/>
        </w:rPr>
        <w:t xml:space="preserve">本人郑重保证：在评标过程中，遵守有关法律法规规章和评标纪律；服从评标委员会的统一安排；独立、客观、公正地履行评标专家职责。 </w:t>
      </w:r>
    </w:p>
    <w:p>
      <w:pPr>
        <w:spacing w:line="400" w:lineRule="exact"/>
        <w:ind w:firstLine="480" w:firstLineChars="200"/>
        <w:rPr>
          <w:rFonts w:ascii="Times New Roman" w:hAnsi="Times New Roman"/>
          <w:color w:val="auto"/>
          <w:sz w:val="24"/>
          <w:szCs w:val="24"/>
          <w:lang w:eastAsia="zh-CN"/>
        </w:rPr>
      </w:pPr>
      <w:r>
        <w:rPr>
          <w:rFonts w:ascii="Times New Roman" w:hAnsi="Times New Roman"/>
          <w:color w:val="auto"/>
          <w:sz w:val="24"/>
          <w:szCs w:val="24"/>
          <w:lang w:eastAsia="zh-CN"/>
        </w:rPr>
        <w:t xml:space="preserve">本人接受有关行政监督部门依法实施监督。如违反上述承诺或者不能履行评标专家职责，本人愿意承担一切由此带来的法律责任。 </w:t>
      </w:r>
    </w:p>
    <w:p>
      <w:pPr>
        <w:spacing w:line="400" w:lineRule="exact"/>
        <w:ind w:firstLine="480" w:firstLineChars="200"/>
        <w:rPr>
          <w:rFonts w:ascii="Times New Roman" w:hAnsi="Times New Roman"/>
          <w:color w:val="auto"/>
          <w:sz w:val="24"/>
          <w:szCs w:val="24"/>
          <w:lang w:eastAsia="zh-CN"/>
        </w:rPr>
      </w:pPr>
      <w:r>
        <w:rPr>
          <w:rFonts w:ascii="Times New Roman" w:hAnsi="Times New Roman"/>
          <w:color w:val="auto"/>
          <w:sz w:val="24"/>
          <w:szCs w:val="24"/>
          <w:lang w:eastAsia="zh-CN"/>
        </w:rPr>
        <w:t xml:space="preserve">特此声明。 </w:t>
      </w:r>
    </w:p>
    <w:p>
      <w:pPr>
        <w:spacing w:line="400" w:lineRule="exact"/>
        <w:rPr>
          <w:rFonts w:ascii="Times New Roman" w:hAnsi="Times New Roman"/>
          <w:color w:val="auto"/>
          <w:sz w:val="24"/>
          <w:szCs w:val="24"/>
          <w:lang w:eastAsia="zh-CN"/>
        </w:rPr>
      </w:pPr>
    </w:p>
    <w:p>
      <w:pPr>
        <w:spacing w:line="400" w:lineRule="exact"/>
        <w:ind w:firstLine="480" w:firstLineChars="200"/>
        <w:rPr>
          <w:rFonts w:ascii="Times New Roman" w:hAnsi="Times New Roman"/>
          <w:color w:val="auto"/>
          <w:sz w:val="24"/>
          <w:szCs w:val="24"/>
          <w:u w:val="single"/>
          <w:lang w:eastAsia="zh-CN"/>
        </w:rPr>
      </w:pPr>
      <w:r>
        <w:rPr>
          <w:rFonts w:hint="eastAsia" w:ascii="Times New Roman" w:hAnsi="Times New Roman" w:cs="Arial"/>
          <w:color w:val="auto"/>
          <w:sz w:val="24"/>
          <w:szCs w:val="24"/>
          <w:lang w:eastAsia="zh-CN"/>
        </w:rPr>
        <w:t>评标委员会全体成员</w:t>
      </w:r>
      <w:r>
        <w:rPr>
          <w:rFonts w:ascii="Times New Roman" w:hAnsi="Times New Roman"/>
          <w:color w:val="auto"/>
          <w:sz w:val="24"/>
          <w:szCs w:val="24"/>
          <w:lang w:eastAsia="zh-CN"/>
        </w:rPr>
        <w:t>签名</w:t>
      </w:r>
      <w:r>
        <w:rPr>
          <w:rFonts w:hint="eastAsia" w:ascii="Times New Roman" w:hAnsi="Times New Roman"/>
          <w:color w:val="auto"/>
          <w:sz w:val="24"/>
          <w:szCs w:val="24"/>
          <w:lang w:eastAsia="zh-CN"/>
        </w:rPr>
        <w:t>：</w:t>
      </w:r>
    </w:p>
    <w:p>
      <w:pPr>
        <w:spacing w:line="360" w:lineRule="auto"/>
        <w:rPr>
          <w:rFonts w:ascii="Times New Roman" w:hAnsi="Times New Roman"/>
          <w:color w:val="auto"/>
          <w:sz w:val="24"/>
          <w:szCs w:val="24"/>
          <w:lang w:eastAsia="zh-CN"/>
        </w:rPr>
      </w:pPr>
    </w:p>
    <w:p>
      <w:pPr>
        <w:spacing w:line="360" w:lineRule="auto"/>
        <w:rPr>
          <w:rFonts w:ascii="Times New Roman" w:hAnsi="Times New Roman"/>
          <w:color w:val="auto"/>
          <w:sz w:val="24"/>
          <w:szCs w:val="24"/>
          <w:lang w:eastAsia="zh-CN"/>
        </w:rPr>
      </w:pPr>
    </w:p>
    <w:p>
      <w:pPr>
        <w:spacing w:line="360" w:lineRule="auto"/>
        <w:rPr>
          <w:rFonts w:ascii="Times New Roman" w:hAnsi="Times New Roman"/>
          <w:color w:val="auto"/>
          <w:sz w:val="24"/>
          <w:szCs w:val="24"/>
          <w:lang w:eastAsia="zh-CN"/>
        </w:rPr>
      </w:pPr>
    </w:p>
    <w:p>
      <w:pPr>
        <w:spacing w:line="360" w:lineRule="auto"/>
        <w:ind w:firstLine="360" w:firstLineChars="150"/>
        <w:jc w:val="right"/>
        <w:rPr>
          <w:rFonts w:ascii="Times New Roman" w:hAnsi="Times New Roman"/>
          <w:color w:val="auto"/>
          <w:sz w:val="24"/>
          <w:szCs w:val="24"/>
          <w:lang w:eastAsia="zh-CN"/>
        </w:rPr>
      </w:pPr>
      <w:r>
        <w:rPr>
          <w:rFonts w:hint="eastAsia" w:ascii="Times New Roman" w:hAnsi="Times New Roman"/>
          <w:color w:val="auto"/>
          <w:sz w:val="24"/>
          <w:szCs w:val="24"/>
          <w:lang w:eastAsia="zh-CN"/>
        </w:rPr>
        <w:t>日        期：    年  月  日</w:t>
      </w:r>
    </w:p>
    <w:p>
      <w:pPr>
        <w:rPr>
          <w:rFonts w:ascii="Times New Roman" w:hAnsi="Times New Roman"/>
          <w:color w:val="auto"/>
          <w:sz w:val="24"/>
          <w:szCs w:val="24"/>
          <w:lang w:eastAsia="zh-CN"/>
        </w:rPr>
      </w:pPr>
      <w:r>
        <w:rPr>
          <w:rFonts w:ascii="Times New Roman" w:hAnsi="Times New Roman"/>
          <w:color w:val="auto"/>
          <w:sz w:val="24"/>
          <w:szCs w:val="24"/>
          <w:lang w:eastAsia="zh-CN"/>
        </w:rPr>
        <w:br w:type="page"/>
      </w:r>
    </w:p>
    <w:p>
      <w:pPr>
        <w:rPr>
          <w:rFonts w:ascii="Times New Roman" w:hAnsi="Times New Roman"/>
          <w:color w:val="auto"/>
          <w:sz w:val="24"/>
          <w:szCs w:val="24"/>
          <w:lang w:eastAsia="zh-CN"/>
        </w:rPr>
      </w:pPr>
    </w:p>
    <w:p>
      <w:pPr>
        <w:pStyle w:val="4"/>
        <w:keepNext w:val="0"/>
        <w:keepLines w:val="0"/>
        <w:rPr>
          <w:rStyle w:val="64"/>
          <w:rFonts w:ascii="Times New Roman" w:hAnsi="Times New Roman"/>
          <w:b/>
          <w:bCs w:val="0"/>
          <w:color w:val="auto"/>
          <w:kern w:val="0"/>
          <w:szCs w:val="20"/>
        </w:rPr>
      </w:pPr>
      <w:bookmarkStart w:id="420" w:name="_Toc522884012"/>
      <w:r>
        <w:rPr>
          <w:rStyle w:val="64"/>
          <w:rFonts w:ascii="Times New Roman" w:hAnsi="Times New Roman"/>
          <w:b/>
          <w:bCs w:val="0"/>
          <w:color w:val="auto"/>
          <w:kern w:val="0"/>
          <w:szCs w:val="20"/>
        </w:rPr>
        <w:t>附表</w:t>
      </w:r>
      <w:r>
        <w:rPr>
          <w:rStyle w:val="64"/>
          <w:rFonts w:hint="eastAsia" w:ascii="Times New Roman" w:hAnsi="Times New Roman"/>
          <w:b/>
          <w:bCs w:val="0"/>
          <w:color w:val="auto"/>
          <w:kern w:val="0"/>
          <w:szCs w:val="20"/>
        </w:rPr>
        <w:t>4</w:t>
      </w:r>
      <w:r>
        <w:rPr>
          <w:rStyle w:val="64"/>
          <w:rFonts w:ascii="Times New Roman" w:hAnsi="Times New Roman"/>
          <w:b/>
          <w:bCs w:val="0"/>
          <w:color w:val="auto"/>
          <w:kern w:val="0"/>
          <w:szCs w:val="20"/>
        </w:rPr>
        <w:t>：</w:t>
      </w:r>
      <w:r>
        <w:rPr>
          <w:rStyle w:val="64"/>
          <w:rFonts w:hint="eastAsia" w:ascii="Times New Roman" w:hAnsi="Times New Roman"/>
          <w:b/>
          <w:bCs w:val="0"/>
          <w:color w:val="auto"/>
          <w:kern w:val="0"/>
          <w:szCs w:val="20"/>
        </w:rPr>
        <w:t>符合性审查表</w:t>
      </w:r>
      <w:bookmarkEnd w:id="420"/>
    </w:p>
    <w:p>
      <w:pPr>
        <w:pStyle w:val="11"/>
        <w:jc w:val="center"/>
        <w:rPr>
          <w:rStyle w:val="64"/>
          <w:rFonts w:ascii="Times New Roman" w:hAnsi="Times New Roman"/>
          <w:color w:val="auto"/>
          <w:kern w:val="0"/>
          <w:szCs w:val="20"/>
        </w:rPr>
      </w:pPr>
      <w:bookmarkStart w:id="421" w:name="_Hlk2758154"/>
      <w:r>
        <w:rPr>
          <w:rStyle w:val="64"/>
          <w:rFonts w:hint="eastAsia" w:ascii="Times New Roman" w:hAnsi="Times New Roman"/>
          <w:color w:val="auto"/>
          <w:kern w:val="0"/>
          <w:szCs w:val="20"/>
        </w:rPr>
        <w:t>符合性审查表</w:t>
      </w:r>
    </w:p>
    <w:p>
      <w:pPr>
        <w:pStyle w:val="11"/>
        <w:rPr>
          <w:color w:val="auto"/>
          <w:lang w:eastAsia="zh-CN"/>
        </w:rPr>
      </w:pPr>
      <w:r>
        <w:rPr>
          <w:rFonts w:hint="eastAsia" w:ascii="Times New Roman" w:hAnsi="Times New Roman" w:cs="Arial"/>
          <w:bCs/>
          <w:color w:val="auto"/>
          <w:sz w:val="24"/>
          <w:szCs w:val="24"/>
          <w:lang w:eastAsia="zh-CN"/>
        </w:rPr>
        <w:t>项目</w:t>
      </w:r>
      <w:r>
        <w:rPr>
          <w:rFonts w:ascii="Times New Roman" w:hAnsi="Times New Roman" w:cs="Arial"/>
          <w:bCs/>
          <w:color w:val="auto"/>
          <w:sz w:val="24"/>
          <w:szCs w:val="24"/>
          <w:lang w:eastAsia="zh-CN"/>
        </w:rPr>
        <w:t>名称：</w:t>
      </w:r>
      <w:r>
        <w:rPr>
          <w:rFonts w:hint="eastAsia" w:ascii="Times New Roman" w:hAnsi="Times New Roman" w:cs="Arial"/>
          <w:bCs/>
          <w:color w:val="auto"/>
          <w:sz w:val="24"/>
          <w:szCs w:val="24"/>
          <w:u w:val="single"/>
          <w:lang w:eastAsia="zh-CN"/>
        </w:rPr>
        <w:t xml:space="preserve"> </w:t>
      </w:r>
      <w:r>
        <w:rPr>
          <w:rFonts w:ascii="Times New Roman" w:hAnsi="Times New Roman" w:cs="Arial"/>
          <w:bCs/>
          <w:color w:val="auto"/>
          <w:sz w:val="24"/>
          <w:szCs w:val="24"/>
          <w:u w:val="single"/>
          <w:lang w:eastAsia="zh-CN"/>
        </w:rPr>
        <w:t xml:space="preserve">                       </w:t>
      </w:r>
    </w:p>
    <w:tbl>
      <w:tblPr>
        <w:tblStyle w:val="36"/>
        <w:tblW w:w="8636"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93"/>
        <w:gridCol w:w="1442"/>
        <w:gridCol w:w="4795"/>
        <w:gridCol w:w="140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tblHeader/>
          <w:jc w:val="center"/>
        </w:trPr>
        <w:tc>
          <w:tcPr>
            <w:tcW w:w="993" w:type="dxa"/>
            <w:vAlign w:val="center"/>
          </w:tcPr>
          <w:p>
            <w:pPr>
              <w:jc w:val="center"/>
              <w:rPr>
                <w:rFonts w:ascii="Times New Roman" w:hAnsi="Times New Roman"/>
                <w:b/>
                <w:color w:val="auto"/>
                <w:sz w:val="24"/>
                <w:szCs w:val="24"/>
              </w:rPr>
            </w:pPr>
            <w:r>
              <w:rPr>
                <w:rFonts w:ascii="Times New Roman" w:hAnsi="Times New Roman"/>
                <w:b/>
                <w:color w:val="auto"/>
                <w:sz w:val="24"/>
                <w:szCs w:val="24"/>
              </w:rPr>
              <w:t>序号</w:t>
            </w:r>
          </w:p>
        </w:tc>
        <w:tc>
          <w:tcPr>
            <w:tcW w:w="1442" w:type="dxa"/>
            <w:vAlign w:val="center"/>
          </w:tcPr>
          <w:p>
            <w:pPr>
              <w:jc w:val="center"/>
              <w:rPr>
                <w:rFonts w:ascii="Times New Roman" w:hAnsi="Times New Roman"/>
                <w:b/>
                <w:color w:val="auto"/>
                <w:sz w:val="24"/>
                <w:szCs w:val="24"/>
              </w:rPr>
            </w:pPr>
            <w:r>
              <w:rPr>
                <w:rFonts w:ascii="Times New Roman" w:hAnsi="Times New Roman"/>
                <w:b/>
                <w:color w:val="auto"/>
                <w:sz w:val="24"/>
                <w:szCs w:val="24"/>
              </w:rPr>
              <w:t>评审项目</w:t>
            </w:r>
          </w:p>
        </w:tc>
        <w:tc>
          <w:tcPr>
            <w:tcW w:w="4795" w:type="dxa"/>
            <w:vAlign w:val="center"/>
          </w:tcPr>
          <w:p>
            <w:pPr>
              <w:jc w:val="center"/>
              <w:rPr>
                <w:rFonts w:ascii="Times New Roman" w:hAnsi="Times New Roman"/>
                <w:b/>
                <w:color w:val="auto"/>
                <w:sz w:val="24"/>
                <w:szCs w:val="24"/>
              </w:rPr>
            </w:pPr>
            <w:r>
              <w:rPr>
                <w:rFonts w:ascii="Times New Roman" w:hAnsi="Times New Roman"/>
                <w:b/>
                <w:color w:val="auto"/>
                <w:sz w:val="24"/>
                <w:szCs w:val="24"/>
              </w:rPr>
              <w:t>评审标准</w:t>
            </w:r>
          </w:p>
        </w:tc>
        <w:tc>
          <w:tcPr>
            <w:tcW w:w="1406" w:type="dxa"/>
            <w:vAlign w:val="center"/>
          </w:tcPr>
          <w:p>
            <w:pPr>
              <w:jc w:val="center"/>
              <w:rPr>
                <w:rFonts w:ascii="Times New Roman" w:hAnsi="Times New Roman"/>
                <w:b/>
                <w:color w:val="auto"/>
                <w:sz w:val="24"/>
                <w:szCs w:val="24"/>
              </w:rPr>
            </w:pPr>
            <w:r>
              <w:rPr>
                <w:rFonts w:ascii="Times New Roman" w:hAnsi="Times New Roman"/>
                <w:b/>
                <w:color w:val="auto"/>
                <w:sz w:val="24"/>
                <w:szCs w:val="24"/>
              </w:rPr>
              <w:t>评审结论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1</w:t>
            </w:r>
          </w:p>
        </w:tc>
        <w:tc>
          <w:tcPr>
            <w:tcW w:w="1442" w:type="dxa"/>
            <w:vAlign w:val="center"/>
          </w:tcPr>
          <w:p>
            <w:pPr>
              <w:pStyle w:val="52"/>
              <w:spacing w:before="31" w:line="300" w:lineRule="auto"/>
              <w:jc w:val="center"/>
              <w:rPr>
                <w:rFonts w:ascii="Times New Roman" w:hAnsi="Times New Roman"/>
                <w:color w:val="auto"/>
                <w:sz w:val="24"/>
                <w:szCs w:val="24"/>
                <w:lang w:eastAsia="zh-CN"/>
              </w:rPr>
            </w:pPr>
            <w:r>
              <w:rPr>
                <w:rFonts w:ascii="Times New Roman" w:hAnsi="Times New Roman"/>
                <w:color w:val="auto"/>
                <w:sz w:val="24"/>
                <w:szCs w:val="24"/>
                <w:lang w:eastAsia="zh-CN"/>
              </w:rPr>
              <w:t>投标函签字盖章</w:t>
            </w:r>
          </w:p>
        </w:tc>
        <w:tc>
          <w:tcPr>
            <w:tcW w:w="4795" w:type="dxa"/>
            <w:vAlign w:val="center"/>
          </w:tcPr>
          <w:p>
            <w:pPr>
              <w:pStyle w:val="52"/>
              <w:spacing w:before="31" w:line="300" w:lineRule="auto"/>
              <w:rPr>
                <w:rFonts w:ascii="Times New Roman" w:hAnsi="Times New Roman"/>
                <w:color w:val="auto"/>
                <w:sz w:val="24"/>
                <w:szCs w:val="24"/>
                <w:lang w:eastAsia="zh-CN"/>
              </w:rPr>
            </w:pPr>
            <w:r>
              <w:rPr>
                <w:rFonts w:ascii="Times New Roman" w:hAnsi="Times New Roman"/>
                <w:color w:val="auto"/>
                <w:sz w:val="24"/>
                <w:szCs w:val="24"/>
                <w:lang w:eastAsia="zh-CN"/>
              </w:rPr>
              <w:t>有法定代表人（单位负责人）或其授权代表签字或加盖公章。</w:t>
            </w:r>
          </w:p>
        </w:tc>
        <w:tc>
          <w:tcPr>
            <w:tcW w:w="1406" w:type="dxa"/>
            <w:vAlign w:val="center"/>
          </w:tcPr>
          <w:p>
            <w:pPr>
              <w:pStyle w:val="52"/>
              <w:spacing w:before="31" w:line="300" w:lineRule="auto"/>
              <w:jc w:val="center"/>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ascii="Times New Roman" w:hAnsi="Times New Roman"/>
                <w:color w:val="auto"/>
                <w:sz w:val="24"/>
                <w:szCs w:val="24"/>
                <w:lang w:eastAsia="zh-CN"/>
              </w:rPr>
              <w:t>2</w:t>
            </w:r>
          </w:p>
        </w:tc>
        <w:tc>
          <w:tcPr>
            <w:tcW w:w="1442" w:type="dxa"/>
            <w:vAlign w:val="center"/>
          </w:tcPr>
          <w:p>
            <w:pPr>
              <w:pStyle w:val="52"/>
              <w:spacing w:before="31"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报价</w:t>
            </w:r>
          </w:p>
        </w:tc>
        <w:tc>
          <w:tcPr>
            <w:tcW w:w="4795" w:type="dxa"/>
            <w:vAlign w:val="center"/>
          </w:tcPr>
          <w:p>
            <w:pPr>
              <w:pStyle w:val="52"/>
              <w:spacing w:before="31" w:line="30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只有一个有效报价且未超过预算金额或最高限价（有预算或最高限价的，报价未超过预算或最高限价）</w:t>
            </w:r>
          </w:p>
        </w:tc>
        <w:tc>
          <w:tcPr>
            <w:tcW w:w="1406" w:type="dxa"/>
            <w:vAlign w:val="center"/>
          </w:tcPr>
          <w:p>
            <w:pPr>
              <w:pStyle w:val="52"/>
              <w:spacing w:before="31" w:line="300" w:lineRule="auto"/>
              <w:jc w:val="center"/>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3</w:t>
            </w:r>
          </w:p>
        </w:tc>
        <w:tc>
          <w:tcPr>
            <w:tcW w:w="1442" w:type="dxa"/>
            <w:vAlign w:val="center"/>
          </w:tcPr>
          <w:p>
            <w:pPr>
              <w:spacing w:line="300" w:lineRule="auto"/>
              <w:jc w:val="center"/>
              <w:rPr>
                <w:rFonts w:ascii="Times New Roman" w:hAnsi="Times New Roman"/>
                <w:color w:val="auto"/>
                <w:sz w:val="24"/>
                <w:szCs w:val="24"/>
              </w:rPr>
            </w:pPr>
            <w:r>
              <w:rPr>
                <w:rFonts w:hint="eastAsia" w:ascii="Times New Roman" w:hAnsi="Times New Roman"/>
                <w:color w:val="auto"/>
                <w:sz w:val="24"/>
                <w:szCs w:val="24"/>
                <w:lang w:eastAsia="zh-CN"/>
              </w:rPr>
              <w:t>供货期（或服务期）</w:t>
            </w:r>
          </w:p>
        </w:tc>
        <w:tc>
          <w:tcPr>
            <w:tcW w:w="4795" w:type="dxa"/>
            <w:vAlign w:val="center"/>
          </w:tcPr>
          <w:p>
            <w:pPr>
              <w:spacing w:line="300" w:lineRule="auto"/>
              <w:jc w:val="both"/>
              <w:rPr>
                <w:rFonts w:ascii="Times New Roman" w:hAnsi="Times New Roman"/>
                <w:color w:val="auto"/>
                <w:sz w:val="24"/>
                <w:szCs w:val="24"/>
              </w:rPr>
            </w:pPr>
            <w:r>
              <w:rPr>
                <w:rFonts w:ascii="Times New Roman" w:hAnsi="Times New Roman"/>
                <w:color w:val="auto"/>
                <w:sz w:val="24"/>
                <w:szCs w:val="24"/>
              </w:rPr>
              <w:t>满足招标文件要求</w:t>
            </w:r>
          </w:p>
        </w:tc>
        <w:tc>
          <w:tcPr>
            <w:tcW w:w="1406" w:type="dxa"/>
            <w:vAlign w:val="center"/>
          </w:tcPr>
          <w:p>
            <w:pPr>
              <w:spacing w:line="300" w:lineRule="auto"/>
              <w:jc w:val="both"/>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4</w:t>
            </w:r>
          </w:p>
        </w:tc>
        <w:tc>
          <w:tcPr>
            <w:tcW w:w="1442" w:type="dxa"/>
            <w:vAlign w:val="center"/>
          </w:tcPr>
          <w:p>
            <w:pPr>
              <w:spacing w:line="300" w:lineRule="auto"/>
              <w:jc w:val="center"/>
              <w:rPr>
                <w:rFonts w:ascii="Times New Roman" w:hAnsi="Times New Roman"/>
                <w:color w:val="auto"/>
                <w:sz w:val="24"/>
                <w:szCs w:val="24"/>
              </w:rPr>
            </w:pPr>
            <w:r>
              <w:rPr>
                <w:rFonts w:ascii="Times New Roman" w:hAnsi="Times New Roman"/>
                <w:color w:val="auto"/>
                <w:sz w:val="24"/>
                <w:szCs w:val="24"/>
              </w:rPr>
              <w:t>投标有效期</w:t>
            </w:r>
          </w:p>
        </w:tc>
        <w:tc>
          <w:tcPr>
            <w:tcW w:w="4795" w:type="dxa"/>
            <w:vAlign w:val="center"/>
          </w:tcPr>
          <w:p>
            <w:pPr>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投标有效期满足招标文件要求</w:t>
            </w:r>
          </w:p>
        </w:tc>
        <w:tc>
          <w:tcPr>
            <w:tcW w:w="1406" w:type="dxa"/>
            <w:vAlign w:val="center"/>
          </w:tcPr>
          <w:p>
            <w:pPr>
              <w:spacing w:line="300" w:lineRule="auto"/>
              <w:jc w:val="both"/>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5</w:t>
            </w:r>
          </w:p>
        </w:tc>
        <w:tc>
          <w:tcPr>
            <w:tcW w:w="1442" w:type="dxa"/>
            <w:vAlign w:val="center"/>
          </w:tcPr>
          <w:p>
            <w:pPr>
              <w:spacing w:line="300" w:lineRule="auto"/>
              <w:jc w:val="center"/>
              <w:rPr>
                <w:rFonts w:ascii="Times New Roman" w:hAnsi="Times New Roman"/>
                <w:color w:val="auto"/>
                <w:sz w:val="24"/>
                <w:szCs w:val="24"/>
              </w:rPr>
            </w:pPr>
            <w:r>
              <w:rPr>
                <w:rFonts w:ascii="Times New Roman" w:hAnsi="Times New Roman"/>
                <w:color w:val="auto"/>
                <w:sz w:val="24"/>
                <w:szCs w:val="24"/>
              </w:rPr>
              <w:t>附加条件</w:t>
            </w:r>
          </w:p>
        </w:tc>
        <w:tc>
          <w:tcPr>
            <w:tcW w:w="4795" w:type="dxa"/>
            <w:vAlign w:val="center"/>
          </w:tcPr>
          <w:p>
            <w:pPr>
              <w:spacing w:line="300" w:lineRule="auto"/>
              <w:jc w:val="both"/>
              <w:rPr>
                <w:rFonts w:ascii="Times New Roman" w:hAnsi="Times New Roman"/>
                <w:color w:val="auto"/>
                <w:sz w:val="24"/>
                <w:szCs w:val="24"/>
                <w:lang w:eastAsia="zh-CN"/>
              </w:rPr>
            </w:pPr>
            <w:r>
              <w:rPr>
                <w:rFonts w:ascii="Times New Roman" w:hAnsi="Times New Roman"/>
                <w:color w:val="auto"/>
                <w:sz w:val="24"/>
                <w:szCs w:val="24"/>
                <w:lang w:eastAsia="zh-CN"/>
              </w:rPr>
              <w:t>投标文件不含有采购人不能接受的附加条件</w:t>
            </w:r>
          </w:p>
        </w:tc>
        <w:tc>
          <w:tcPr>
            <w:tcW w:w="1406" w:type="dxa"/>
            <w:vAlign w:val="center"/>
          </w:tcPr>
          <w:p>
            <w:pPr>
              <w:spacing w:line="300" w:lineRule="auto"/>
              <w:jc w:val="both"/>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6</w:t>
            </w:r>
          </w:p>
        </w:tc>
        <w:tc>
          <w:tcPr>
            <w:tcW w:w="1442" w:type="dxa"/>
            <w:vAlign w:val="center"/>
          </w:tcPr>
          <w:p>
            <w:pPr>
              <w:spacing w:line="300" w:lineRule="auto"/>
              <w:jc w:val="center"/>
              <w:rPr>
                <w:rFonts w:ascii="Times New Roman" w:hAnsi="Times New Roman"/>
                <w:color w:val="auto"/>
                <w:sz w:val="24"/>
                <w:szCs w:val="24"/>
              </w:rPr>
            </w:pPr>
            <w:r>
              <w:rPr>
                <w:rFonts w:ascii="Times New Roman" w:hAnsi="Times New Roman"/>
                <w:color w:val="auto"/>
                <w:sz w:val="24"/>
                <w:szCs w:val="24"/>
              </w:rPr>
              <w:t>串通投标</w:t>
            </w:r>
          </w:p>
        </w:tc>
        <w:tc>
          <w:tcPr>
            <w:tcW w:w="4795" w:type="dxa"/>
            <w:vAlign w:val="center"/>
          </w:tcPr>
          <w:p>
            <w:pPr>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不存在</w:t>
            </w:r>
            <w:r>
              <w:rPr>
                <w:rFonts w:ascii="Times New Roman" w:hAnsi="Times New Roman"/>
                <w:color w:val="auto"/>
                <w:sz w:val="24"/>
                <w:szCs w:val="24"/>
                <w:lang w:eastAsia="zh-CN"/>
              </w:rPr>
              <w:t>视为投标人串通投标的情形</w:t>
            </w:r>
          </w:p>
        </w:tc>
        <w:tc>
          <w:tcPr>
            <w:tcW w:w="1406" w:type="dxa"/>
            <w:vAlign w:val="center"/>
          </w:tcPr>
          <w:p>
            <w:pPr>
              <w:spacing w:line="300" w:lineRule="auto"/>
              <w:jc w:val="both"/>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ascii="Times New Roman" w:hAnsi="Times New Roman"/>
                <w:color w:val="auto"/>
                <w:sz w:val="24"/>
                <w:szCs w:val="24"/>
                <w:lang w:eastAsia="zh-CN"/>
              </w:rPr>
              <w:t>7</w:t>
            </w:r>
          </w:p>
        </w:tc>
        <w:tc>
          <w:tcPr>
            <w:tcW w:w="1442" w:type="dxa"/>
            <w:vAlign w:val="center"/>
          </w:tcPr>
          <w:p>
            <w:pPr>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报价的合理性（如有）</w:t>
            </w:r>
          </w:p>
        </w:tc>
        <w:tc>
          <w:tcPr>
            <w:tcW w:w="4795" w:type="dxa"/>
            <w:vAlign w:val="center"/>
          </w:tcPr>
          <w:p>
            <w:pPr>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报价明显低于其他通过符合性审查投标人的报价，有可能影响产品质量或者不能诚信履约的，且未能按照评标委员会的要求在评标现场合理的时间内提供书面说明（必要时提交相关证明材料）以证明其报价合理性的（如有）</w:t>
            </w:r>
          </w:p>
        </w:tc>
        <w:tc>
          <w:tcPr>
            <w:tcW w:w="1406" w:type="dxa"/>
            <w:vAlign w:val="center"/>
          </w:tcPr>
          <w:p>
            <w:pPr>
              <w:spacing w:line="300" w:lineRule="auto"/>
              <w:jc w:val="both"/>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ascii="Times New Roman" w:hAnsi="Times New Roman"/>
                <w:color w:val="auto"/>
                <w:sz w:val="24"/>
                <w:szCs w:val="24"/>
                <w:lang w:eastAsia="zh-CN"/>
              </w:rPr>
              <w:t>8</w:t>
            </w:r>
          </w:p>
        </w:tc>
        <w:tc>
          <w:tcPr>
            <w:tcW w:w="1442" w:type="dxa"/>
            <w:vAlign w:val="center"/>
          </w:tcPr>
          <w:p>
            <w:pPr>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rPr>
              <w:t>澄清、说明或补正</w:t>
            </w:r>
          </w:p>
        </w:tc>
        <w:tc>
          <w:tcPr>
            <w:tcW w:w="4795" w:type="dxa"/>
            <w:vAlign w:val="center"/>
          </w:tcPr>
          <w:p>
            <w:pPr>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按评标委员会要求澄清、说明或补正的（如有）</w:t>
            </w:r>
          </w:p>
        </w:tc>
        <w:tc>
          <w:tcPr>
            <w:tcW w:w="1406" w:type="dxa"/>
            <w:vAlign w:val="center"/>
          </w:tcPr>
          <w:p>
            <w:pPr>
              <w:spacing w:line="300" w:lineRule="auto"/>
              <w:jc w:val="both"/>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993" w:type="dxa"/>
            <w:vAlign w:val="center"/>
          </w:tcPr>
          <w:p>
            <w:pPr>
              <w:pStyle w:val="52"/>
              <w:spacing w:before="31" w:line="300" w:lineRule="auto"/>
              <w:jc w:val="center"/>
              <w:rPr>
                <w:rFonts w:ascii="Times New Roman" w:hAnsi="Times New Roman"/>
                <w:color w:val="auto"/>
                <w:sz w:val="24"/>
                <w:szCs w:val="24"/>
                <w:lang w:eastAsia="zh-CN"/>
              </w:rPr>
            </w:pPr>
            <w:r>
              <w:rPr>
                <w:rFonts w:ascii="Times New Roman" w:hAnsi="Times New Roman"/>
                <w:color w:val="auto"/>
                <w:sz w:val="24"/>
                <w:szCs w:val="24"/>
                <w:lang w:eastAsia="zh-CN"/>
              </w:rPr>
              <w:t>9</w:t>
            </w:r>
          </w:p>
        </w:tc>
        <w:tc>
          <w:tcPr>
            <w:tcW w:w="1442" w:type="dxa"/>
            <w:vAlign w:val="center"/>
          </w:tcPr>
          <w:p>
            <w:pPr>
              <w:spacing w:line="300" w:lineRule="auto"/>
              <w:jc w:val="center"/>
              <w:rPr>
                <w:rFonts w:ascii="Times New Roman" w:hAnsi="Times New Roman"/>
                <w:color w:val="auto"/>
                <w:sz w:val="24"/>
                <w:szCs w:val="24"/>
                <w:lang w:eastAsia="zh-CN"/>
              </w:rPr>
            </w:pPr>
            <w:r>
              <w:rPr>
                <w:rFonts w:hint="eastAsia" w:ascii="Times New Roman" w:hAnsi="Times New Roman"/>
                <w:color w:val="auto"/>
                <w:sz w:val="24"/>
                <w:szCs w:val="24"/>
              </w:rPr>
              <w:t>其它</w:t>
            </w:r>
          </w:p>
        </w:tc>
        <w:tc>
          <w:tcPr>
            <w:tcW w:w="4795" w:type="dxa"/>
            <w:vAlign w:val="center"/>
          </w:tcPr>
          <w:p>
            <w:pPr>
              <w:spacing w:line="300" w:lineRule="auto"/>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不存在法律、法规和招标文件规定的其他无效情形</w:t>
            </w:r>
          </w:p>
        </w:tc>
        <w:tc>
          <w:tcPr>
            <w:tcW w:w="1406" w:type="dxa"/>
            <w:vAlign w:val="center"/>
          </w:tcPr>
          <w:p>
            <w:pPr>
              <w:spacing w:line="300" w:lineRule="auto"/>
              <w:jc w:val="both"/>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80" w:hRule="atLeast"/>
          <w:jc w:val="center"/>
        </w:trPr>
        <w:tc>
          <w:tcPr>
            <w:tcW w:w="7230" w:type="dxa"/>
            <w:gridSpan w:val="3"/>
            <w:vAlign w:val="center"/>
          </w:tcPr>
          <w:p>
            <w:pPr>
              <w:jc w:val="center"/>
              <w:rPr>
                <w:rFonts w:ascii="Times New Roman" w:hAnsi="Times New Roman"/>
                <w:b/>
                <w:color w:val="auto"/>
                <w:sz w:val="24"/>
                <w:szCs w:val="24"/>
                <w:lang w:eastAsia="zh-CN"/>
              </w:rPr>
            </w:pPr>
            <w:r>
              <w:rPr>
                <w:rFonts w:ascii="Times New Roman" w:hAnsi="Times New Roman"/>
                <w:b/>
                <w:color w:val="auto"/>
                <w:sz w:val="24"/>
                <w:szCs w:val="24"/>
                <w:lang w:eastAsia="zh-CN"/>
              </w:rPr>
              <w:t>结论（通过或未通过）</w:t>
            </w:r>
          </w:p>
        </w:tc>
        <w:tc>
          <w:tcPr>
            <w:tcW w:w="1406" w:type="dxa"/>
            <w:vAlign w:val="center"/>
          </w:tcPr>
          <w:p>
            <w:pPr>
              <w:jc w:val="center"/>
              <w:rPr>
                <w:rFonts w:ascii="Times New Roman" w:hAnsi="Times New Roman"/>
                <w:b/>
                <w:color w:val="auto"/>
                <w:sz w:val="24"/>
                <w:szCs w:val="24"/>
                <w:lang w:eastAsia="zh-CN"/>
              </w:rPr>
            </w:pPr>
          </w:p>
        </w:tc>
      </w:tr>
    </w:tbl>
    <w:p>
      <w:pPr>
        <w:spacing w:line="372" w:lineRule="exact"/>
        <w:ind w:left="-909" w:leftChars="-413" w:firstLine="972" w:firstLineChars="405"/>
        <w:rPr>
          <w:rFonts w:ascii="Times New Roman" w:hAnsi="Times New Roman"/>
          <w:color w:val="auto"/>
          <w:sz w:val="24"/>
          <w:szCs w:val="24"/>
          <w:lang w:eastAsia="zh-CN"/>
        </w:rPr>
      </w:pPr>
      <w:r>
        <w:rPr>
          <w:rFonts w:hint="eastAsia" w:ascii="Times New Roman" w:hAnsi="Times New Roman"/>
          <w:color w:val="auto"/>
          <w:sz w:val="24"/>
          <w:szCs w:val="24"/>
          <w:lang w:eastAsia="zh-CN"/>
        </w:rPr>
        <w:t>评标委员会全体</w:t>
      </w:r>
      <w:r>
        <w:rPr>
          <w:rFonts w:ascii="Times New Roman" w:hAnsi="Times New Roman"/>
          <w:color w:val="auto"/>
          <w:sz w:val="24"/>
          <w:szCs w:val="24"/>
          <w:lang w:eastAsia="zh-CN"/>
        </w:rPr>
        <w:t>成员签字</w:t>
      </w:r>
      <w:r>
        <w:rPr>
          <w:rFonts w:hint="eastAsia" w:ascii="Times New Roman" w:hAnsi="Times New Roman"/>
          <w:color w:val="auto"/>
          <w:sz w:val="24"/>
          <w:szCs w:val="24"/>
          <w:lang w:eastAsia="zh-CN"/>
        </w:rPr>
        <w:t>：</w:t>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日期：    年  月  日</w:t>
      </w:r>
      <w:bookmarkEnd w:id="421"/>
    </w:p>
    <w:p>
      <w:pPr>
        <w:rPr>
          <w:rFonts w:ascii="Times New Roman" w:hAnsi="Times New Roman"/>
          <w:color w:val="auto"/>
          <w:sz w:val="24"/>
          <w:szCs w:val="24"/>
          <w:lang w:eastAsia="zh-CN"/>
        </w:rPr>
      </w:pPr>
      <w:r>
        <w:rPr>
          <w:rFonts w:ascii="Times New Roman" w:hAnsi="Times New Roman"/>
          <w:color w:val="auto"/>
          <w:sz w:val="24"/>
          <w:szCs w:val="24"/>
          <w:lang w:eastAsia="zh-CN"/>
        </w:rPr>
        <w:br w:type="page"/>
      </w:r>
    </w:p>
    <w:p>
      <w:pPr>
        <w:pStyle w:val="4"/>
        <w:keepNext w:val="0"/>
        <w:keepLines w:val="0"/>
        <w:rPr>
          <w:rStyle w:val="64"/>
          <w:rFonts w:ascii="Times New Roman" w:hAnsi="Times New Roman"/>
          <w:b/>
          <w:bCs w:val="0"/>
          <w:color w:val="auto"/>
        </w:rPr>
      </w:pPr>
      <w:r>
        <w:rPr>
          <w:rStyle w:val="64"/>
          <w:rFonts w:ascii="Times New Roman" w:hAnsi="Times New Roman"/>
          <w:b/>
          <w:color w:val="auto"/>
        </w:rPr>
        <w:t>附表</w:t>
      </w:r>
      <w:r>
        <w:rPr>
          <w:rStyle w:val="64"/>
          <w:rFonts w:hint="eastAsia" w:ascii="Times New Roman" w:hAnsi="Times New Roman"/>
          <w:b/>
          <w:color w:val="auto"/>
        </w:rPr>
        <w:t>5</w:t>
      </w:r>
      <w:r>
        <w:rPr>
          <w:rStyle w:val="64"/>
          <w:rFonts w:ascii="Times New Roman" w:hAnsi="Times New Roman"/>
          <w:b/>
          <w:color w:val="auto"/>
        </w:rPr>
        <w:t>：</w:t>
      </w:r>
      <w:r>
        <w:rPr>
          <w:rStyle w:val="64"/>
          <w:rFonts w:hint="eastAsia" w:ascii="Times New Roman" w:hAnsi="Times New Roman"/>
          <w:b/>
          <w:color w:val="auto"/>
        </w:rPr>
        <w:t>商务、技术及报价评分表</w:t>
      </w:r>
    </w:p>
    <w:p>
      <w:pPr>
        <w:pStyle w:val="11"/>
        <w:jc w:val="center"/>
        <w:rPr>
          <w:rStyle w:val="64"/>
          <w:rFonts w:ascii="Times New Roman" w:hAnsi="Times New Roman"/>
          <w:b/>
          <w:bCs w:val="0"/>
          <w:color w:val="auto"/>
        </w:rPr>
      </w:pPr>
      <w:r>
        <w:rPr>
          <w:rStyle w:val="64"/>
          <w:rFonts w:hint="eastAsia" w:ascii="Times New Roman" w:hAnsi="Times New Roman"/>
          <w:b/>
          <w:bCs w:val="0"/>
          <w:color w:val="auto"/>
        </w:rPr>
        <w:t>商务、技术及报价评分表</w:t>
      </w:r>
    </w:p>
    <w:p>
      <w:pPr>
        <w:pStyle w:val="11"/>
        <w:ind w:firstLine="240" w:firstLineChars="100"/>
        <w:rPr>
          <w:rFonts w:ascii="Times New Roman" w:hAnsi="Times New Roman" w:cs="Arial"/>
          <w:bCs/>
          <w:color w:val="auto"/>
          <w:sz w:val="24"/>
          <w:szCs w:val="24"/>
          <w:u w:val="single"/>
          <w:lang w:eastAsia="zh-CN"/>
        </w:rPr>
      </w:pPr>
      <w:r>
        <w:rPr>
          <w:rFonts w:hint="eastAsia" w:ascii="Times New Roman" w:hAnsi="Times New Roman" w:cs="Arial"/>
          <w:bCs/>
          <w:color w:val="auto"/>
          <w:sz w:val="24"/>
          <w:szCs w:val="24"/>
          <w:lang w:eastAsia="zh-CN"/>
        </w:rPr>
        <w:t>项目</w:t>
      </w:r>
      <w:r>
        <w:rPr>
          <w:rFonts w:ascii="Times New Roman" w:hAnsi="Times New Roman" w:cs="Arial"/>
          <w:bCs/>
          <w:color w:val="auto"/>
          <w:sz w:val="24"/>
          <w:szCs w:val="24"/>
          <w:lang w:eastAsia="zh-CN"/>
        </w:rPr>
        <w:t>名称：</w:t>
      </w:r>
      <w:r>
        <w:rPr>
          <w:rFonts w:hint="eastAsia" w:ascii="Times New Roman" w:hAnsi="Times New Roman" w:cs="Arial"/>
          <w:bCs/>
          <w:color w:val="auto"/>
          <w:sz w:val="24"/>
          <w:szCs w:val="24"/>
          <w:u w:val="single"/>
          <w:lang w:eastAsia="zh-CN"/>
        </w:rPr>
        <w:t xml:space="preserve"> </w:t>
      </w:r>
      <w:r>
        <w:rPr>
          <w:rFonts w:ascii="Times New Roman" w:hAnsi="Times New Roman" w:cs="Arial"/>
          <w:bCs/>
          <w:color w:val="auto"/>
          <w:sz w:val="24"/>
          <w:szCs w:val="24"/>
          <w:u w:val="single"/>
          <w:lang w:eastAsia="zh-CN"/>
        </w:rPr>
        <w:t xml:space="preserve">                        </w:t>
      </w:r>
    </w:p>
    <w:tbl>
      <w:tblPr>
        <w:tblStyle w:val="50"/>
        <w:tblW w:w="9374"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0" w:type="dxa"/>
          <w:bottom w:w="0" w:type="dxa"/>
          <w:right w:w="0" w:type="dxa"/>
        </w:tblCellMar>
      </w:tblPr>
      <w:tblGrid>
        <w:gridCol w:w="992"/>
        <w:gridCol w:w="851"/>
        <w:gridCol w:w="1833"/>
        <w:gridCol w:w="4890"/>
        <w:gridCol w:w="808"/>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228" w:hRule="atLeast"/>
          <w:jc w:val="center"/>
        </w:trPr>
        <w:tc>
          <w:tcPr>
            <w:tcW w:w="992" w:type="dxa"/>
            <w:vAlign w:val="center"/>
          </w:tcPr>
          <w:p>
            <w:pPr>
              <w:pStyle w:val="52"/>
              <w:spacing w:before="115" w:line="240" w:lineRule="auto"/>
              <w:ind w:left="103"/>
              <w:jc w:val="center"/>
              <w:rPr>
                <w:rFonts w:hint="default" w:asciiTheme="minorEastAsia" w:hAnsiTheme="minorEastAsia" w:eastAsiaTheme="minorEastAsia"/>
                <w:b/>
                <w:bCs/>
                <w:color w:val="auto"/>
                <w:sz w:val="20"/>
                <w:szCs w:val="20"/>
                <w:lang w:val="en-US" w:eastAsia="zh-CN"/>
              </w:rPr>
            </w:pPr>
            <w:r>
              <w:rPr>
                <w:rFonts w:hint="eastAsia" w:asciiTheme="minorEastAsia" w:hAnsiTheme="minorEastAsia" w:eastAsiaTheme="minorEastAsia"/>
                <w:b/>
                <w:bCs/>
                <w:color w:val="auto"/>
                <w:sz w:val="20"/>
                <w:szCs w:val="20"/>
                <w:lang w:val="en-US" w:eastAsia="zh-CN"/>
              </w:rPr>
              <w:t>评分内容</w:t>
            </w:r>
          </w:p>
        </w:tc>
        <w:tc>
          <w:tcPr>
            <w:tcW w:w="851" w:type="dxa"/>
            <w:vAlign w:val="center"/>
          </w:tcPr>
          <w:p>
            <w:pPr>
              <w:pStyle w:val="52"/>
              <w:spacing w:before="115" w:line="240" w:lineRule="auto"/>
              <w:ind w:left="103"/>
              <w:jc w:val="center"/>
              <w:rPr>
                <w:rFonts w:hint="default" w:asciiTheme="minorEastAsia" w:hAnsiTheme="minorEastAsia" w:eastAsiaTheme="minorEastAsia"/>
                <w:b/>
                <w:bCs/>
                <w:color w:val="auto"/>
                <w:sz w:val="20"/>
                <w:szCs w:val="20"/>
                <w:lang w:val="en-US" w:eastAsia="zh-CN"/>
              </w:rPr>
            </w:pPr>
            <w:r>
              <w:rPr>
                <w:rFonts w:hint="eastAsia" w:asciiTheme="minorEastAsia" w:hAnsiTheme="minorEastAsia" w:eastAsiaTheme="minorEastAsia"/>
                <w:b/>
                <w:bCs/>
                <w:color w:val="auto"/>
                <w:sz w:val="20"/>
                <w:szCs w:val="20"/>
                <w:lang w:val="en-US" w:eastAsia="zh-CN"/>
              </w:rPr>
              <w:t>标准分</w:t>
            </w:r>
          </w:p>
        </w:tc>
        <w:tc>
          <w:tcPr>
            <w:tcW w:w="7531" w:type="dxa"/>
            <w:gridSpan w:val="3"/>
            <w:vAlign w:val="center"/>
          </w:tcPr>
          <w:p>
            <w:pPr>
              <w:pStyle w:val="52"/>
              <w:spacing w:line="240" w:lineRule="auto"/>
              <w:ind w:left="103"/>
              <w:jc w:val="center"/>
              <w:rPr>
                <w:rFonts w:hint="default" w:asciiTheme="minorEastAsia" w:hAnsiTheme="minorEastAsia" w:eastAsiaTheme="minorEastAsia"/>
                <w:b/>
                <w:bCs/>
                <w:color w:val="auto"/>
                <w:sz w:val="20"/>
                <w:szCs w:val="20"/>
                <w:lang w:val="en-US" w:eastAsia="zh-CN"/>
              </w:rPr>
            </w:pPr>
            <w:r>
              <w:rPr>
                <w:rFonts w:hint="eastAsia" w:asciiTheme="minorEastAsia" w:hAnsiTheme="minorEastAsia" w:eastAsiaTheme="minorEastAsia"/>
                <w:b/>
                <w:bCs/>
                <w:color w:val="auto"/>
                <w:sz w:val="20"/>
                <w:szCs w:val="20"/>
                <w:lang w:val="en-US" w:eastAsia="zh-CN"/>
              </w:rPr>
              <w:t>评分标准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jc w:val="center"/>
        </w:trPr>
        <w:tc>
          <w:tcPr>
            <w:tcW w:w="992" w:type="dxa"/>
            <w:vAlign w:val="center"/>
          </w:tcPr>
          <w:p>
            <w:pPr>
              <w:pStyle w:val="52"/>
              <w:spacing w:before="115"/>
              <w:ind w:left="103" w:leftChars="0"/>
              <w:rPr>
                <w:rFonts w:cs="宋体" w:asciiTheme="minorEastAsia" w:hAnsiTheme="minorEastAsia" w:eastAsiaTheme="minorEastAsia"/>
                <w:color w:val="auto"/>
                <w:sz w:val="20"/>
                <w:szCs w:val="20"/>
                <w:lang w:val="en-US" w:eastAsia="zh-CN" w:bidi="ar-SA"/>
              </w:rPr>
            </w:pPr>
            <w:r>
              <w:rPr>
                <w:rFonts w:asciiTheme="minorEastAsia" w:hAnsiTheme="minorEastAsia" w:eastAsiaTheme="minorEastAsia"/>
                <w:color w:val="auto"/>
                <w:sz w:val="20"/>
                <w:szCs w:val="20"/>
                <w:lang w:eastAsia="zh-CN"/>
              </w:rPr>
              <w:t>(1)价格分</w:t>
            </w:r>
          </w:p>
        </w:tc>
        <w:tc>
          <w:tcPr>
            <w:tcW w:w="851" w:type="dxa"/>
            <w:vAlign w:val="center"/>
          </w:tcPr>
          <w:p>
            <w:pPr>
              <w:pStyle w:val="52"/>
              <w:spacing w:before="115"/>
              <w:ind w:left="103" w:leftChars="0"/>
              <w:rPr>
                <w:rFonts w:hint="eastAsia" w:cs="宋体" w:asciiTheme="minorEastAsia" w:hAnsiTheme="minorEastAsia" w:eastAsiaTheme="minorEastAsia"/>
                <w:color w:val="auto"/>
                <w:sz w:val="20"/>
                <w:szCs w:val="20"/>
                <w:lang w:val="en-US" w:eastAsia="zh-CN" w:bidi="ar-SA"/>
              </w:rPr>
            </w:pPr>
            <w:r>
              <w:rPr>
                <w:rFonts w:hint="eastAsia" w:asciiTheme="minorEastAsia" w:hAnsiTheme="minorEastAsia" w:eastAsiaTheme="minorEastAsia"/>
                <w:color w:val="auto"/>
                <w:sz w:val="20"/>
                <w:szCs w:val="20"/>
                <w:lang w:eastAsia="zh-CN"/>
              </w:rPr>
              <w:t>10</w:t>
            </w:r>
            <w:r>
              <w:rPr>
                <w:rFonts w:asciiTheme="minorEastAsia" w:hAnsiTheme="minorEastAsia" w:eastAsiaTheme="minorEastAsia"/>
                <w:color w:val="auto"/>
                <w:sz w:val="20"/>
                <w:szCs w:val="20"/>
                <w:lang w:eastAsia="zh-CN"/>
              </w:rPr>
              <w:t xml:space="preserve"> 分</w:t>
            </w:r>
          </w:p>
        </w:tc>
        <w:tc>
          <w:tcPr>
            <w:tcW w:w="7531" w:type="dxa"/>
            <w:gridSpan w:val="3"/>
            <w:vAlign w:val="center"/>
          </w:tcPr>
          <w:p>
            <w:pPr>
              <w:pStyle w:val="52"/>
              <w:spacing w:line="273" w:lineRule="exact"/>
              <w:ind w:left="103"/>
              <w:jc w:val="both"/>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满足招标文件需求且投标价格最低的投标报价为评标基准价，其价格为满分。</w:t>
            </w:r>
          </w:p>
          <w:p>
            <w:pPr>
              <w:pStyle w:val="52"/>
              <w:spacing w:line="273" w:lineRule="exact"/>
              <w:jc w:val="both"/>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其他合格投标人的价格分统一按照下列公式计算：</w:t>
            </w:r>
          </w:p>
          <w:p>
            <w:pPr>
              <w:pStyle w:val="52"/>
              <w:spacing w:line="273" w:lineRule="exact"/>
              <w:ind w:left="103" w:leftChars="0"/>
              <w:jc w:val="both"/>
              <w:rPr>
                <w:rFonts w:hint="eastAsia" w:cs="宋体" w:asciiTheme="minorEastAsia" w:hAnsiTheme="minorEastAsia" w:eastAsiaTheme="minorEastAsia"/>
                <w:color w:val="auto"/>
                <w:sz w:val="20"/>
                <w:szCs w:val="20"/>
                <w:lang w:val="en-US" w:eastAsia="zh-CN" w:bidi="ar-SA"/>
              </w:rPr>
            </w:pPr>
            <w:r>
              <w:rPr>
                <w:rFonts w:hint="eastAsia" w:asciiTheme="minorEastAsia" w:hAnsiTheme="minorEastAsia" w:eastAsiaTheme="minorEastAsia"/>
                <w:color w:val="auto"/>
                <w:sz w:val="20"/>
                <w:szCs w:val="20"/>
                <w:lang w:eastAsia="zh-CN"/>
              </w:rPr>
              <w:t>投标报价得分＝（评标基准价÷投标报价）×10</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60" w:hRule="atLeast"/>
          <w:jc w:val="center"/>
        </w:trPr>
        <w:tc>
          <w:tcPr>
            <w:tcW w:w="992" w:type="dxa"/>
            <w:vAlign w:val="center"/>
          </w:tcPr>
          <w:p>
            <w:pPr>
              <w:pStyle w:val="52"/>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2）商务分</w:t>
            </w:r>
          </w:p>
        </w:tc>
        <w:tc>
          <w:tcPr>
            <w:tcW w:w="851" w:type="dxa"/>
            <w:vAlign w:val="center"/>
          </w:tcPr>
          <w:p>
            <w:pPr>
              <w:pStyle w:val="52"/>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20</w:t>
            </w:r>
            <w:r>
              <w:rPr>
                <w:rFonts w:asciiTheme="minorEastAsia" w:hAnsiTheme="minorEastAsia" w:eastAsiaTheme="minorEastAsia"/>
                <w:color w:val="auto"/>
                <w:sz w:val="20"/>
                <w:szCs w:val="20"/>
                <w:lang w:eastAsia="zh-CN"/>
              </w:rPr>
              <w:t>分</w:t>
            </w:r>
          </w:p>
        </w:tc>
        <w:tc>
          <w:tcPr>
            <w:tcW w:w="7531" w:type="dxa"/>
            <w:gridSpan w:val="3"/>
            <w:vAlign w:val="center"/>
          </w:tcPr>
          <w:p>
            <w:pPr>
              <w:pStyle w:val="52"/>
              <w:spacing w:line="312" w:lineRule="exact"/>
              <w:ind w:left="103"/>
              <w:jc w:val="both"/>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近三年</w:t>
            </w:r>
            <w:r>
              <w:rPr>
                <w:rFonts w:asciiTheme="minorEastAsia" w:hAnsiTheme="minorEastAsia" w:eastAsiaTheme="minorEastAsia"/>
                <w:color w:val="auto"/>
                <w:sz w:val="20"/>
                <w:szCs w:val="20"/>
                <w:lang w:eastAsia="zh-CN"/>
              </w:rPr>
              <w:t>承担过相同或类似</w:t>
            </w:r>
            <w:r>
              <w:rPr>
                <w:rFonts w:hint="eastAsia" w:asciiTheme="minorEastAsia" w:hAnsiTheme="minorEastAsia" w:eastAsiaTheme="minorEastAsia"/>
                <w:color w:val="auto"/>
                <w:sz w:val="20"/>
                <w:szCs w:val="20"/>
                <w:lang w:eastAsia="zh-CN"/>
              </w:rPr>
              <w:t>业绩每个5分，最高20分。（以提供业绩合同或中标通知书关键页</w:t>
            </w:r>
            <w:r>
              <w:rPr>
                <w:rFonts w:asciiTheme="minorEastAsia" w:hAnsiTheme="minorEastAsia" w:eastAsiaTheme="minorEastAsia"/>
                <w:color w:val="auto"/>
                <w:sz w:val="20"/>
                <w:szCs w:val="20"/>
                <w:lang w:eastAsia="zh-CN"/>
              </w:rPr>
              <w:t>复印件为准</w:t>
            </w:r>
            <w:r>
              <w:rPr>
                <w:rFonts w:hint="eastAsia" w:asciiTheme="minorEastAsia" w:hAnsiTheme="minorEastAsia" w:eastAsiaTheme="minorEastAsia"/>
                <w:color w:val="auto"/>
                <w:sz w:val="20"/>
                <w:szCs w:val="20"/>
                <w:lang w:eastAsia="zh-CN"/>
              </w:rPr>
              <w:t>）</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919" w:hRule="exact"/>
          <w:jc w:val="center"/>
        </w:trPr>
        <w:tc>
          <w:tcPr>
            <w:tcW w:w="992" w:type="dxa"/>
            <w:vMerge w:val="restart"/>
            <w:vAlign w:val="center"/>
          </w:tcPr>
          <w:p>
            <w:pPr>
              <w:pStyle w:val="52"/>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(3</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技术分</w:t>
            </w:r>
          </w:p>
        </w:tc>
        <w:tc>
          <w:tcPr>
            <w:tcW w:w="851" w:type="dxa"/>
            <w:vMerge w:val="restart"/>
            <w:vAlign w:val="center"/>
          </w:tcPr>
          <w:p>
            <w:pPr>
              <w:pStyle w:val="52"/>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70</w:t>
            </w:r>
            <w:r>
              <w:rPr>
                <w:rFonts w:asciiTheme="minorEastAsia" w:hAnsiTheme="minorEastAsia" w:eastAsiaTheme="minorEastAsia"/>
                <w:color w:val="auto"/>
                <w:sz w:val="20"/>
                <w:szCs w:val="20"/>
                <w:lang w:eastAsia="zh-CN"/>
              </w:rPr>
              <w:t>分</w:t>
            </w:r>
          </w:p>
        </w:tc>
        <w:tc>
          <w:tcPr>
            <w:tcW w:w="1833" w:type="dxa"/>
            <w:vMerge w:val="restart"/>
            <w:vAlign w:val="center"/>
          </w:tcPr>
          <w:p>
            <w:pPr>
              <w:pStyle w:val="52"/>
              <w:spacing w:before="89"/>
              <w:ind w:left="103"/>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项目部人员构成情况（6分）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项目部人员分工清晰合理，各班组责任目标高效明确，年龄结构呈纺锥状、兼顾了经验与活力。</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w:t>
            </w:r>
            <w:r>
              <w:rPr>
                <w:rFonts w:hint="eastAsia" w:asciiTheme="minorEastAsia" w:hAnsiTheme="minorEastAsia" w:eastAsiaTheme="minorEastAsia"/>
                <w:color w:val="auto"/>
                <w:sz w:val="20"/>
                <w:szCs w:val="20"/>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91"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89"/>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项目部人员分工合理，各班组责任目标明确，年龄结构偏向两极。</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715"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89"/>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项目部人员分工可以满足采购需求，对项目责任目标进行了分解，年龄结构偏向一极。</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55"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89"/>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项目部人员可以满足最基本的采购需求。</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578"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89"/>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项目部人员无法满足最基本的采购需求。</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703"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restart"/>
            <w:vAlign w:val="center"/>
          </w:tcPr>
          <w:p>
            <w:pPr>
              <w:pStyle w:val="52"/>
              <w:spacing w:before="89"/>
              <w:ind w:left="103"/>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拟投入机械设备情况（4分）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拟投入机械设备齐全，机械设备购置年限未超过5年。</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w:t>
            </w:r>
            <w:r>
              <w:rPr>
                <w:rFonts w:hint="eastAsia" w:asciiTheme="minorEastAsia" w:hAnsiTheme="minorEastAsia" w:eastAsiaTheme="minorEastAsia"/>
                <w:color w:val="auto"/>
                <w:sz w:val="20"/>
                <w:szCs w:val="20"/>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717"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89"/>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拟投入机械设备齐全，机械设备购置年限未超过10年。</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w:t>
            </w:r>
            <w:r>
              <w:rPr>
                <w:rFonts w:hint="eastAsia" w:asciiTheme="minorEastAsia" w:hAnsiTheme="minorEastAsia" w:eastAsiaTheme="minorEastAsia"/>
                <w:color w:val="auto"/>
                <w:sz w:val="20"/>
                <w:szCs w:val="20"/>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717"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89"/>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拟投入机械设备齐全，机械设备购置年限未超过15年。</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717"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89"/>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拟投入机械设备不全，但可以满足最基本的采购需求。</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65" w:hRule="exact"/>
          <w:jc w:val="center"/>
        </w:trPr>
        <w:tc>
          <w:tcPr>
            <w:tcW w:w="992" w:type="dxa"/>
            <w:vMerge w:val="continue"/>
            <w:vAlign w:val="center"/>
          </w:tcPr>
          <w:p>
            <w:pPr>
              <w:pStyle w:val="52"/>
              <w:ind w:left="103"/>
              <w:rPr>
                <w:rFonts w:asciiTheme="minorEastAsia" w:hAnsiTheme="minorEastAsia" w:eastAsiaTheme="minorEastAsia"/>
                <w:color w:val="auto"/>
                <w:sz w:val="20"/>
                <w:szCs w:val="20"/>
                <w:lang w:eastAsia="zh-CN"/>
              </w:rPr>
            </w:pPr>
          </w:p>
        </w:tc>
        <w:tc>
          <w:tcPr>
            <w:tcW w:w="851" w:type="dxa"/>
            <w:vMerge w:val="continue"/>
            <w:vAlign w:val="center"/>
          </w:tcPr>
          <w:p>
            <w:pPr>
              <w:pStyle w:val="52"/>
              <w:ind w:left="103"/>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89"/>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拟投入机械设备无法满足最基本的采购需求。</w:t>
            </w:r>
          </w:p>
        </w:tc>
        <w:tc>
          <w:tcPr>
            <w:tcW w:w="808" w:type="dxa"/>
            <w:vAlign w:val="center"/>
          </w:tcPr>
          <w:p>
            <w:pPr>
              <w:pStyle w:val="52"/>
              <w:spacing w:before="89"/>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根据养护管理内容及管护标准编制管护作业方案（4分）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管护方案思路清晰，内容完整，可实施性强</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管护方案思路无偏离，内容完整，可实施性强但项目针对性弱，存在一定提升空间</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管护方案思路有偏离，内容完整无明显缺漏项，可实施性描述几无可见。</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管护方案思路有重大偏离，内容存在明显缺漏项。</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管护方案无法满足最基本的采购需求。</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养护质量保证措施</w:t>
            </w:r>
          </w:p>
          <w:p>
            <w:pPr>
              <w:pStyle w:val="52"/>
              <w:spacing w:before="29" w:line="312" w:lineRule="exact"/>
              <w:ind w:left="103"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养护质量保证措施明确、具体，有相应制度保障可执行性。</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养护质量保证措施明确、具体，但无相应制度保障可执行性。</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养护质量保证措施具体且无偏离，有相应制度保障可执行性。</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养护质量保证措施具体且无偏离，无相应制度保障可执行性。</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38"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养护质量保证措施有描述但生搬硬套、没有针对性，且无相应制度保障可执行性。</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44"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养护质量保证措施出现明显偏离。</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44"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before="29" w:line="312" w:lineRule="exact"/>
              <w:ind w:left="103" w:right="101"/>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养护质量保证措施无法满足最基本的采购需求。</w:t>
            </w:r>
          </w:p>
        </w:tc>
        <w:tc>
          <w:tcPr>
            <w:tcW w:w="808" w:type="dxa"/>
            <w:vAlign w:val="center"/>
          </w:tcPr>
          <w:p>
            <w:pPr>
              <w:pStyle w:val="52"/>
              <w:spacing w:before="29" w:line="312" w:lineRule="exact"/>
              <w:ind w:right="101"/>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56"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ind w:left="102" w:right="264"/>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安全生产规章制度、安全生产责任制度、教育培训制度、隐患排查治理制度、设施设备安全管理制度、特种作业人员管理制度</w:t>
            </w:r>
          </w:p>
          <w:p>
            <w:pPr>
              <w:pStyle w:val="52"/>
              <w:ind w:left="102" w:right="264"/>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6项制度齐备</w:t>
            </w:r>
          </w:p>
        </w:tc>
        <w:tc>
          <w:tcPr>
            <w:tcW w:w="808" w:type="dxa"/>
            <w:vAlign w:val="center"/>
          </w:tcPr>
          <w:p>
            <w:pPr>
              <w:pStyle w:val="52"/>
              <w:ind w:right="264"/>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56"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缺1项</w:t>
            </w:r>
          </w:p>
        </w:tc>
        <w:tc>
          <w:tcPr>
            <w:tcW w:w="808" w:type="dxa"/>
            <w:vAlign w:val="center"/>
          </w:tcPr>
          <w:p>
            <w:pPr>
              <w:pStyle w:val="52"/>
              <w:ind w:right="264"/>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156"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缺2项</w:t>
            </w:r>
          </w:p>
        </w:tc>
        <w:tc>
          <w:tcPr>
            <w:tcW w:w="808" w:type="dxa"/>
            <w:vAlign w:val="center"/>
          </w:tcPr>
          <w:p>
            <w:pPr>
              <w:pStyle w:val="52"/>
              <w:ind w:right="264"/>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344"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缺3项</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19"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缺4项</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6"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缺5项</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无不得分</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line="274" w:lineRule="exact"/>
              <w:ind w:left="103"/>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管护人员岗前技术培训方案</w:t>
            </w:r>
          </w:p>
          <w:p>
            <w:pPr>
              <w:pStyle w:val="52"/>
              <w:spacing w:line="274" w:lineRule="exact"/>
              <w:ind w:left="103"/>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培训方案多维立体、深入浅出，有相应培训大纲</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w:t>
            </w:r>
            <w:r>
              <w:rPr>
                <w:rFonts w:hint="eastAsia" w:asciiTheme="minorEastAsia" w:hAnsiTheme="minorEastAsia" w:eastAsiaTheme="minorEastAsia"/>
                <w:color w:val="auto"/>
                <w:sz w:val="20"/>
                <w:szCs w:val="20"/>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ind w:left="103"/>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培训方案具体，有培训大纲</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w:t>
            </w:r>
            <w:r>
              <w:rPr>
                <w:rFonts w:hint="eastAsia" w:asciiTheme="minorEastAsia" w:hAnsiTheme="minorEastAsia" w:eastAsiaTheme="minorEastAsia"/>
                <w:color w:val="auto"/>
                <w:sz w:val="20"/>
                <w:szCs w:val="20"/>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有培训方案，缺乏项目针对性</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w:t>
            </w:r>
            <w:r>
              <w:rPr>
                <w:rFonts w:hint="eastAsia" w:asciiTheme="minorEastAsia" w:hAnsiTheme="minorEastAsia" w:eastAsiaTheme="minorEastAsia"/>
                <w:color w:val="auto"/>
                <w:sz w:val="20"/>
                <w:szCs w:val="20"/>
              </w:rPr>
              <w:t>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培训方案无法满足最基本的采购需求。</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林木补植补造计划，</w:t>
            </w:r>
            <w:r>
              <w:rPr>
                <w:rFonts w:asciiTheme="minorEastAsia" w:hAnsiTheme="minorEastAsia" w:eastAsiaTheme="minorEastAsia"/>
                <w:color w:val="auto"/>
                <w:sz w:val="20"/>
                <w:szCs w:val="20"/>
                <w:lang w:eastAsia="zh-CN"/>
              </w:rPr>
              <w:t>方案</w:t>
            </w:r>
          </w:p>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补植补造计划明确清晰</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遏制</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有针对本项目现场情况制定的特殊机制</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有补植补造计划</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有针对本项目现场情况制定的特殊机制</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有补植补造计划</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无针对本项目现场情况制定的特殊机制</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无补植补造计划</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无针对本项目现场情况制定的特殊机制</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无补植补造计划</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但与本项目实际环境</w:t>
            </w:r>
            <w:r>
              <w:rPr>
                <w:rFonts w:hint="eastAsia" w:asciiTheme="minorEastAsia" w:hAnsiTheme="minorEastAsia" w:eastAsiaTheme="minorEastAsia"/>
                <w:color w:val="auto"/>
                <w:sz w:val="20"/>
                <w:szCs w:val="20"/>
                <w:lang w:eastAsia="zh-CN"/>
              </w:rPr>
              <w:t>明显</w:t>
            </w:r>
            <w:r>
              <w:rPr>
                <w:rFonts w:asciiTheme="minorEastAsia" w:hAnsiTheme="minorEastAsia" w:eastAsiaTheme="minorEastAsia"/>
                <w:color w:val="auto"/>
                <w:sz w:val="20"/>
                <w:szCs w:val="20"/>
                <w:lang w:eastAsia="zh-CN"/>
              </w:rPr>
              <w:t>不符</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无方案不得分。</w:t>
            </w:r>
          </w:p>
        </w:tc>
        <w:tc>
          <w:tcPr>
            <w:tcW w:w="808" w:type="dxa"/>
            <w:vAlign w:val="center"/>
          </w:tcPr>
          <w:p>
            <w:pPr>
              <w:pStyle w:val="52"/>
              <w:spacing w:line="274" w:lineRule="exact"/>
              <w:jc w:val="center"/>
              <w:rPr>
                <w:rFonts w:hint="default" w:asciiTheme="minorEastAsia" w:hAnsiTheme="minorEastAsia" w:eastAsiaTheme="minorEastAsia"/>
                <w:color w:val="auto"/>
                <w:sz w:val="20"/>
                <w:szCs w:val="20"/>
                <w:lang w:val="en-US" w:eastAsia="zh-CN"/>
              </w:rPr>
            </w:pPr>
            <w:r>
              <w:rPr>
                <w:rFonts w:hint="eastAsia" w:asciiTheme="minorEastAsia" w:hAnsiTheme="minorEastAsia" w:eastAsiaTheme="minorEastAsia"/>
                <w:color w:val="auto"/>
                <w:sz w:val="20"/>
                <w:szCs w:val="20"/>
                <w:lang w:val="en-US"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安全文明施工方案</w:t>
            </w:r>
          </w:p>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安全文明方案明确</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措施具体</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有明确责任目标</w:t>
            </w:r>
            <w:r>
              <w:rPr>
                <w:rFonts w:hint="eastAsia" w:asciiTheme="minorEastAsia" w:hAnsiTheme="minorEastAsia" w:eastAsiaTheme="minorEastAsia"/>
                <w:color w:val="auto"/>
                <w:sz w:val="20"/>
                <w:szCs w:val="20"/>
                <w:lang w:eastAsia="zh-CN"/>
              </w:rPr>
              <w:t>且</w:t>
            </w:r>
            <w:r>
              <w:rPr>
                <w:rFonts w:asciiTheme="minorEastAsia" w:hAnsiTheme="minorEastAsia" w:eastAsiaTheme="minorEastAsia"/>
                <w:color w:val="auto"/>
                <w:sz w:val="20"/>
                <w:szCs w:val="20"/>
                <w:lang w:eastAsia="zh-CN"/>
              </w:rPr>
              <w:t>落实到人</w:t>
            </w:r>
            <w:r>
              <w:rPr>
                <w:rFonts w:hint="eastAsia" w:asciiTheme="minorEastAsia" w:hAnsiTheme="minorEastAsia" w:eastAsiaTheme="minorEastAsia"/>
                <w:color w:val="auto"/>
                <w:sz w:val="20"/>
                <w:szCs w:val="20"/>
                <w:lang w:eastAsia="zh-CN"/>
              </w:rPr>
              <w:t>，充分考虑了本项目实际情况。</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r>
      <w:tr>
        <w:tblPrEx>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安全文明方案明确</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措施具体</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但与本项目实际环境</w:t>
            </w:r>
            <w:r>
              <w:rPr>
                <w:rFonts w:hint="eastAsia" w:asciiTheme="minorEastAsia" w:hAnsiTheme="minorEastAsia" w:eastAsiaTheme="minorEastAsia"/>
                <w:color w:val="auto"/>
                <w:sz w:val="20"/>
                <w:szCs w:val="20"/>
                <w:lang w:eastAsia="zh-CN"/>
              </w:rPr>
              <w:t>明显</w:t>
            </w:r>
            <w:r>
              <w:rPr>
                <w:rFonts w:asciiTheme="minorEastAsia" w:hAnsiTheme="minorEastAsia" w:eastAsiaTheme="minorEastAsia"/>
                <w:color w:val="auto"/>
                <w:sz w:val="20"/>
                <w:szCs w:val="20"/>
                <w:lang w:eastAsia="zh-CN"/>
              </w:rPr>
              <w:t>不符</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安全文明措施描述简单</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无方案不得分。</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森林火灾预防、监测、报告和相应扑救方案（6分）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预防、监测、报告方案清晰全面，且</w:t>
            </w:r>
            <w:r>
              <w:rPr>
                <w:rFonts w:asciiTheme="minorEastAsia" w:hAnsiTheme="minorEastAsia" w:eastAsiaTheme="minorEastAsia"/>
                <w:color w:val="auto"/>
                <w:sz w:val="20"/>
                <w:szCs w:val="20"/>
                <w:lang w:eastAsia="zh-CN"/>
              </w:rPr>
              <w:t>充分借助了高新技术手段</w:t>
            </w:r>
            <w:r>
              <w:rPr>
                <w:rFonts w:hint="eastAsia" w:asciiTheme="minorEastAsia" w:hAnsiTheme="minorEastAsia" w:eastAsiaTheme="minorEastAsia"/>
                <w:color w:val="auto"/>
                <w:sz w:val="20"/>
                <w:szCs w:val="20"/>
                <w:lang w:eastAsia="zh-CN"/>
              </w:rPr>
              <w:t>，扑救方案明确具体，且有周密的人员保护措施。</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预防、监测、报告方案清晰全面，扑救方案明确具体。</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预防、监测、报告方案无缺项，扑救方案具体。</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方案描述简单</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粗糙</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项目针对性几乎可见</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无方案不得分。</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森林有害生物防治预测、预报、防治方案</w:t>
            </w:r>
          </w:p>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方案对于预测</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预报</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防治三方面均有</w:t>
            </w:r>
            <w:r>
              <w:rPr>
                <w:rFonts w:hint="eastAsia" w:asciiTheme="minorEastAsia" w:hAnsiTheme="minorEastAsia" w:eastAsiaTheme="minorEastAsia"/>
                <w:color w:val="auto"/>
                <w:sz w:val="20"/>
                <w:szCs w:val="20"/>
                <w:lang w:eastAsia="zh-CN"/>
              </w:rPr>
              <w:t>涉及，吸纳了有害生物防治领域的前沿理论、技术，结合项目实际</w:t>
            </w:r>
            <w:r>
              <w:rPr>
                <w:rFonts w:asciiTheme="minorEastAsia" w:hAnsiTheme="minorEastAsia" w:eastAsiaTheme="minorEastAsia"/>
                <w:color w:val="auto"/>
                <w:sz w:val="20"/>
                <w:szCs w:val="20"/>
                <w:lang w:eastAsia="zh-CN"/>
              </w:rPr>
              <w:t>充分借助了高新技术手段</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方案描述具体</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未出现缺漏项</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方案描述简单</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粗糙</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项目针对性几乎可见</w:t>
            </w:r>
            <w:r>
              <w:rPr>
                <w:rFonts w:hint="eastAsia" w:asciiTheme="minorEastAsia" w:hAnsiTheme="minorEastAsia" w:eastAsiaTheme="minorEastAsia"/>
                <w:color w:val="auto"/>
                <w:sz w:val="20"/>
                <w:szCs w:val="20"/>
                <w:lang w:eastAsia="zh-CN"/>
              </w:rPr>
              <w:t>。</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无方案不得分。</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针对暴风、暴雨、暴雪、冰雹、干旱、冻害等自然灾害应急预案以及抵抗风险的措施（6分）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6项齐备</w:t>
            </w:r>
          </w:p>
        </w:tc>
        <w:tc>
          <w:tcPr>
            <w:tcW w:w="808" w:type="dxa"/>
            <w:vAlign w:val="center"/>
          </w:tcPr>
          <w:p>
            <w:pPr>
              <w:pStyle w:val="52"/>
              <w:ind w:right="264"/>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6分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缺1项</w:t>
            </w:r>
          </w:p>
        </w:tc>
        <w:tc>
          <w:tcPr>
            <w:tcW w:w="808" w:type="dxa"/>
            <w:vAlign w:val="center"/>
          </w:tcPr>
          <w:p>
            <w:pPr>
              <w:pStyle w:val="52"/>
              <w:ind w:right="264"/>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5分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缺2项</w:t>
            </w:r>
          </w:p>
        </w:tc>
        <w:tc>
          <w:tcPr>
            <w:tcW w:w="808" w:type="dxa"/>
            <w:vAlign w:val="center"/>
          </w:tcPr>
          <w:p>
            <w:pPr>
              <w:pStyle w:val="52"/>
              <w:ind w:right="264"/>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缺3项</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缺4项</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缺5项</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无不得分</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为减少人畜等危害</w:t>
            </w:r>
            <w:r>
              <w:rPr>
                <w:rFonts w:hint="eastAsia" w:asciiTheme="minorEastAsia" w:hAnsiTheme="minorEastAsia" w:eastAsiaTheme="minorEastAsia"/>
                <w:color w:val="auto"/>
                <w:sz w:val="20"/>
                <w:szCs w:val="20"/>
                <w:lang w:val="en-US" w:eastAsia="zh-CN"/>
              </w:rPr>
              <w:t>的</w:t>
            </w:r>
            <w:r>
              <w:rPr>
                <w:rFonts w:hint="eastAsia" w:asciiTheme="minorEastAsia" w:hAnsiTheme="minorEastAsia" w:eastAsiaTheme="minorEastAsia"/>
                <w:color w:val="auto"/>
                <w:sz w:val="20"/>
                <w:szCs w:val="20"/>
                <w:lang w:eastAsia="zh-CN"/>
              </w:rPr>
              <w:t>计划、方案（4分）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计划、方案</w:t>
            </w:r>
            <w:r>
              <w:rPr>
                <w:rFonts w:asciiTheme="minorEastAsia" w:hAnsiTheme="minorEastAsia" w:eastAsiaTheme="minorEastAsia"/>
                <w:color w:val="auto"/>
                <w:sz w:val="20"/>
                <w:szCs w:val="20"/>
                <w:lang w:eastAsia="zh-CN"/>
              </w:rPr>
              <w:t>明确</w:t>
            </w:r>
            <w:r>
              <w:rPr>
                <w:rFonts w:hint="eastAsia" w:asciiTheme="minorEastAsia" w:hAnsiTheme="minorEastAsia" w:eastAsiaTheme="minorEastAsia"/>
                <w:color w:val="auto"/>
                <w:sz w:val="20"/>
                <w:szCs w:val="20"/>
                <w:lang w:eastAsia="zh-CN"/>
              </w:rPr>
              <w:t>，阶段性目标清晰，附有相应进度承诺。</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计划、方案</w:t>
            </w:r>
            <w:r>
              <w:rPr>
                <w:rFonts w:asciiTheme="minorEastAsia" w:hAnsiTheme="minorEastAsia" w:eastAsiaTheme="minorEastAsia"/>
                <w:color w:val="auto"/>
                <w:sz w:val="20"/>
                <w:szCs w:val="20"/>
                <w:lang w:eastAsia="zh-CN"/>
              </w:rPr>
              <w:t>明确</w:t>
            </w:r>
            <w:r>
              <w:rPr>
                <w:rFonts w:hint="eastAsia" w:asciiTheme="minorEastAsia" w:hAnsiTheme="minorEastAsia" w:eastAsiaTheme="minorEastAsia"/>
                <w:color w:val="auto"/>
                <w:sz w:val="20"/>
                <w:szCs w:val="20"/>
                <w:lang w:eastAsia="zh-CN"/>
              </w:rPr>
              <w:t>，阶段性目标清晰。</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有计划</w:t>
            </w:r>
            <w:r>
              <w:rPr>
                <w:rFonts w:hint="eastAsia" w:asciiTheme="minorEastAsia" w:hAnsiTheme="minorEastAsia" w:eastAsiaTheme="minorEastAsia"/>
                <w:color w:val="auto"/>
                <w:sz w:val="20"/>
                <w:szCs w:val="20"/>
                <w:lang w:eastAsia="zh-CN"/>
              </w:rPr>
              <w:t>、方案，但未考虑项目实际情况。</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无方案不得分。</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restart"/>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招收当地农民参加林木资源管护</w:t>
            </w:r>
            <w:r>
              <w:rPr>
                <w:rFonts w:asciiTheme="minorEastAsia" w:hAnsiTheme="minorEastAsia" w:eastAsiaTheme="minorEastAsia"/>
                <w:color w:val="auto"/>
                <w:sz w:val="20"/>
                <w:szCs w:val="20"/>
                <w:lang w:eastAsia="zh-CN"/>
              </w:rPr>
              <w:t>就业计划及承诺</w:t>
            </w:r>
          </w:p>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asciiTheme="minorEastAsia" w:hAnsiTheme="minorEastAsia" w:eastAsiaTheme="minorEastAsia"/>
                <w:color w:val="auto"/>
                <w:sz w:val="20"/>
                <w:szCs w:val="20"/>
                <w:lang w:eastAsia="zh-CN"/>
              </w:rPr>
              <w:t>有明确计划</w:t>
            </w:r>
            <w:r>
              <w:rPr>
                <w:rFonts w:hint="eastAsia" w:asciiTheme="minorEastAsia" w:hAnsiTheme="minorEastAsia" w:eastAsiaTheme="minorEastAsia"/>
                <w:color w:val="auto"/>
                <w:sz w:val="20"/>
                <w:szCs w:val="20"/>
                <w:lang w:eastAsia="zh-CN"/>
              </w:rPr>
              <w:t>和</w:t>
            </w:r>
            <w:r>
              <w:rPr>
                <w:rFonts w:asciiTheme="minorEastAsia" w:hAnsiTheme="minorEastAsia" w:eastAsiaTheme="minorEastAsia"/>
                <w:color w:val="auto"/>
                <w:sz w:val="20"/>
                <w:szCs w:val="20"/>
                <w:lang w:eastAsia="zh-CN"/>
              </w:rPr>
              <w:t>实施路径</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承诺</w:t>
            </w:r>
            <w:r>
              <w:rPr>
                <w:rFonts w:hint="eastAsia" w:asciiTheme="minorEastAsia" w:hAnsiTheme="minorEastAsia" w:eastAsiaTheme="minorEastAsia"/>
                <w:color w:val="auto"/>
                <w:sz w:val="20"/>
                <w:szCs w:val="20"/>
                <w:lang w:eastAsia="zh-CN"/>
              </w:rPr>
              <w:t>招收当地农民参加林木资源管护人数占参与管护人员总数</w:t>
            </w:r>
            <w:r>
              <w:rPr>
                <w:rFonts w:asciiTheme="minorEastAsia" w:hAnsiTheme="minorEastAsia" w:eastAsiaTheme="minorEastAsia"/>
                <w:color w:val="auto"/>
                <w:sz w:val="20"/>
                <w:szCs w:val="20"/>
                <w:lang w:eastAsia="zh-CN"/>
              </w:rPr>
              <w:t>60%以上</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4分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662"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有明确计划和实施路径，承诺招收当地农民参加林木资源管护人数占参与管护人员总数5</w:t>
            </w:r>
            <w:r>
              <w:rPr>
                <w:rFonts w:asciiTheme="minorEastAsia" w:hAnsiTheme="minorEastAsia" w:eastAsiaTheme="minorEastAsia"/>
                <w:color w:val="auto"/>
                <w:sz w:val="20"/>
                <w:szCs w:val="20"/>
                <w:lang w:eastAsia="zh-CN"/>
              </w:rPr>
              <w:t>0%以上</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3分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有明确计划和实施路径，承诺招收当地农民参加林木资源管护人数占参与管护人员总数4</w:t>
            </w:r>
            <w:r>
              <w:rPr>
                <w:rFonts w:asciiTheme="minorEastAsia" w:hAnsiTheme="minorEastAsia" w:eastAsiaTheme="minorEastAsia"/>
                <w:color w:val="auto"/>
                <w:sz w:val="20"/>
                <w:szCs w:val="20"/>
                <w:lang w:eastAsia="zh-CN"/>
              </w:rPr>
              <w:t>0%以上</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2分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有明确计划和实施路径，承诺招收当地农民参加林木资源管护人数占参与管护人员总数3</w:t>
            </w:r>
            <w:r>
              <w:rPr>
                <w:rFonts w:asciiTheme="minorEastAsia" w:hAnsiTheme="minorEastAsia" w:eastAsiaTheme="minorEastAsia"/>
                <w:color w:val="auto"/>
                <w:sz w:val="20"/>
                <w:szCs w:val="20"/>
                <w:lang w:eastAsia="zh-CN"/>
              </w:rPr>
              <w:t>0%以上</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1分</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0" w:type="dxa"/>
            <w:bottom w:w="0" w:type="dxa"/>
            <w:right w:w="0" w:type="dxa"/>
          </w:tblCellMar>
        </w:tblPrEx>
        <w:trPr>
          <w:trHeight w:val="427" w:hRule="atLeast"/>
          <w:jc w:val="center"/>
        </w:trPr>
        <w:tc>
          <w:tcPr>
            <w:tcW w:w="992" w:type="dxa"/>
            <w:vMerge w:val="continue"/>
          </w:tcPr>
          <w:p>
            <w:pPr>
              <w:rPr>
                <w:rFonts w:asciiTheme="minorEastAsia" w:hAnsiTheme="minorEastAsia" w:eastAsiaTheme="minorEastAsia"/>
                <w:color w:val="auto"/>
                <w:sz w:val="20"/>
                <w:szCs w:val="20"/>
                <w:lang w:eastAsia="zh-CN"/>
              </w:rPr>
            </w:pPr>
          </w:p>
        </w:tc>
        <w:tc>
          <w:tcPr>
            <w:tcW w:w="851" w:type="dxa"/>
            <w:vMerge w:val="continue"/>
          </w:tcPr>
          <w:p>
            <w:pPr>
              <w:rPr>
                <w:rFonts w:asciiTheme="minorEastAsia" w:hAnsiTheme="minorEastAsia" w:eastAsiaTheme="minorEastAsia"/>
                <w:color w:val="auto"/>
                <w:sz w:val="20"/>
                <w:szCs w:val="20"/>
                <w:lang w:eastAsia="zh-CN"/>
              </w:rPr>
            </w:pPr>
          </w:p>
        </w:tc>
        <w:tc>
          <w:tcPr>
            <w:tcW w:w="1833" w:type="dxa"/>
            <w:vMerge w:val="continue"/>
            <w:vAlign w:val="center"/>
          </w:tcPr>
          <w:p>
            <w:pPr>
              <w:pStyle w:val="52"/>
              <w:spacing w:line="274" w:lineRule="exact"/>
              <w:jc w:val="center"/>
              <w:rPr>
                <w:rFonts w:asciiTheme="minorEastAsia" w:hAnsiTheme="minorEastAsia" w:eastAsiaTheme="minorEastAsia"/>
                <w:color w:val="auto"/>
                <w:sz w:val="20"/>
                <w:szCs w:val="20"/>
                <w:lang w:eastAsia="zh-CN"/>
              </w:rPr>
            </w:pPr>
          </w:p>
        </w:tc>
        <w:tc>
          <w:tcPr>
            <w:tcW w:w="4890" w:type="dxa"/>
            <w:vAlign w:val="center"/>
          </w:tcPr>
          <w:p>
            <w:pPr>
              <w:pStyle w:val="52"/>
              <w:spacing w:before="89"/>
              <w:ind w:left="103"/>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无</w:t>
            </w:r>
            <w:r>
              <w:rPr>
                <w:rFonts w:asciiTheme="minorEastAsia" w:hAnsiTheme="minorEastAsia" w:eastAsiaTheme="minorEastAsia"/>
                <w:color w:val="auto"/>
                <w:sz w:val="20"/>
                <w:szCs w:val="20"/>
                <w:lang w:eastAsia="zh-CN"/>
              </w:rPr>
              <w:t>计划</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无承诺</w:t>
            </w:r>
            <w:r>
              <w:rPr>
                <w:rFonts w:hint="eastAsia" w:asciiTheme="minorEastAsia" w:hAnsiTheme="minorEastAsia" w:eastAsiaTheme="minorEastAsia"/>
                <w:color w:val="auto"/>
                <w:sz w:val="20"/>
                <w:szCs w:val="20"/>
                <w:lang w:eastAsia="zh-CN"/>
              </w:rPr>
              <w:t>、</w:t>
            </w:r>
            <w:r>
              <w:rPr>
                <w:rFonts w:asciiTheme="minorEastAsia" w:hAnsiTheme="minorEastAsia" w:eastAsiaTheme="minorEastAsia"/>
                <w:color w:val="auto"/>
                <w:sz w:val="20"/>
                <w:szCs w:val="20"/>
                <w:lang w:eastAsia="zh-CN"/>
              </w:rPr>
              <w:t>或低于</w:t>
            </w:r>
            <w:r>
              <w:rPr>
                <w:rFonts w:hint="eastAsia" w:asciiTheme="minorEastAsia" w:hAnsiTheme="minorEastAsia" w:eastAsiaTheme="minorEastAsia"/>
                <w:color w:val="auto"/>
                <w:sz w:val="20"/>
                <w:szCs w:val="20"/>
                <w:lang w:eastAsia="zh-CN"/>
              </w:rPr>
              <w:t>30%，不得分</w:t>
            </w:r>
          </w:p>
        </w:tc>
        <w:tc>
          <w:tcPr>
            <w:tcW w:w="808" w:type="dxa"/>
            <w:vAlign w:val="center"/>
          </w:tcPr>
          <w:p>
            <w:pPr>
              <w:pStyle w:val="52"/>
              <w:spacing w:line="274" w:lineRule="exact"/>
              <w:jc w:val="center"/>
              <w:rPr>
                <w:rFonts w:asciiTheme="minorEastAsia" w:hAnsiTheme="minorEastAsia" w:eastAsiaTheme="minorEastAsia"/>
                <w:color w:val="auto"/>
                <w:sz w:val="20"/>
                <w:szCs w:val="20"/>
                <w:lang w:eastAsia="zh-CN"/>
              </w:rPr>
            </w:pPr>
            <w:r>
              <w:rPr>
                <w:rFonts w:hint="eastAsia" w:asciiTheme="minorEastAsia" w:hAnsiTheme="minorEastAsia" w:eastAsiaTheme="minorEastAsia"/>
                <w:color w:val="auto"/>
                <w:sz w:val="20"/>
                <w:szCs w:val="20"/>
                <w:lang w:eastAsia="zh-CN"/>
              </w:rPr>
              <w:t>0分</w:t>
            </w:r>
          </w:p>
        </w:tc>
      </w:tr>
    </w:tbl>
    <w:p>
      <w:pPr>
        <w:spacing w:line="372" w:lineRule="exact"/>
        <w:ind w:left="-924" w:leftChars="-420" w:firstLine="964" w:firstLineChars="400"/>
        <w:rPr>
          <w:rFonts w:ascii="Times New Roman" w:hAnsi="Times New Roman"/>
          <w:b/>
          <w:color w:val="auto"/>
          <w:sz w:val="24"/>
          <w:szCs w:val="24"/>
          <w:lang w:eastAsia="zh-CN"/>
        </w:rPr>
      </w:pPr>
      <w:r>
        <w:rPr>
          <w:rFonts w:hint="eastAsia" w:ascii="Times New Roman" w:hAnsi="Times New Roman"/>
          <w:b/>
          <w:color w:val="auto"/>
          <w:sz w:val="24"/>
          <w:szCs w:val="24"/>
          <w:lang w:eastAsia="zh-CN"/>
        </w:rPr>
        <w:t>注：评分分值计算保留小数点后两位，小数点后第三位“四舍五入”。</w:t>
      </w:r>
    </w:p>
    <w:p>
      <w:pPr>
        <w:spacing w:line="372" w:lineRule="exact"/>
        <w:rPr>
          <w:rFonts w:hint="eastAsia" w:ascii="Times New Roman" w:hAnsi="Times New Roman"/>
          <w:color w:val="auto"/>
          <w:sz w:val="24"/>
          <w:szCs w:val="24"/>
          <w:lang w:eastAsia="zh-CN"/>
        </w:rPr>
      </w:pPr>
      <w:r>
        <w:rPr>
          <w:rFonts w:hint="eastAsia" w:ascii="Times New Roman" w:hAnsi="Times New Roman"/>
          <w:color w:val="auto"/>
          <w:sz w:val="24"/>
          <w:szCs w:val="24"/>
          <w:lang w:eastAsia="zh-CN"/>
        </w:rPr>
        <w:t>评标委员会</w:t>
      </w:r>
      <w:r>
        <w:rPr>
          <w:rFonts w:ascii="Times New Roman" w:hAnsi="Times New Roman"/>
          <w:color w:val="auto"/>
          <w:sz w:val="24"/>
          <w:szCs w:val="24"/>
          <w:lang w:eastAsia="zh-CN"/>
        </w:rPr>
        <w:t>成员签字</w:t>
      </w:r>
      <w:r>
        <w:rPr>
          <w:rFonts w:hint="eastAsia" w:ascii="Times New Roman" w:hAnsi="Times New Roman"/>
          <w:color w:val="auto"/>
          <w:sz w:val="24"/>
          <w:szCs w:val="24"/>
          <w:lang w:eastAsia="zh-CN"/>
        </w:rPr>
        <w:t>：</w:t>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ab/>
      </w:r>
      <w:r>
        <w:rPr>
          <w:rFonts w:hint="eastAsia" w:ascii="Times New Roman" w:hAnsi="Times New Roman"/>
          <w:color w:val="auto"/>
          <w:sz w:val="24"/>
          <w:szCs w:val="24"/>
          <w:lang w:eastAsia="zh-CN"/>
        </w:rPr>
        <w:t>日期：    年  月  日</w:t>
      </w:r>
      <w:bookmarkStart w:id="422" w:name="_Toc522884014"/>
    </w:p>
    <w:p>
      <w:pPr>
        <w:spacing w:line="372" w:lineRule="exact"/>
        <w:rPr>
          <w:rFonts w:hint="eastAsia" w:ascii="Times New Roman" w:hAnsi="Times New Roman"/>
          <w:color w:val="auto"/>
          <w:sz w:val="24"/>
          <w:szCs w:val="24"/>
          <w:lang w:eastAsia="zh-CN"/>
        </w:rPr>
      </w:pPr>
    </w:p>
    <w:p>
      <w:pPr>
        <w:pStyle w:val="4"/>
        <w:keepNext w:val="0"/>
        <w:keepLines w:val="0"/>
        <w:rPr>
          <w:rStyle w:val="64"/>
          <w:rFonts w:ascii="Times New Roman" w:hAnsi="Times New Roman"/>
          <w:b/>
          <w:bCs w:val="0"/>
          <w:color w:val="auto"/>
          <w:kern w:val="0"/>
          <w:szCs w:val="20"/>
        </w:rPr>
      </w:pPr>
      <w:r>
        <w:rPr>
          <w:rStyle w:val="64"/>
          <w:rFonts w:hint="eastAsia" w:ascii="Times New Roman" w:hAnsi="Times New Roman"/>
          <w:b/>
          <w:bCs w:val="0"/>
          <w:color w:val="auto"/>
          <w:kern w:val="0"/>
          <w:szCs w:val="20"/>
        </w:rPr>
        <w:t>附表6：问题澄清通知</w:t>
      </w:r>
      <w:bookmarkEnd w:id="422"/>
    </w:p>
    <w:p>
      <w:pPr>
        <w:spacing w:line="440" w:lineRule="exact"/>
        <w:jc w:val="center"/>
        <w:rPr>
          <w:rFonts w:ascii="Times New Roman" w:hAnsi="Times New Roman"/>
          <w:color w:val="auto"/>
          <w:sz w:val="24"/>
          <w:szCs w:val="24"/>
          <w:lang w:eastAsia="zh-CN"/>
        </w:rPr>
      </w:pPr>
    </w:p>
    <w:p>
      <w:pPr>
        <w:spacing w:line="440" w:lineRule="exact"/>
        <w:jc w:val="center"/>
        <w:rPr>
          <w:rFonts w:ascii="Times New Roman" w:hAnsi="Times New Roman"/>
          <w:color w:val="auto"/>
          <w:sz w:val="24"/>
          <w:szCs w:val="24"/>
          <w:lang w:eastAsia="zh-CN"/>
        </w:rPr>
      </w:pPr>
      <w:r>
        <w:rPr>
          <w:rFonts w:ascii="Times New Roman" w:hAnsi="Times New Roman"/>
          <w:color w:val="auto"/>
          <w:sz w:val="24"/>
          <w:szCs w:val="24"/>
          <w:lang w:eastAsia="zh-CN"/>
        </w:rPr>
        <w:t>问题澄清通知</w:t>
      </w:r>
    </w:p>
    <w:p>
      <w:pPr>
        <w:spacing w:line="440" w:lineRule="exact"/>
        <w:ind w:left="4314" w:firstLine="719"/>
        <w:rPr>
          <w:rFonts w:ascii="Times New Roman" w:hAnsi="Times New Roman"/>
          <w:color w:val="auto"/>
          <w:sz w:val="24"/>
          <w:szCs w:val="24"/>
          <w:lang w:eastAsia="zh-CN"/>
        </w:rPr>
      </w:pPr>
      <w:r>
        <w:rPr>
          <w:rFonts w:ascii="Times New Roman" w:hAnsi="Times New Roman"/>
          <w:color w:val="auto"/>
          <w:sz w:val="24"/>
          <w:szCs w:val="24"/>
          <w:lang w:eastAsia="zh-CN"/>
        </w:rPr>
        <w:t>编号：</w:t>
      </w:r>
      <w:r>
        <w:rPr>
          <w:rFonts w:hint="eastAsia" w:ascii="Times New Roman" w:hAnsi="Times New Roman"/>
          <w:color w:val="auto"/>
          <w:sz w:val="24"/>
          <w:szCs w:val="24"/>
          <w:u w:val="single"/>
          <w:lang w:eastAsia="zh-CN"/>
        </w:rPr>
        <w:t xml:space="preserve">                     </w:t>
      </w: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ascii="Times New Roman" w:hAnsi="Times New Roman"/>
          <w:color w:val="auto"/>
          <w:sz w:val="24"/>
          <w:szCs w:val="24"/>
          <w:lang w:eastAsia="zh-CN"/>
        </w:rPr>
        <w:t>（投标人名称）：</w:t>
      </w: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ascii="Times New Roman" w:hAnsi="Times New Roman"/>
          <w:color w:val="auto"/>
          <w:sz w:val="24"/>
          <w:szCs w:val="24"/>
          <w:lang w:eastAsia="zh-CN"/>
        </w:rPr>
        <w:t>（项目名称）的评标委员会，对你方的投标文件进行了仔细的审查，现需你方对</w:t>
      </w:r>
      <w:r>
        <w:rPr>
          <w:rFonts w:hint="eastAsia" w:ascii="Times New Roman" w:hAnsi="Times New Roman"/>
          <w:color w:val="auto"/>
          <w:sz w:val="24"/>
          <w:szCs w:val="24"/>
          <w:lang w:eastAsia="zh-CN"/>
        </w:rPr>
        <w:t>本通知所附质疑问卷中的</w:t>
      </w:r>
      <w:r>
        <w:rPr>
          <w:rFonts w:ascii="Times New Roman" w:hAnsi="Times New Roman"/>
          <w:color w:val="auto"/>
          <w:sz w:val="24"/>
          <w:szCs w:val="24"/>
          <w:lang w:eastAsia="zh-CN"/>
        </w:rPr>
        <w:t>问题以书面形式予以澄清</w:t>
      </w:r>
      <w:r>
        <w:rPr>
          <w:rFonts w:hint="eastAsia" w:ascii="Times New Roman" w:hAnsi="Times New Roman"/>
          <w:color w:val="auto"/>
          <w:sz w:val="24"/>
          <w:szCs w:val="24"/>
          <w:lang w:eastAsia="zh-CN"/>
        </w:rPr>
        <w:t>、说明或者补正。</w:t>
      </w:r>
    </w:p>
    <w:p>
      <w:pPr>
        <w:spacing w:line="440" w:lineRule="exact"/>
        <w:ind w:firstLine="480" w:firstLineChars="200"/>
        <w:rPr>
          <w:rFonts w:ascii="Times New Roman" w:hAnsi="Times New Roman"/>
          <w:color w:val="auto"/>
          <w:sz w:val="24"/>
          <w:szCs w:val="24"/>
          <w:lang w:eastAsia="zh-CN"/>
        </w:rPr>
      </w:pPr>
      <w:r>
        <w:rPr>
          <w:rFonts w:ascii="Times New Roman" w:hAnsi="Times New Roman"/>
          <w:color w:val="auto"/>
          <w:sz w:val="24"/>
          <w:szCs w:val="24"/>
          <w:lang w:eastAsia="zh-CN"/>
        </w:rPr>
        <w:t>请将上述问题的澄清</w:t>
      </w:r>
      <w:r>
        <w:rPr>
          <w:rFonts w:hint="eastAsia" w:ascii="Times New Roman" w:hAnsi="Times New Roman"/>
          <w:color w:val="auto"/>
          <w:sz w:val="24"/>
          <w:szCs w:val="24"/>
          <w:lang w:eastAsia="zh-CN"/>
        </w:rPr>
        <w:t>、说明或者补正</w:t>
      </w:r>
      <w:r>
        <w:rPr>
          <w:rFonts w:ascii="Times New Roman" w:hAnsi="Times New Roman"/>
          <w:color w:val="auto"/>
          <w:sz w:val="24"/>
          <w:szCs w:val="24"/>
          <w:lang w:eastAsia="zh-CN"/>
        </w:rPr>
        <w:t>于</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ascii="Times New Roman" w:hAnsi="Times New Roman"/>
          <w:color w:val="auto"/>
          <w:sz w:val="24"/>
          <w:szCs w:val="24"/>
          <w:lang w:eastAsia="zh-CN"/>
        </w:rPr>
        <w:t>年</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ascii="Times New Roman" w:hAnsi="Times New Roman"/>
          <w:color w:val="auto"/>
          <w:sz w:val="24"/>
          <w:szCs w:val="24"/>
          <w:lang w:eastAsia="zh-CN"/>
        </w:rPr>
        <w:t>月</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lang w:eastAsia="zh-CN"/>
        </w:rPr>
        <w:t>日</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lang w:eastAsia="zh-CN"/>
        </w:rPr>
        <w:t>时前</w:t>
      </w:r>
      <w:r>
        <w:rPr>
          <w:rFonts w:hint="eastAsia" w:ascii="Times New Roman" w:hAnsi="Times New Roman"/>
          <w:color w:val="auto"/>
          <w:sz w:val="24"/>
          <w:szCs w:val="24"/>
          <w:lang w:eastAsia="zh-CN"/>
        </w:rPr>
        <w:t>密封</w:t>
      </w:r>
      <w:r>
        <w:rPr>
          <w:rFonts w:ascii="Times New Roman" w:hAnsi="Times New Roman"/>
          <w:color w:val="auto"/>
          <w:sz w:val="24"/>
          <w:szCs w:val="24"/>
          <w:lang w:eastAsia="zh-CN"/>
        </w:rPr>
        <w:t>递交至</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lang w:eastAsia="zh-CN"/>
        </w:rPr>
        <w:t>（详细地址）</w:t>
      </w:r>
      <w:r>
        <w:rPr>
          <w:rFonts w:hint="eastAsia" w:ascii="Times New Roman" w:hAnsi="Times New Roman"/>
          <w:color w:val="auto"/>
          <w:sz w:val="24"/>
          <w:szCs w:val="24"/>
          <w:lang w:eastAsia="zh-CN"/>
        </w:rPr>
        <w:t>或传真至</w:t>
      </w:r>
      <w:r>
        <w:rPr>
          <w:rFonts w:hint="eastAsia"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（传真号码）。采用传真方式的，应在</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lang w:eastAsia="zh-CN"/>
        </w:rPr>
        <w:t>年</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lang w:eastAsia="zh-CN"/>
        </w:rPr>
        <w:t>月</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lang w:eastAsia="zh-CN"/>
        </w:rPr>
        <w:t>日</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hint="eastAsia" w:ascii="Times New Roman" w:hAnsi="Times New Roman"/>
          <w:color w:val="auto"/>
          <w:sz w:val="24"/>
          <w:szCs w:val="24"/>
          <w:lang w:eastAsia="zh-CN"/>
        </w:rPr>
        <w:t>时前将原件递交至</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lang w:eastAsia="zh-CN"/>
        </w:rPr>
        <w:t>（详细地址）。</w:t>
      </w: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r>
        <w:rPr>
          <w:rFonts w:hint="eastAsia" w:ascii="Times New Roman" w:hAnsi="Times New Roman"/>
          <w:color w:val="auto"/>
          <w:sz w:val="24"/>
          <w:szCs w:val="24"/>
          <w:lang w:eastAsia="zh-CN"/>
        </w:rPr>
        <w:t>附件：质疑问卷</w:t>
      </w: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ascii="Times New Roman" w:hAnsi="Times New Roman"/>
          <w:color w:val="auto"/>
          <w:sz w:val="24"/>
          <w:szCs w:val="24"/>
          <w:lang w:eastAsia="zh-CN"/>
        </w:rPr>
        <w:t>（项目名称）评标委员会</w:t>
      </w:r>
    </w:p>
    <w:p>
      <w:pPr>
        <w:spacing w:line="400" w:lineRule="exact"/>
        <w:rPr>
          <w:rFonts w:ascii="Times New Roman" w:hAnsi="Times New Roman"/>
          <w:color w:val="auto"/>
          <w:sz w:val="24"/>
          <w:szCs w:val="24"/>
          <w:lang w:eastAsia="zh-CN"/>
        </w:rPr>
      </w:pPr>
      <w:r>
        <w:rPr>
          <w:rFonts w:hint="eastAsia" w:ascii="Times New Roman" w:hAnsi="Times New Roman"/>
          <w:color w:val="auto"/>
          <w:sz w:val="24"/>
          <w:szCs w:val="24"/>
          <w:lang w:eastAsia="zh-CN"/>
        </w:rPr>
        <w:t xml:space="preserve">                                             （评标委员会全体成员签字）</w:t>
      </w:r>
    </w:p>
    <w:p>
      <w:pPr>
        <w:spacing w:line="400" w:lineRule="exact"/>
        <w:rPr>
          <w:rFonts w:ascii="Times New Roman" w:hAnsi="Times New Roman"/>
          <w:color w:val="auto"/>
          <w:sz w:val="24"/>
          <w:szCs w:val="24"/>
          <w:lang w:eastAsia="zh-CN"/>
        </w:rPr>
      </w:pPr>
    </w:p>
    <w:p>
      <w:pPr>
        <w:spacing w:line="400" w:lineRule="exact"/>
        <w:ind w:firstLine="2400" w:firstLineChars="1000"/>
        <w:jc w:val="right"/>
        <w:rPr>
          <w:rFonts w:ascii="Times New Roman" w:hAnsi="Times New Roman"/>
          <w:color w:val="auto"/>
          <w:sz w:val="24"/>
          <w:szCs w:val="24"/>
          <w:lang w:eastAsia="zh-CN"/>
        </w:rPr>
      </w:pPr>
      <w:r>
        <w:rPr>
          <w:rFonts w:hint="eastAsia" w:ascii="Times New Roman" w:hAnsi="Times New Roman"/>
          <w:color w:val="auto"/>
          <w:sz w:val="24"/>
          <w:szCs w:val="24"/>
          <w:lang w:eastAsia="zh-CN"/>
        </w:rPr>
        <w:t>日期：    年  月  日</w:t>
      </w:r>
    </w:p>
    <w:p>
      <w:pPr>
        <w:pStyle w:val="4"/>
        <w:keepNext w:val="0"/>
        <w:keepLines w:val="0"/>
        <w:rPr>
          <w:rStyle w:val="64"/>
          <w:rFonts w:ascii="Times New Roman" w:hAnsi="Times New Roman"/>
          <w:b/>
          <w:color w:val="auto"/>
          <w:kern w:val="0"/>
          <w:szCs w:val="20"/>
        </w:rPr>
      </w:pPr>
      <w:r>
        <w:rPr>
          <w:rFonts w:ascii="Times New Roman" w:hAnsi="Times New Roman"/>
          <w:color w:val="auto"/>
          <w:szCs w:val="24"/>
        </w:rPr>
        <w:br w:type="page"/>
      </w:r>
      <w:bookmarkStart w:id="423" w:name="_Toc522884015"/>
      <w:r>
        <w:rPr>
          <w:rStyle w:val="64"/>
          <w:rFonts w:hint="eastAsia" w:ascii="Times New Roman" w:hAnsi="Times New Roman"/>
          <w:b/>
          <w:bCs w:val="0"/>
          <w:color w:val="auto"/>
          <w:kern w:val="0"/>
          <w:szCs w:val="20"/>
        </w:rPr>
        <w:t>附表7：问题的澄清</w:t>
      </w:r>
      <w:bookmarkEnd w:id="423"/>
    </w:p>
    <w:p>
      <w:pPr>
        <w:spacing w:line="400" w:lineRule="exact"/>
        <w:jc w:val="center"/>
        <w:rPr>
          <w:rFonts w:ascii="Times New Roman" w:hAnsi="Times New Roman"/>
          <w:color w:val="auto"/>
          <w:sz w:val="24"/>
          <w:szCs w:val="24"/>
          <w:lang w:eastAsia="zh-CN"/>
        </w:rPr>
      </w:pPr>
    </w:p>
    <w:p>
      <w:pPr>
        <w:spacing w:line="400" w:lineRule="exact"/>
        <w:jc w:val="center"/>
        <w:rPr>
          <w:rFonts w:ascii="Times New Roman" w:hAnsi="Times New Roman"/>
          <w:color w:val="auto"/>
          <w:sz w:val="24"/>
          <w:szCs w:val="24"/>
          <w:lang w:eastAsia="zh-CN"/>
        </w:rPr>
      </w:pPr>
      <w:r>
        <w:rPr>
          <w:rFonts w:hint="eastAsia" w:ascii="Times New Roman" w:hAnsi="Times New Roman"/>
          <w:color w:val="auto"/>
          <w:sz w:val="24"/>
          <w:szCs w:val="24"/>
          <w:lang w:eastAsia="zh-CN"/>
        </w:rPr>
        <w:t>问题的澄清、说明或补正</w:t>
      </w:r>
    </w:p>
    <w:p>
      <w:pPr>
        <w:spacing w:line="400" w:lineRule="exact"/>
        <w:ind w:firstLine="5640" w:firstLineChars="2350"/>
        <w:rPr>
          <w:rFonts w:ascii="Times New Roman" w:hAnsi="Times New Roman"/>
          <w:color w:val="auto"/>
          <w:sz w:val="24"/>
          <w:szCs w:val="24"/>
          <w:lang w:eastAsia="zh-CN"/>
        </w:rPr>
      </w:pPr>
      <w:r>
        <w:rPr>
          <w:rFonts w:ascii="Times New Roman" w:hAnsi="Times New Roman"/>
          <w:color w:val="auto"/>
          <w:sz w:val="24"/>
          <w:szCs w:val="24"/>
          <w:lang w:eastAsia="zh-CN"/>
        </w:rPr>
        <w:t>编号：</w:t>
      </w:r>
      <w:r>
        <w:rPr>
          <w:rFonts w:hint="eastAsia" w:ascii="Times New Roman" w:hAnsi="Times New Roman"/>
          <w:color w:val="auto"/>
          <w:sz w:val="24"/>
          <w:szCs w:val="24"/>
          <w:u w:val="single"/>
          <w:lang w:eastAsia="zh-CN"/>
        </w:rPr>
        <w:t xml:space="preserve">                     </w:t>
      </w:r>
    </w:p>
    <w:p>
      <w:pPr>
        <w:spacing w:line="40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r>
        <w:rPr>
          <w:rFonts w:ascii="Times New Roman" w:hAnsi="Times New Roman"/>
          <w:color w:val="auto"/>
          <w:sz w:val="24"/>
          <w:szCs w:val="24"/>
          <w:u w:val="single"/>
          <w:lang w:eastAsia="zh-CN"/>
        </w:rPr>
        <w:t xml:space="preserve">             （</w:t>
      </w:r>
      <w:r>
        <w:rPr>
          <w:rFonts w:ascii="Times New Roman" w:hAnsi="Times New Roman"/>
          <w:color w:val="auto"/>
          <w:sz w:val="24"/>
          <w:szCs w:val="24"/>
          <w:lang w:eastAsia="zh-CN"/>
        </w:rPr>
        <w:t>项目名称）评标委员会：</w:t>
      </w: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问题澄清通知（编号：</w:t>
      </w:r>
      <w:r>
        <w:rPr>
          <w:rFonts w:ascii="Times New Roman" w:hAnsi="Times New Roman"/>
          <w:color w:val="auto"/>
          <w:sz w:val="24"/>
          <w:szCs w:val="24"/>
          <w:u w:val="single"/>
          <w:lang w:eastAsia="zh-CN"/>
        </w:rPr>
        <w:t xml:space="preserve">        </w:t>
      </w:r>
      <w:r>
        <w:rPr>
          <w:rFonts w:ascii="Times New Roman" w:hAnsi="Times New Roman"/>
          <w:color w:val="auto"/>
          <w:sz w:val="24"/>
          <w:szCs w:val="24"/>
          <w:lang w:eastAsia="zh-CN"/>
        </w:rPr>
        <w:t>）已收悉，现澄清</w:t>
      </w:r>
      <w:r>
        <w:rPr>
          <w:rFonts w:hint="eastAsia" w:ascii="Times New Roman" w:hAnsi="Times New Roman"/>
          <w:color w:val="auto"/>
          <w:sz w:val="24"/>
          <w:szCs w:val="24"/>
          <w:lang w:eastAsia="zh-CN"/>
        </w:rPr>
        <w:t>、说明或者补正</w:t>
      </w:r>
      <w:r>
        <w:rPr>
          <w:rFonts w:ascii="Times New Roman" w:hAnsi="Times New Roman"/>
          <w:color w:val="auto"/>
          <w:sz w:val="24"/>
          <w:szCs w:val="24"/>
          <w:lang w:eastAsia="zh-CN"/>
        </w:rPr>
        <w:t>如下：</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1.</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2.</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xml:space="preserve">　 </w:t>
      </w: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投标人：</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lang w:eastAsia="zh-CN"/>
        </w:rPr>
        <w:t>（盖章）</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法定代表人或其授权代表：</w:t>
      </w:r>
      <w:r>
        <w:rPr>
          <w:rFonts w:ascii="Times New Roman" w:hAnsi="Times New Roman"/>
          <w:color w:val="auto"/>
          <w:sz w:val="24"/>
          <w:szCs w:val="24"/>
          <w:u w:val="single"/>
          <w:lang w:eastAsia="zh-CN"/>
        </w:rPr>
        <w:t xml:space="preserve">      </w:t>
      </w:r>
      <w:r>
        <w:rPr>
          <w:rFonts w:hint="eastAsia" w:ascii="Times New Roman" w:hAnsi="Times New Roman"/>
          <w:color w:val="auto"/>
          <w:sz w:val="24"/>
          <w:szCs w:val="24"/>
          <w:u w:val="single"/>
          <w:lang w:eastAsia="zh-CN"/>
        </w:rPr>
        <w:t xml:space="preserve">    </w:t>
      </w:r>
      <w:r>
        <w:rPr>
          <w:rFonts w:ascii="Times New Roman" w:hAnsi="Times New Roman"/>
          <w:color w:val="auto"/>
          <w:sz w:val="24"/>
          <w:szCs w:val="24"/>
          <w:u w:val="single"/>
          <w:lang w:eastAsia="zh-CN"/>
        </w:rPr>
        <w:t xml:space="preserve">    </w:t>
      </w:r>
      <w:r>
        <w:rPr>
          <w:rFonts w:ascii="Times New Roman" w:hAnsi="Times New Roman"/>
          <w:color w:val="auto"/>
          <w:sz w:val="24"/>
          <w:szCs w:val="24"/>
          <w:lang w:eastAsia="zh-CN"/>
        </w:rPr>
        <w:t>（签字）</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w:t>
      </w:r>
    </w:p>
    <w:p>
      <w:pPr>
        <w:spacing w:line="440" w:lineRule="exact"/>
        <w:rPr>
          <w:rFonts w:ascii="Times New Roman" w:hAnsi="Times New Roman"/>
          <w:color w:val="auto"/>
          <w:sz w:val="24"/>
          <w:szCs w:val="24"/>
          <w:lang w:eastAsia="zh-CN"/>
        </w:rPr>
      </w:pPr>
      <w:r>
        <w:rPr>
          <w:rFonts w:ascii="Times New Roman" w:hAnsi="Times New Roman"/>
          <w:color w:val="auto"/>
          <w:sz w:val="24"/>
          <w:szCs w:val="24"/>
          <w:lang w:eastAsia="zh-CN"/>
        </w:rPr>
        <w:t>　　　　　　　　　　　</w:t>
      </w:r>
      <w:r>
        <w:rPr>
          <w:rFonts w:hint="eastAsia" w:ascii="Times New Roman" w:hAnsi="Times New Roman"/>
          <w:color w:val="auto"/>
          <w:sz w:val="24"/>
          <w:szCs w:val="24"/>
          <w:lang w:eastAsia="zh-CN"/>
        </w:rPr>
        <w:t>日期：    年  月  日</w:t>
      </w:r>
    </w:p>
    <w:p>
      <w:pPr>
        <w:rPr>
          <w:rFonts w:ascii="Times New Roman" w:hAnsi="Times New Roman"/>
          <w:color w:val="auto"/>
          <w:sz w:val="24"/>
          <w:szCs w:val="24"/>
          <w:lang w:eastAsia="zh-CN"/>
        </w:rPr>
      </w:pPr>
    </w:p>
    <w:p>
      <w:pPr>
        <w:spacing w:line="364" w:lineRule="exact"/>
        <w:rPr>
          <w:rFonts w:ascii="Times New Roman" w:hAnsi="Times New Roman"/>
          <w:color w:val="auto"/>
          <w:sz w:val="24"/>
          <w:szCs w:val="24"/>
          <w:lang w:eastAsia="zh-CN"/>
        </w:rPr>
      </w:pPr>
    </w:p>
    <w:p>
      <w:pPr>
        <w:spacing w:line="364" w:lineRule="exact"/>
        <w:rPr>
          <w:rFonts w:ascii="Times New Roman" w:hAnsi="Times New Roman"/>
          <w:color w:val="auto"/>
          <w:sz w:val="24"/>
          <w:szCs w:val="24"/>
          <w:lang w:eastAsia="zh-CN"/>
        </w:rPr>
        <w:sectPr>
          <w:headerReference r:id="rId7" w:type="default"/>
          <w:pgSz w:w="11910" w:h="16840"/>
          <w:pgMar w:top="1588" w:right="1588" w:bottom="1418" w:left="1814" w:header="876" w:footer="995" w:gutter="0"/>
          <w:cols w:space="720" w:num="1"/>
        </w:sectPr>
      </w:pPr>
    </w:p>
    <w:p>
      <w:pPr>
        <w:pStyle w:val="4"/>
        <w:keepNext w:val="0"/>
        <w:keepLines w:val="0"/>
        <w:rPr>
          <w:rStyle w:val="64"/>
          <w:rFonts w:ascii="Times New Roman" w:hAnsi="Times New Roman"/>
          <w:b/>
          <w:bCs w:val="0"/>
          <w:color w:val="auto"/>
          <w:kern w:val="0"/>
          <w:szCs w:val="20"/>
        </w:rPr>
      </w:pPr>
      <w:bookmarkStart w:id="424" w:name="_Toc522884016"/>
      <w:r>
        <w:rPr>
          <w:rStyle w:val="64"/>
          <w:rFonts w:ascii="Times New Roman" w:hAnsi="Times New Roman"/>
          <w:b/>
          <w:bCs w:val="0"/>
          <w:color w:val="auto"/>
          <w:kern w:val="0"/>
          <w:szCs w:val="20"/>
        </w:rPr>
        <w:t>附表</w:t>
      </w:r>
      <w:r>
        <w:rPr>
          <w:rStyle w:val="64"/>
          <w:rFonts w:hint="eastAsia" w:ascii="Times New Roman" w:hAnsi="Times New Roman"/>
          <w:b/>
          <w:bCs w:val="0"/>
          <w:color w:val="auto"/>
          <w:kern w:val="0"/>
          <w:szCs w:val="20"/>
        </w:rPr>
        <w:t>8</w:t>
      </w:r>
      <w:r>
        <w:rPr>
          <w:rStyle w:val="64"/>
          <w:rFonts w:ascii="Times New Roman" w:hAnsi="Times New Roman"/>
          <w:b/>
          <w:bCs w:val="0"/>
          <w:color w:val="auto"/>
          <w:kern w:val="0"/>
          <w:szCs w:val="20"/>
        </w:rPr>
        <w:t>：评标结果汇总表</w:t>
      </w:r>
      <w:bookmarkEnd w:id="424"/>
    </w:p>
    <w:p>
      <w:pPr>
        <w:spacing w:after="240" w:afterLines="100"/>
        <w:jc w:val="center"/>
        <w:rPr>
          <w:rFonts w:ascii="Times New Roman" w:hAnsi="Times New Roman" w:cs="Arial"/>
          <w:color w:val="auto"/>
          <w:sz w:val="24"/>
          <w:szCs w:val="24"/>
          <w:lang w:eastAsia="zh-CN"/>
        </w:rPr>
      </w:pPr>
      <w:r>
        <w:rPr>
          <w:rFonts w:ascii="Times New Roman" w:hAnsi="Times New Roman" w:cs="Arial"/>
          <w:color w:val="auto"/>
          <w:sz w:val="24"/>
          <w:szCs w:val="24"/>
          <w:lang w:eastAsia="zh-CN"/>
        </w:rPr>
        <w:t>评标结果汇总表</w:t>
      </w:r>
    </w:p>
    <w:p>
      <w:pPr>
        <w:spacing w:after="240" w:afterLines="100"/>
        <w:rPr>
          <w:rFonts w:ascii="Times New Roman" w:hAnsi="Times New Roman" w:cs="Arial"/>
          <w:color w:val="auto"/>
          <w:sz w:val="24"/>
          <w:szCs w:val="24"/>
          <w:lang w:eastAsia="zh-CN"/>
        </w:rPr>
      </w:pPr>
      <w:r>
        <w:rPr>
          <w:rFonts w:hint="eastAsia" w:ascii="Times New Roman" w:hAnsi="Times New Roman" w:cs="Arial"/>
          <w:bCs/>
          <w:color w:val="auto"/>
          <w:sz w:val="24"/>
          <w:szCs w:val="24"/>
          <w:lang w:eastAsia="zh-CN"/>
        </w:rPr>
        <w:t>项目名称</w:t>
      </w:r>
      <w:r>
        <w:rPr>
          <w:rFonts w:ascii="Times New Roman" w:hAnsi="Times New Roman" w:cs="Arial"/>
          <w:bCs/>
          <w:color w:val="auto"/>
          <w:sz w:val="24"/>
          <w:szCs w:val="24"/>
          <w:lang w:eastAsia="zh-CN"/>
        </w:rPr>
        <w:t>：</w:t>
      </w:r>
      <w:r>
        <w:rPr>
          <w:rFonts w:hint="eastAsia" w:ascii="Times New Roman" w:hAnsi="Times New Roman" w:cs="Arial"/>
          <w:bCs/>
          <w:color w:val="auto"/>
          <w:sz w:val="24"/>
          <w:szCs w:val="24"/>
          <w:u w:val="single"/>
          <w:lang w:eastAsia="zh-CN"/>
        </w:rPr>
        <w:t xml:space="preserve"> </w:t>
      </w:r>
      <w:r>
        <w:rPr>
          <w:rFonts w:ascii="Times New Roman" w:hAnsi="Times New Roman" w:cs="Arial"/>
          <w:bCs/>
          <w:color w:val="auto"/>
          <w:sz w:val="24"/>
          <w:szCs w:val="24"/>
          <w:u w:val="single"/>
          <w:lang w:eastAsia="zh-CN"/>
        </w:rPr>
        <w:t xml:space="preserve">                      </w:t>
      </w:r>
    </w:p>
    <w:tbl>
      <w:tblPr>
        <w:tblStyle w:val="36"/>
        <w:tblW w:w="13937" w:type="dxa"/>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03"/>
        <w:gridCol w:w="1771"/>
        <w:gridCol w:w="1440"/>
        <w:gridCol w:w="1654"/>
        <w:gridCol w:w="1654"/>
        <w:gridCol w:w="1653"/>
        <w:gridCol w:w="1654"/>
        <w:gridCol w:w="1654"/>
        <w:gridCol w:w="16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574" w:type="dxa"/>
            <w:gridSpan w:val="2"/>
            <w:vMerge w:val="restart"/>
            <w:vAlign w:val="center"/>
          </w:tcPr>
          <w:p>
            <w:pPr>
              <w:jc w:val="center"/>
              <w:rPr>
                <w:rFonts w:ascii="Times New Roman" w:hAnsi="Times New Roman" w:cs="Arial"/>
                <w:color w:val="auto"/>
                <w:sz w:val="24"/>
                <w:szCs w:val="24"/>
              </w:rPr>
            </w:pPr>
            <w:r>
              <w:rPr>
                <w:rFonts w:ascii="Times New Roman" w:hAnsi="Times New Roman" w:cs="Arial"/>
                <w:color w:val="auto"/>
                <w:sz w:val="24"/>
                <w:szCs w:val="24"/>
              </w:rPr>
              <w:t>评委序号和姓名</w:t>
            </w:r>
          </w:p>
        </w:tc>
        <w:tc>
          <w:tcPr>
            <w:tcW w:w="11363" w:type="dxa"/>
            <w:gridSpan w:val="7"/>
            <w:vAlign w:val="center"/>
          </w:tcPr>
          <w:p>
            <w:pPr>
              <w:jc w:val="center"/>
              <w:rPr>
                <w:rFonts w:ascii="Times New Roman" w:hAnsi="Times New Roman" w:cs="Arial"/>
                <w:color w:val="auto"/>
                <w:sz w:val="24"/>
                <w:szCs w:val="24"/>
                <w:lang w:eastAsia="zh-CN"/>
              </w:rPr>
            </w:pPr>
            <w:r>
              <w:rPr>
                <w:rFonts w:ascii="Times New Roman" w:hAnsi="Times New Roman" w:cs="Arial"/>
                <w:color w:val="auto"/>
                <w:sz w:val="24"/>
                <w:szCs w:val="24"/>
                <w:lang w:eastAsia="zh-CN"/>
              </w:rPr>
              <w:t>投标人名称及其得分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574" w:type="dxa"/>
            <w:gridSpan w:val="2"/>
            <w:vMerge w:val="continue"/>
            <w:vAlign w:val="center"/>
          </w:tcPr>
          <w:p>
            <w:pPr>
              <w:jc w:val="center"/>
              <w:rPr>
                <w:rFonts w:ascii="Times New Roman" w:hAnsi="Times New Roman" w:cs="Arial"/>
                <w:color w:val="auto"/>
                <w:sz w:val="24"/>
                <w:szCs w:val="24"/>
                <w:lang w:eastAsia="zh-CN"/>
              </w:rPr>
            </w:pPr>
          </w:p>
        </w:tc>
        <w:tc>
          <w:tcPr>
            <w:tcW w:w="1440" w:type="dxa"/>
            <w:vAlign w:val="center"/>
          </w:tcPr>
          <w:p>
            <w:pPr>
              <w:rPr>
                <w:rFonts w:ascii="Times New Roman" w:hAnsi="Times New Roman" w:cs="Arial"/>
                <w:color w:val="auto"/>
                <w:sz w:val="24"/>
                <w:szCs w:val="24"/>
                <w:lang w:eastAsia="zh-CN"/>
              </w:rPr>
            </w:pPr>
          </w:p>
        </w:tc>
        <w:tc>
          <w:tcPr>
            <w:tcW w:w="1654" w:type="dxa"/>
            <w:vAlign w:val="center"/>
          </w:tcPr>
          <w:p>
            <w:pPr>
              <w:rPr>
                <w:rFonts w:ascii="Times New Roman" w:hAnsi="Times New Roman" w:cs="Arial"/>
                <w:color w:val="auto"/>
                <w:sz w:val="24"/>
                <w:szCs w:val="24"/>
                <w:lang w:eastAsia="zh-CN"/>
              </w:rPr>
            </w:pPr>
          </w:p>
        </w:tc>
        <w:tc>
          <w:tcPr>
            <w:tcW w:w="1654" w:type="dxa"/>
            <w:vAlign w:val="center"/>
          </w:tcPr>
          <w:p>
            <w:pPr>
              <w:rPr>
                <w:rFonts w:ascii="Times New Roman" w:hAnsi="Times New Roman" w:cs="Arial"/>
                <w:color w:val="auto"/>
                <w:sz w:val="24"/>
                <w:szCs w:val="24"/>
                <w:lang w:eastAsia="zh-CN"/>
              </w:rPr>
            </w:pPr>
          </w:p>
        </w:tc>
        <w:tc>
          <w:tcPr>
            <w:tcW w:w="1653" w:type="dxa"/>
            <w:vAlign w:val="center"/>
          </w:tcPr>
          <w:p>
            <w:pPr>
              <w:rPr>
                <w:rFonts w:ascii="Times New Roman" w:hAnsi="Times New Roman" w:cs="Arial"/>
                <w:color w:val="auto"/>
                <w:sz w:val="24"/>
                <w:szCs w:val="24"/>
                <w:lang w:eastAsia="zh-CN"/>
              </w:rPr>
            </w:pPr>
          </w:p>
        </w:tc>
        <w:tc>
          <w:tcPr>
            <w:tcW w:w="1654" w:type="dxa"/>
            <w:vAlign w:val="center"/>
          </w:tcPr>
          <w:p>
            <w:pPr>
              <w:rPr>
                <w:rFonts w:ascii="Times New Roman" w:hAnsi="Times New Roman" w:cs="Arial"/>
                <w:color w:val="auto"/>
                <w:sz w:val="24"/>
                <w:szCs w:val="24"/>
                <w:lang w:eastAsia="zh-CN"/>
              </w:rPr>
            </w:pPr>
          </w:p>
        </w:tc>
        <w:tc>
          <w:tcPr>
            <w:tcW w:w="1654" w:type="dxa"/>
            <w:vAlign w:val="center"/>
          </w:tcPr>
          <w:p>
            <w:pPr>
              <w:rPr>
                <w:rFonts w:ascii="Times New Roman" w:hAnsi="Times New Roman" w:cs="Arial"/>
                <w:color w:val="auto"/>
                <w:sz w:val="24"/>
                <w:szCs w:val="24"/>
                <w:lang w:eastAsia="zh-CN"/>
              </w:rPr>
            </w:pPr>
          </w:p>
        </w:tc>
        <w:tc>
          <w:tcPr>
            <w:tcW w:w="1654" w:type="dxa"/>
            <w:vAlign w:val="center"/>
          </w:tcPr>
          <w:p>
            <w:pPr>
              <w:rPr>
                <w:rFonts w:ascii="Times New Roman" w:hAnsi="Times New Roman" w:cs="Arial"/>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03" w:type="dxa"/>
            <w:vMerge w:val="restart"/>
            <w:vAlign w:val="center"/>
          </w:tcPr>
          <w:p>
            <w:pPr>
              <w:jc w:val="center"/>
              <w:rPr>
                <w:rFonts w:ascii="Times New Roman" w:hAnsi="Times New Roman" w:cs="Arial"/>
                <w:color w:val="auto"/>
                <w:sz w:val="24"/>
                <w:szCs w:val="24"/>
              </w:rPr>
            </w:pPr>
            <w:r>
              <w:rPr>
                <w:rFonts w:ascii="Times New Roman" w:hAnsi="Times New Roman" w:cs="Arial"/>
                <w:color w:val="auto"/>
                <w:sz w:val="24"/>
                <w:szCs w:val="24"/>
              </w:rPr>
              <w:t>评委姓名</w:t>
            </w:r>
          </w:p>
        </w:tc>
        <w:tc>
          <w:tcPr>
            <w:tcW w:w="1771" w:type="dxa"/>
            <w:vAlign w:val="center"/>
          </w:tcPr>
          <w:p>
            <w:pPr>
              <w:rPr>
                <w:rFonts w:ascii="Times New Roman" w:hAnsi="Times New Roman" w:cs="Arial"/>
                <w:color w:val="auto"/>
                <w:sz w:val="24"/>
                <w:szCs w:val="24"/>
              </w:rPr>
            </w:pPr>
            <w:r>
              <w:rPr>
                <w:rFonts w:ascii="Times New Roman" w:hAnsi="Times New Roman" w:cs="Arial"/>
                <w:color w:val="auto"/>
                <w:sz w:val="24"/>
                <w:szCs w:val="24"/>
              </w:rPr>
              <w:t>1：</w:t>
            </w:r>
          </w:p>
        </w:tc>
        <w:tc>
          <w:tcPr>
            <w:tcW w:w="1440"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3"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03" w:type="dxa"/>
            <w:vMerge w:val="continue"/>
            <w:vAlign w:val="center"/>
          </w:tcPr>
          <w:p>
            <w:pPr>
              <w:rPr>
                <w:rFonts w:ascii="Times New Roman" w:hAnsi="Times New Roman" w:cs="Arial"/>
                <w:color w:val="auto"/>
                <w:sz w:val="24"/>
                <w:szCs w:val="24"/>
              </w:rPr>
            </w:pPr>
          </w:p>
        </w:tc>
        <w:tc>
          <w:tcPr>
            <w:tcW w:w="1771" w:type="dxa"/>
            <w:vAlign w:val="center"/>
          </w:tcPr>
          <w:p>
            <w:pPr>
              <w:rPr>
                <w:rFonts w:ascii="Times New Roman" w:hAnsi="Times New Roman" w:cs="Arial"/>
                <w:color w:val="auto"/>
                <w:sz w:val="24"/>
                <w:szCs w:val="24"/>
              </w:rPr>
            </w:pPr>
            <w:r>
              <w:rPr>
                <w:rFonts w:ascii="Times New Roman" w:hAnsi="Times New Roman" w:cs="Arial"/>
                <w:color w:val="auto"/>
                <w:sz w:val="24"/>
                <w:szCs w:val="24"/>
              </w:rPr>
              <w:t>2：</w:t>
            </w:r>
          </w:p>
        </w:tc>
        <w:tc>
          <w:tcPr>
            <w:tcW w:w="1440"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3"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03" w:type="dxa"/>
            <w:vMerge w:val="continue"/>
            <w:vAlign w:val="center"/>
          </w:tcPr>
          <w:p>
            <w:pPr>
              <w:rPr>
                <w:rFonts w:ascii="Times New Roman" w:hAnsi="Times New Roman" w:cs="Arial"/>
                <w:color w:val="auto"/>
                <w:sz w:val="24"/>
                <w:szCs w:val="24"/>
              </w:rPr>
            </w:pPr>
          </w:p>
        </w:tc>
        <w:tc>
          <w:tcPr>
            <w:tcW w:w="1771" w:type="dxa"/>
            <w:vAlign w:val="center"/>
          </w:tcPr>
          <w:p>
            <w:pPr>
              <w:rPr>
                <w:rFonts w:ascii="Times New Roman" w:hAnsi="Times New Roman" w:cs="Arial"/>
                <w:color w:val="auto"/>
                <w:sz w:val="24"/>
                <w:szCs w:val="24"/>
              </w:rPr>
            </w:pPr>
            <w:r>
              <w:rPr>
                <w:rFonts w:ascii="Times New Roman" w:hAnsi="Times New Roman" w:cs="Arial"/>
                <w:color w:val="auto"/>
                <w:sz w:val="24"/>
                <w:szCs w:val="24"/>
              </w:rPr>
              <w:t>3：</w:t>
            </w:r>
          </w:p>
        </w:tc>
        <w:tc>
          <w:tcPr>
            <w:tcW w:w="1440"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3"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03" w:type="dxa"/>
            <w:vMerge w:val="continue"/>
            <w:vAlign w:val="center"/>
          </w:tcPr>
          <w:p>
            <w:pPr>
              <w:rPr>
                <w:rFonts w:ascii="Times New Roman" w:hAnsi="Times New Roman" w:cs="Arial"/>
                <w:color w:val="auto"/>
                <w:sz w:val="24"/>
                <w:szCs w:val="24"/>
              </w:rPr>
            </w:pPr>
          </w:p>
        </w:tc>
        <w:tc>
          <w:tcPr>
            <w:tcW w:w="1771" w:type="dxa"/>
            <w:vAlign w:val="center"/>
          </w:tcPr>
          <w:p>
            <w:pPr>
              <w:rPr>
                <w:rFonts w:ascii="Times New Roman" w:hAnsi="Times New Roman" w:cs="Arial"/>
                <w:color w:val="auto"/>
                <w:sz w:val="24"/>
                <w:szCs w:val="24"/>
              </w:rPr>
            </w:pPr>
            <w:r>
              <w:rPr>
                <w:rFonts w:ascii="Times New Roman" w:hAnsi="Times New Roman" w:cs="Arial"/>
                <w:color w:val="auto"/>
                <w:sz w:val="24"/>
                <w:szCs w:val="24"/>
              </w:rPr>
              <w:t>4：</w:t>
            </w:r>
          </w:p>
        </w:tc>
        <w:tc>
          <w:tcPr>
            <w:tcW w:w="1440"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3"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803" w:type="dxa"/>
            <w:vMerge w:val="continue"/>
            <w:vAlign w:val="center"/>
          </w:tcPr>
          <w:p>
            <w:pPr>
              <w:rPr>
                <w:rFonts w:ascii="Times New Roman" w:hAnsi="Times New Roman" w:cs="Arial"/>
                <w:color w:val="auto"/>
                <w:sz w:val="24"/>
                <w:szCs w:val="24"/>
              </w:rPr>
            </w:pPr>
          </w:p>
        </w:tc>
        <w:tc>
          <w:tcPr>
            <w:tcW w:w="1771" w:type="dxa"/>
            <w:vAlign w:val="center"/>
          </w:tcPr>
          <w:p>
            <w:pPr>
              <w:rPr>
                <w:rFonts w:ascii="Times New Roman" w:hAnsi="Times New Roman" w:cs="Arial"/>
                <w:color w:val="auto"/>
                <w:sz w:val="24"/>
                <w:szCs w:val="24"/>
              </w:rPr>
            </w:pPr>
            <w:r>
              <w:rPr>
                <w:rFonts w:ascii="Times New Roman" w:hAnsi="Times New Roman" w:cs="Arial"/>
                <w:color w:val="auto"/>
                <w:sz w:val="24"/>
                <w:szCs w:val="24"/>
              </w:rPr>
              <w:t>5：</w:t>
            </w:r>
          </w:p>
        </w:tc>
        <w:tc>
          <w:tcPr>
            <w:tcW w:w="1440"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3"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574" w:type="dxa"/>
            <w:gridSpan w:val="2"/>
            <w:vAlign w:val="center"/>
          </w:tcPr>
          <w:p>
            <w:pPr>
              <w:rPr>
                <w:rFonts w:ascii="Times New Roman" w:hAnsi="Times New Roman" w:cs="Arial"/>
                <w:color w:val="auto"/>
                <w:sz w:val="24"/>
                <w:szCs w:val="24"/>
                <w:lang w:eastAsia="zh-CN"/>
              </w:rPr>
            </w:pPr>
            <w:r>
              <w:rPr>
                <w:rFonts w:ascii="Times New Roman" w:hAnsi="Times New Roman" w:cs="Arial"/>
                <w:color w:val="auto"/>
                <w:sz w:val="24"/>
                <w:szCs w:val="24"/>
                <w:lang w:eastAsia="zh-CN"/>
              </w:rPr>
              <w:t>各评委</w:t>
            </w:r>
            <w:r>
              <w:rPr>
                <w:rFonts w:hint="eastAsia" w:ascii="Times New Roman" w:hAnsi="Times New Roman" w:cs="Arial"/>
                <w:color w:val="auto"/>
                <w:sz w:val="24"/>
                <w:szCs w:val="24"/>
                <w:lang w:eastAsia="zh-CN"/>
              </w:rPr>
              <w:t>得</w:t>
            </w:r>
            <w:r>
              <w:rPr>
                <w:rFonts w:ascii="Times New Roman" w:hAnsi="Times New Roman" w:cs="Arial"/>
                <w:color w:val="auto"/>
                <w:sz w:val="24"/>
                <w:szCs w:val="24"/>
                <w:lang w:eastAsia="zh-CN"/>
              </w:rPr>
              <w:t>分</w:t>
            </w:r>
            <w:r>
              <w:rPr>
                <w:rFonts w:hint="eastAsia" w:ascii="Times New Roman" w:hAnsi="Times New Roman" w:cs="Arial"/>
                <w:color w:val="auto"/>
                <w:sz w:val="24"/>
                <w:szCs w:val="24"/>
                <w:lang w:eastAsia="zh-CN"/>
              </w:rPr>
              <w:t>合计</w:t>
            </w:r>
          </w:p>
        </w:tc>
        <w:tc>
          <w:tcPr>
            <w:tcW w:w="1440"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c>
          <w:tcPr>
            <w:tcW w:w="1653"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574" w:type="dxa"/>
            <w:gridSpan w:val="2"/>
            <w:vAlign w:val="center"/>
          </w:tcPr>
          <w:p>
            <w:pPr>
              <w:rPr>
                <w:rFonts w:ascii="Times New Roman" w:hAnsi="Times New Roman" w:cs="Arial"/>
                <w:color w:val="auto"/>
                <w:sz w:val="24"/>
                <w:szCs w:val="24"/>
                <w:lang w:eastAsia="zh-CN"/>
              </w:rPr>
            </w:pPr>
            <w:r>
              <w:rPr>
                <w:rFonts w:ascii="Times New Roman" w:hAnsi="Times New Roman" w:cs="Arial"/>
                <w:color w:val="auto"/>
                <w:sz w:val="24"/>
                <w:szCs w:val="24"/>
                <w:lang w:eastAsia="zh-CN"/>
              </w:rPr>
              <w:t>各评委</w:t>
            </w:r>
            <w:r>
              <w:rPr>
                <w:rFonts w:hint="eastAsia" w:ascii="Times New Roman" w:hAnsi="Times New Roman" w:cs="Arial"/>
                <w:color w:val="auto"/>
                <w:sz w:val="24"/>
                <w:szCs w:val="24"/>
                <w:lang w:eastAsia="zh-CN"/>
              </w:rPr>
              <w:t>得</w:t>
            </w:r>
            <w:r>
              <w:rPr>
                <w:rFonts w:ascii="Times New Roman" w:hAnsi="Times New Roman" w:cs="Arial"/>
                <w:color w:val="auto"/>
                <w:sz w:val="24"/>
                <w:szCs w:val="24"/>
                <w:lang w:eastAsia="zh-CN"/>
              </w:rPr>
              <w:t>分平均值</w:t>
            </w:r>
          </w:p>
        </w:tc>
        <w:tc>
          <w:tcPr>
            <w:tcW w:w="1440"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c>
          <w:tcPr>
            <w:tcW w:w="1653"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c>
          <w:tcPr>
            <w:tcW w:w="1654" w:type="dxa"/>
            <w:vAlign w:val="center"/>
          </w:tcPr>
          <w:p>
            <w:pPr>
              <w:jc w:val="center"/>
              <w:rPr>
                <w:rFonts w:ascii="Times New Roman" w:hAnsi="Times New Roman" w:cs="Arial"/>
                <w:color w:val="auto"/>
                <w:sz w:val="24"/>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67" w:hRule="atLeast"/>
        </w:trPr>
        <w:tc>
          <w:tcPr>
            <w:tcW w:w="2574" w:type="dxa"/>
            <w:gridSpan w:val="2"/>
            <w:vAlign w:val="center"/>
          </w:tcPr>
          <w:p>
            <w:pPr>
              <w:rPr>
                <w:rFonts w:ascii="Times New Roman" w:hAnsi="Times New Roman" w:cs="Arial"/>
                <w:color w:val="auto"/>
                <w:sz w:val="24"/>
                <w:szCs w:val="24"/>
              </w:rPr>
            </w:pPr>
            <w:r>
              <w:rPr>
                <w:rFonts w:ascii="Times New Roman" w:hAnsi="Times New Roman" w:cs="Arial"/>
                <w:color w:val="auto"/>
                <w:sz w:val="24"/>
                <w:szCs w:val="24"/>
              </w:rPr>
              <w:t>投标人最终排名次序</w:t>
            </w:r>
          </w:p>
        </w:tc>
        <w:tc>
          <w:tcPr>
            <w:tcW w:w="1440"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3"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c>
          <w:tcPr>
            <w:tcW w:w="1654" w:type="dxa"/>
            <w:vAlign w:val="center"/>
          </w:tcPr>
          <w:p>
            <w:pPr>
              <w:jc w:val="center"/>
              <w:rPr>
                <w:rFonts w:ascii="Times New Roman" w:hAnsi="Times New Roman" w:cs="Arial"/>
                <w:color w:val="auto"/>
                <w:sz w:val="24"/>
                <w:szCs w:val="24"/>
              </w:rPr>
            </w:pPr>
          </w:p>
        </w:tc>
      </w:tr>
    </w:tbl>
    <w:p>
      <w:pPr>
        <w:spacing w:after="120" w:afterLines="50" w:line="300" w:lineRule="auto"/>
        <w:rPr>
          <w:rFonts w:ascii="Times New Roman" w:hAnsi="Times New Roman"/>
          <w:color w:val="auto"/>
          <w:sz w:val="24"/>
          <w:szCs w:val="24"/>
          <w:lang w:eastAsia="zh-CN"/>
        </w:rPr>
        <w:sectPr>
          <w:headerReference r:id="rId8" w:type="default"/>
          <w:pgSz w:w="16840" w:h="11910" w:orient="landscape"/>
          <w:pgMar w:top="1588" w:right="1418" w:bottom="1814" w:left="1588" w:header="734" w:footer="995" w:gutter="0"/>
          <w:cols w:space="720" w:num="1"/>
          <w:docGrid w:linePitch="299" w:charSpace="0"/>
        </w:sectPr>
      </w:pPr>
      <w:r>
        <w:rPr>
          <w:rFonts w:hint="eastAsia" w:ascii="Times New Roman" w:hAnsi="Times New Roman" w:cs="Arial"/>
          <w:color w:val="auto"/>
          <w:sz w:val="24"/>
          <w:szCs w:val="24"/>
          <w:lang w:eastAsia="zh-CN"/>
        </w:rPr>
        <w:t>评标委员会</w:t>
      </w:r>
      <w:r>
        <w:rPr>
          <w:rFonts w:ascii="Times New Roman" w:hAnsi="Times New Roman" w:cs="Arial"/>
          <w:color w:val="auto"/>
          <w:sz w:val="24"/>
          <w:szCs w:val="24"/>
          <w:lang w:eastAsia="zh-CN"/>
        </w:rPr>
        <w:t>全体</w:t>
      </w:r>
      <w:r>
        <w:rPr>
          <w:rFonts w:hint="eastAsia" w:ascii="Times New Roman" w:hAnsi="Times New Roman" w:cs="Arial"/>
          <w:color w:val="auto"/>
          <w:sz w:val="24"/>
          <w:szCs w:val="24"/>
          <w:lang w:eastAsia="zh-CN"/>
        </w:rPr>
        <w:t>成员</w:t>
      </w:r>
      <w:r>
        <w:rPr>
          <w:rFonts w:ascii="Times New Roman" w:hAnsi="Times New Roman" w:cs="Arial"/>
          <w:color w:val="auto"/>
          <w:sz w:val="24"/>
          <w:szCs w:val="24"/>
          <w:lang w:eastAsia="zh-CN"/>
        </w:rPr>
        <w:t xml:space="preserve">签名：                                                              日期：      年 </w:t>
      </w:r>
      <w:r>
        <w:rPr>
          <w:rFonts w:hint="eastAsia" w:ascii="Times New Roman" w:hAnsi="Times New Roman" w:cs="Arial"/>
          <w:color w:val="auto"/>
          <w:sz w:val="24"/>
          <w:szCs w:val="24"/>
          <w:lang w:eastAsia="zh-CN"/>
        </w:rPr>
        <w:t xml:space="preserve"> </w:t>
      </w:r>
      <w:r>
        <w:rPr>
          <w:rFonts w:ascii="Times New Roman" w:hAnsi="Times New Roman" w:cs="Arial"/>
          <w:color w:val="auto"/>
          <w:sz w:val="24"/>
          <w:szCs w:val="24"/>
          <w:lang w:eastAsia="zh-CN"/>
        </w:rPr>
        <w:t xml:space="preserve"> 月</w:t>
      </w:r>
      <w:r>
        <w:rPr>
          <w:rFonts w:hint="eastAsia" w:ascii="Times New Roman" w:hAnsi="Times New Roman" w:cs="Arial"/>
          <w:color w:val="auto"/>
          <w:sz w:val="24"/>
          <w:szCs w:val="24"/>
          <w:lang w:eastAsia="zh-CN"/>
        </w:rPr>
        <w:t xml:space="preserve">   日</w:t>
      </w:r>
    </w:p>
    <w:p>
      <w:pPr>
        <w:rPr>
          <w:color w:val="auto"/>
          <w:lang w:eastAsia="zh-CN"/>
        </w:rPr>
      </w:pPr>
      <w:bookmarkStart w:id="425" w:name="_Toc522884017"/>
      <w:bookmarkStart w:id="426" w:name="_Toc519721506"/>
      <w:bookmarkStart w:id="427" w:name="_Toc522884064"/>
      <w:bookmarkStart w:id="428" w:name="_Toc519721510"/>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rPr>
          <w:color w:val="auto"/>
          <w:lang w:eastAsia="zh-CN"/>
        </w:rPr>
      </w:pPr>
    </w:p>
    <w:p>
      <w:pPr>
        <w:pStyle w:val="34"/>
        <w:spacing w:before="120" w:after="120"/>
        <w:rPr>
          <w:rFonts w:ascii="Times New Roman" w:hAnsi="Times New Roman" w:eastAsia="宋体"/>
          <w:color w:val="auto"/>
          <w:lang w:eastAsia="zh-CN"/>
        </w:rPr>
      </w:pPr>
      <w:bookmarkStart w:id="429" w:name="_Toc42528024"/>
      <w:r>
        <w:rPr>
          <w:rFonts w:ascii="Times New Roman" w:hAnsi="Times New Roman" w:eastAsia="宋体"/>
          <w:color w:val="auto"/>
          <w:lang w:eastAsia="zh-CN"/>
        </w:rPr>
        <w:t>第</w:t>
      </w:r>
      <w:r>
        <w:rPr>
          <w:rFonts w:hint="eastAsia" w:ascii="Times New Roman" w:hAnsi="Times New Roman" w:eastAsia="宋体"/>
          <w:color w:val="auto"/>
          <w:lang w:eastAsia="zh-CN"/>
        </w:rPr>
        <w:t>五</w:t>
      </w:r>
      <w:r>
        <w:rPr>
          <w:rFonts w:ascii="Times New Roman" w:hAnsi="Times New Roman" w:eastAsia="宋体"/>
          <w:color w:val="auto"/>
          <w:lang w:eastAsia="zh-CN"/>
        </w:rPr>
        <w:t>章</w:t>
      </w:r>
      <w:r>
        <w:rPr>
          <w:rFonts w:ascii="Times New Roman" w:hAnsi="Times New Roman" w:eastAsia="宋体"/>
          <w:color w:val="auto"/>
          <w:lang w:eastAsia="zh-CN"/>
        </w:rPr>
        <w:tab/>
      </w:r>
      <w:r>
        <w:rPr>
          <w:rFonts w:ascii="Times New Roman" w:hAnsi="Times New Roman" w:eastAsia="宋体"/>
          <w:color w:val="auto"/>
          <w:lang w:eastAsia="zh-CN"/>
        </w:rPr>
        <w:t>合同</w:t>
      </w:r>
      <w:bookmarkEnd w:id="425"/>
      <w:bookmarkEnd w:id="426"/>
      <w:bookmarkEnd w:id="429"/>
    </w:p>
    <w:p>
      <w:pPr>
        <w:rPr>
          <w:rFonts w:ascii="Times New Roman" w:hAnsi="Times New Roman" w:cstheme="minorBidi"/>
          <w:b/>
          <w:bCs/>
          <w:color w:val="auto"/>
          <w:kern w:val="2"/>
          <w:sz w:val="32"/>
          <w:szCs w:val="32"/>
          <w:lang w:eastAsia="zh-CN"/>
        </w:rPr>
      </w:pPr>
      <w:r>
        <w:rPr>
          <w:rFonts w:ascii="Times New Roman" w:hAnsi="Times New Roman"/>
          <w:color w:val="auto"/>
          <w:lang w:eastAsia="zh-CN"/>
        </w:rPr>
        <w:br w:type="page"/>
      </w:r>
    </w:p>
    <w:p>
      <w:pPr>
        <w:jc w:val="center"/>
        <w:rPr>
          <w:rFonts w:hint="eastAsia" w:ascii="方正小标宋简体" w:hAnsi="黑体" w:eastAsia="方正小标宋简体"/>
          <w:color w:val="auto"/>
          <w:sz w:val="28"/>
          <w:szCs w:val="28"/>
          <w:u w:val="single"/>
        </w:rPr>
      </w:pPr>
      <w:r>
        <w:rPr>
          <w:rFonts w:hint="eastAsia" w:ascii="方正小标宋简体" w:hAnsi="黑体" w:eastAsia="方正小标宋简体"/>
          <w:color w:val="auto"/>
          <w:sz w:val="28"/>
          <w:szCs w:val="28"/>
        </w:rPr>
        <w:t xml:space="preserve">                                编号</w:t>
      </w:r>
      <w:r>
        <w:rPr>
          <w:rFonts w:hint="eastAsia" w:ascii="方正小标宋简体" w:hAnsi="黑体" w:eastAsia="方正小标宋简体"/>
          <w:color w:val="auto"/>
          <w:sz w:val="28"/>
          <w:szCs w:val="28"/>
          <w:u w:val="single"/>
          <w:lang w:val="en-US" w:eastAsia="zh-CN"/>
        </w:rPr>
        <w:t xml:space="preserve">        </w:t>
      </w:r>
    </w:p>
    <w:p>
      <w:pPr>
        <w:jc w:val="center"/>
        <w:rPr>
          <w:rFonts w:hint="eastAsia" w:ascii="方正小标宋简体" w:hAnsi="黑体" w:eastAsia="方正小标宋简体"/>
          <w:color w:val="auto"/>
          <w:sz w:val="48"/>
          <w:szCs w:val="48"/>
        </w:rPr>
      </w:pPr>
    </w:p>
    <w:p>
      <w:pPr>
        <w:jc w:val="center"/>
        <w:rPr>
          <w:rFonts w:hint="eastAsia" w:ascii="方正小标宋简体" w:hAnsi="黑体" w:eastAsia="方正小标宋简体"/>
          <w:color w:val="auto"/>
          <w:sz w:val="48"/>
          <w:szCs w:val="48"/>
        </w:rPr>
      </w:pPr>
    </w:p>
    <w:p>
      <w:pPr>
        <w:jc w:val="center"/>
        <w:rPr>
          <w:rFonts w:hint="eastAsia" w:ascii="方正小标宋简体" w:hAnsi="黑体" w:eastAsia="方正小标宋简体"/>
          <w:color w:val="auto"/>
          <w:sz w:val="48"/>
          <w:szCs w:val="48"/>
        </w:rPr>
      </w:pPr>
      <w:r>
        <w:rPr>
          <w:rFonts w:hint="eastAsia" w:ascii="方正小标宋简体" w:hAnsi="黑体" w:eastAsia="方正小标宋简体"/>
          <w:color w:val="auto"/>
          <w:sz w:val="48"/>
          <w:szCs w:val="48"/>
        </w:rPr>
        <w:t>北京市平原生态林、公园绿地管护合同</w:t>
      </w:r>
    </w:p>
    <w:p>
      <w:pPr>
        <w:jc w:val="center"/>
        <w:rPr>
          <w:rFonts w:hint="eastAsia" w:ascii="方正小标宋简体" w:hAnsi="黑体" w:eastAsia="方正小标宋简体"/>
          <w:color w:val="auto"/>
          <w:sz w:val="48"/>
          <w:szCs w:val="48"/>
        </w:rPr>
      </w:pPr>
    </w:p>
    <w:p>
      <w:pPr>
        <w:pStyle w:val="32"/>
        <w:rPr>
          <w:color w:val="auto"/>
          <w:sz w:val="28"/>
          <w:szCs w:val="28"/>
        </w:rPr>
      </w:pPr>
    </w:p>
    <w:p>
      <w:pPr>
        <w:pStyle w:val="32"/>
        <w:rPr>
          <w:color w:val="auto"/>
          <w:sz w:val="28"/>
          <w:szCs w:val="28"/>
        </w:rPr>
      </w:pPr>
    </w:p>
    <w:p>
      <w:pPr>
        <w:pStyle w:val="32"/>
        <w:rPr>
          <w:rFonts w:hint="eastAsia"/>
          <w:color w:val="auto"/>
          <w:sz w:val="28"/>
          <w:szCs w:val="28"/>
        </w:rPr>
      </w:pPr>
    </w:p>
    <w:p>
      <w:pPr>
        <w:pStyle w:val="32"/>
        <w:rPr>
          <w:rFonts w:hint="eastAsia"/>
          <w:color w:val="auto"/>
          <w:sz w:val="28"/>
          <w:szCs w:val="28"/>
        </w:rPr>
      </w:pPr>
    </w:p>
    <w:p>
      <w:pPr>
        <w:pStyle w:val="32"/>
        <w:rPr>
          <w:rFonts w:hint="eastAsia"/>
          <w:color w:val="auto"/>
          <w:sz w:val="28"/>
          <w:szCs w:val="28"/>
        </w:rPr>
      </w:pPr>
    </w:p>
    <w:p>
      <w:pPr>
        <w:pStyle w:val="32"/>
        <w:rPr>
          <w:rFonts w:hint="eastAsia"/>
          <w:color w:val="auto"/>
          <w:sz w:val="28"/>
          <w:szCs w:val="28"/>
        </w:rPr>
      </w:pPr>
    </w:p>
    <w:p>
      <w:pPr>
        <w:pStyle w:val="32"/>
        <w:rPr>
          <w:rFonts w:hint="eastAsia"/>
          <w:color w:val="auto"/>
          <w:sz w:val="28"/>
          <w:szCs w:val="28"/>
        </w:rPr>
      </w:pPr>
    </w:p>
    <w:p>
      <w:pPr>
        <w:pStyle w:val="32"/>
        <w:rPr>
          <w:rFonts w:hint="eastAsia"/>
          <w:color w:val="auto"/>
          <w:sz w:val="28"/>
          <w:szCs w:val="28"/>
        </w:rPr>
      </w:pPr>
    </w:p>
    <w:p>
      <w:pPr>
        <w:pStyle w:val="32"/>
        <w:rPr>
          <w:rFonts w:hint="eastAsia"/>
          <w:color w:val="auto"/>
          <w:sz w:val="28"/>
          <w:szCs w:val="28"/>
        </w:rPr>
      </w:pPr>
    </w:p>
    <w:p>
      <w:pPr>
        <w:adjustRightInd w:val="0"/>
        <w:snapToGrid w:val="0"/>
        <w:spacing w:line="560" w:lineRule="exact"/>
        <w:rPr>
          <w:rFonts w:ascii="黑体" w:hAnsi="Times New Roman" w:eastAsia="黑体"/>
          <w:color w:val="auto"/>
          <w:sz w:val="32"/>
          <w:szCs w:val="32"/>
        </w:rPr>
      </w:pPr>
      <w:r>
        <w:rPr>
          <w:rFonts w:hint="eastAsia" w:ascii="黑体" w:hAnsi="Times New Roman" w:eastAsia="黑体"/>
          <w:color w:val="auto"/>
          <w:sz w:val="32"/>
          <w:szCs w:val="32"/>
        </w:rPr>
        <w:t>甲方（委托方）：</w:t>
      </w:r>
      <w:r>
        <w:rPr>
          <w:rFonts w:hint="eastAsia" w:ascii="黑体" w:hAnsi="Times New Roman" w:eastAsia="黑体"/>
          <w:color w:val="auto"/>
          <w:sz w:val="32"/>
          <w:szCs w:val="32"/>
          <w:u w:val="single"/>
          <w:lang w:eastAsia="zh-CN"/>
        </w:rPr>
        <w:t>北京市朝阳区</w:t>
      </w:r>
      <w:r>
        <w:rPr>
          <w:rFonts w:hint="eastAsia" w:ascii="黑体" w:hAnsi="Times New Roman" w:eastAsia="黑体"/>
          <w:color w:val="auto"/>
          <w:sz w:val="32"/>
          <w:szCs w:val="32"/>
          <w:u w:val="single"/>
        </w:rPr>
        <w:t>管庄</w:t>
      </w:r>
      <w:r>
        <w:rPr>
          <w:rFonts w:hint="eastAsia" w:ascii="黑体" w:hAnsi="Times New Roman" w:eastAsia="黑体"/>
          <w:color w:val="auto"/>
          <w:sz w:val="32"/>
          <w:szCs w:val="32"/>
          <w:u w:val="single"/>
          <w:lang w:eastAsia="zh-CN"/>
        </w:rPr>
        <w:t>乡人民政府</w:t>
      </w:r>
      <w:r>
        <w:rPr>
          <w:rFonts w:hint="eastAsia" w:ascii="黑体" w:hAnsi="Times New Roman" w:eastAsia="黑体"/>
          <w:color w:val="auto"/>
          <w:sz w:val="32"/>
          <w:szCs w:val="32"/>
          <w:u w:val="single"/>
        </w:rPr>
        <w:t xml:space="preserve">     </w:t>
      </w:r>
    </w:p>
    <w:p>
      <w:pPr>
        <w:tabs>
          <w:tab w:val="left" w:pos="975"/>
        </w:tabs>
        <w:adjustRightInd w:val="0"/>
        <w:snapToGrid w:val="0"/>
        <w:spacing w:line="560" w:lineRule="exact"/>
        <w:rPr>
          <w:rFonts w:hint="default" w:ascii="黑体" w:hAnsi="Times New Roman" w:eastAsia="黑体"/>
          <w:color w:val="auto"/>
          <w:sz w:val="32"/>
          <w:szCs w:val="32"/>
          <w:lang w:val="en-US"/>
        </w:rPr>
      </w:pPr>
      <w:r>
        <w:rPr>
          <w:rFonts w:hint="eastAsia" w:ascii="黑体" w:hAnsi="Times New Roman" w:eastAsia="黑体"/>
          <w:color w:val="auto"/>
          <w:sz w:val="32"/>
          <w:szCs w:val="32"/>
        </w:rPr>
        <w:t>乙方（管护方）：</w:t>
      </w:r>
      <w:r>
        <w:rPr>
          <w:rFonts w:hint="eastAsia" w:ascii="黑体" w:hAnsi="Times New Roman" w:eastAsia="黑体"/>
          <w:color w:val="auto"/>
          <w:sz w:val="32"/>
          <w:szCs w:val="32"/>
          <w:u w:val="single"/>
          <w:lang w:val="en-US" w:eastAsia="zh-CN"/>
        </w:rPr>
        <w:t xml:space="preserve">                               </w:t>
      </w:r>
    </w:p>
    <w:p>
      <w:pPr>
        <w:pStyle w:val="32"/>
        <w:rPr>
          <w:color w:val="auto"/>
          <w:sz w:val="28"/>
          <w:szCs w:val="28"/>
        </w:rPr>
      </w:pPr>
    </w:p>
    <w:p>
      <w:pPr>
        <w:pStyle w:val="32"/>
        <w:rPr>
          <w:color w:val="auto"/>
          <w:sz w:val="28"/>
          <w:szCs w:val="28"/>
        </w:rPr>
      </w:pPr>
    </w:p>
    <w:p>
      <w:pPr>
        <w:pStyle w:val="32"/>
        <w:rPr>
          <w:color w:val="auto"/>
          <w:sz w:val="28"/>
          <w:szCs w:val="28"/>
        </w:rPr>
      </w:pPr>
    </w:p>
    <w:p>
      <w:pPr>
        <w:pStyle w:val="32"/>
        <w:jc w:val="center"/>
        <w:rPr>
          <w:rFonts w:hint="eastAsia"/>
          <w:b/>
          <w:color w:val="auto"/>
          <w:sz w:val="36"/>
          <w:szCs w:val="36"/>
        </w:rPr>
      </w:pPr>
      <w:r>
        <w:rPr>
          <w:rFonts w:hint="eastAsia" w:ascii="黑体" w:hAnsi="黑体" w:eastAsia="黑体"/>
          <w:color w:val="auto"/>
          <w:sz w:val="30"/>
          <w:szCs w:val="30"/>
        </w:rPr>
        <w:t>北京市园林绿化局</w:t>
      </w:r>
      <w:r>
        <w:rPr>
          <w:rFonts w:ascii="黑体" w:hAnsi="黑体" w:eastAsia="黑体"/>
          <w:color w:val="auto"/>
          <w:sz w:val="30"/>
          <w:szCs w:val="30"/>
        </w:rPr>
        <w:t xml:space="preserve"> </w:t>
      </w:r>
      <w:r>
        <w:rPr>
          <w:rFonts w:hint="eastAsia" w:ascii="黑体" w:hAnsi="黑体" w:eastAsia="黑体"/>
          <w:color w:val="auto"/>
          <w:sz w:val="30"/>
          <w:szCs w:val="30"/>
        </w:rPr>
        <w:t>监制</w:t>
      </w:r>
    </w:p>
    <w:p>
      <w:pPr>
        <w:pStyle w:val="32"/>
        <w:jc w:val="center"/>
        <w:rPr>
          <w:color w:val="auto"/>
          <w:sz w:val="28"/>
          <w:szCs w:val="28"/>
        </w:rPr>
      </w:pPr>
      <w:r>
        <w:rPr>
          <w:rFonts w:hint="eastAsia"/>
          <w:b/>
          <w:color w:val="auto"/>
          <w:sz w:val="36"/>
          <w:szCs w:val="36"/>
        </w:rPr>
        <w:t>说</w:t>
      </w:r>
      <w:r>
        <w:rPr>
          <w:b/>
          <w:color w:val="auto"/>
          <w:sz w:val="36"/>
          <w:szCs w:val="36"/>
        </w:rPr>
        <w:t xml:space="preserve">  </w:t>
      </w:r>
      <w:r>
        <w:rPr>
          <w:rFonts w:hint="eastAsia"/>
          <w:b/>
          <w:color w:val="auto"/>
          <w:sz w:val="36"/>
          <w:szCs w:val="36"/>
        </w:rPr>
        <w:t>明</w:t>
      </w:r>
    </w:p>
    <w:p>
      <w:pPr>
        <w:pStyle w:val="32"/>
        <w:spacing w:before="0" w:beforeAutospacing="0" w:after="0" w:afterAutospacing="0" w:line="5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一、本合同文本依据《中华人民共和国合同法》、《北京市人民政府关于完善本市绿化隔离地区和“五河十路”绿色通道生态林用地及管护政策的通知》（京政发〔2015〕35号）等法律、文件制定。</w:t>
      </w:r>
    </w:p>
    <w:p>
      <w:pPr>
        <w:pStyle w:val="32"/>
        <w:spacing w:before="0" w:beforeAutospacing="0" w:after="0" w:afterAutospacing="0" w:line="5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二、本合同适用范围：北京市平原生态林和乡自管公园、林地及道边树管护。</w:t>
      </w:r>
    </w:p>
    <w:p>
      <w:pPr>
        <w:pStyle w:val="32"/>
        <w:spacing w:before="0" w:beforeAutospacing="0" w:after="0" w:afterAutospacing="0" w:line="580" w:lineRule="exact"/>
        <w:ind w:firstLine="48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三、本合同条款为指导性条款。合同未尽事项，当事人可根据具体情况另行增加约束性条款。</w:t>
      </w:r>
    </w:p>
    <w:p>
      <w:pPr>
        <w:spacing w:line="580" w:lineRule="exact"/>
        <w:rPr>
          <w:rFonts w:hint="eastAsia" w:ascii="仿宋_GB2312" w:hAnsi="仿宋_GB2312" w:eastAsia="仿宋_GB2312" w:cs="仿宋_GB2312"/>
          <w:color w:val="auto"/>
          <w:szCs w:val="24"/>
        </w:rPr>
      </w:pPr>
    </w:p>
    <w:p>
      <w:pPr>
        <w:spacing w:line="580" w:lineRule="exact"/>
        <w:rPr>
          <w:rFonts w:hint="eastAsia" w:ascii="仿宋_GB2312" w:hAnsi="仿宋_GB2312" w:eastAsia="仿宋_GB2312" w:cs="仿宋_GB2312"/>
          <w:color w:val="auto"/>
          <w:szCs w:val="24"/>
        </w:rPr>
      </w:pPr>
    </w:p>
    <w:p>
      <w:pPr>
        <w:spacing w:line="580" w:lineRule="exact"/>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rPr>
          <w:rFonts w:hint="eastAsia" w:ascii="仿宋_GB2312" w:hAnsi="仿宋_GB2312" w:eastAsia="仿宋_GB2312" w:cs="仿宋_GB2312"/>
          <w:color w:val="auto"/>
          <w:szCs w:val="24"/>
        </w:rPr>
      </w:pPr>
    </w:p>
    <w:p>
      <w:pPr>
        <w:wordWrap w:val="0"/>
        <w:adjustRightInd w:val="0"/>
        <w:snapToGrid w:val="0"/>
        <w:jc w:val="right"/>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 xml:space="preserve">                               </w:t>
      </w:r>
    </w:p>
    <w:p>
      <w:pPr>
        <w:wordWrap w:val="0"/>
        <w:adjustRightInd w:val="0"/>
        <w:snapToGrid w:val="0"/>
        <w:spacing w:line="360" w:lineRule="auto"/>
        <w:jc w:val="right"/>
        <w:rPr>
          <w:rFonts w:hint="eastAsia" w:ascii="仿宋_GB2312" w:hAnsi="仿宋_GB2312" w:eastAsia="仿宋_GB2312" w:cs="仿宋_GB2312"/>
          <w:bCs/>
          <w:color w:val="auto"/>
          <w:szCs w:val="24"/>
          <w:lang w:val="en-US"/>
        </w:rPr>
      </w:pPr>
      <w:r>
        <w:rPr>
          <w:rFonts w:hint="eastAsia" w:ascii="仿宋_GB2312" w:hAnsi="仿宋_GB2312" w:eastAsia="仿宋_GB2312" w:cs="仿宋_GB2312"/>
          <w:color w:val="auto"/>
          <w:szCs w:val="24"/>
        </w:rPr>
        <w:br w:type="page"/>
      </w:r>
      <w:r>
        <w:rPr>
          <w:rFonts w:hint="eastAsia" w:ascii="仿宋_GB2312" w:hAnsi="仿宋_GB2312" w:eastAsia="仿宋_GB2312" w:cs="仿宋_GB2312"/>
          <w:bCs/>
          <w:color w:val="auto"/>
          <w:szCs w:val="24"/>
        </w:rPr>
        <w:t>合同编号：</w:t>
      </w:r>
      <w:r>
        <w:rPr>
          <w:rFonts w:hint="eastAsia" w:ascii="方正小标宋简体" w:hAnsi="黑体" w:eastAsia="方正小标宋简体"/>
          <w:color w:val="auto"/>
          <w:sz w:val="28"/>
          <w:szCs w:val="28"/>
          <w:u w:val="single"/>
          <w:lang w:val="en-US" w:eastAsia="zh-CN"/>
        </w:rPr>
        <w:t xml:space="preserve">      </w:t>
      </w:r>
    </w:p>
    <w:p>
      <w:pPr>
        <w:snapToGrid w:val="0"/>
        <w:spacing w:line="360" w:lineRule="auto"/>
        <w:jc w:val="center"/>
        <w:rPr>
          <w:rFonts w:hint="eastAsia" w:ascii="仿宋_GB2312" w:hAnsi="仿宋_GB2312" w:eastAsia="仿宋_GB2312" w:cs="仿宋_GB2312"/>
          <w:color w:val="auto"/>
          <w:szCs w:val="24"/>
        </w:rPr>
      </w:pPr>
    </w:p>
    <w:p>
      <w:pPr>
        <w:snapToGrid w:val="0"/>
        <w:spacing w:line="360" w:lineRule="auto"/>
        <w:jc w:val="center"/>
        <w:rPr>
          <w:rFonts w:hint="eastAsia" w:ascii="仿宋_GB2312" w:hAnsi="仿宋_GB2312" w:eastAsia="仿宋_GB2312" w:cs="仿宋_GB2312"/>
          <w:bCs/>
          <w:color w:val="auto"/>
          <w:szCs w:val="24"/>
          <w:lang w:eastAsia="zh-CN"/>
        </w:rPr>
      </w:pPr>
      <w:r>
        <w:rPr>
          <w:rFonts w:hint="eastAsia" w:ascii="仿宋_GB2312" w:hAnsi="仿宋_GB2312" w:eastAsia="仿宋_GB2312" w:cs="仿宋_GB2312"/>
          <w:bCs/>
          <w:color w:val="auto"/>
          <w:szCs w:val="24"/>
        </w:rPr>
        <w:t>2020年管庄乡平原生态林、自管绿化片林养护</w:t>
      </w:r>
      <w:r>
        <w:rPr>
          <w:rFonts w:hint="eastAsia" w:ascii="仿宋_GB2312" w:hAnsi="仿宋_GB2312" w:eastAsia="仿宋_GB2312" w:cs="仿宋_GB2312"/>
          <w:bCs/>
          <w:color w:val="auto"/>
          <w:szCs w:val="24"/>
          <w:lang w:eastAsia="zh-CN"/>
        </w:rPr>
        <w:t>合同</w:t>
      </w:r>
    </w:p>
    <w:p>
      <w:pPr>
        <w:snapToGrid w:val="0"/>
        <w:spacing w:line="360" w:lineRule="auto"/>
        <w:jc w:val="center"/>
        <w:rPr>
          <w:rFonts w:hint="eastAsia" w:ascii="仿宋_GB2312" w:hAnsi="仿宋_GB2312" w:eastAsia="仿宋_GB2312" w:cs="仿宋_GB2312"/>
          <w:bCs/>
          <w:color w:val="auto"/>
          <w:szCs w:val="24"/>
        </w:rPr>
      </w:pPr>
    </w:p>
    <w:p>
      <w:pPr>
        <w:adjustRightInd w:val="0"/>
        <w:snapToGrid w:val="0"/>
        <w:spacing w:line="360" w:lineRule="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甲方（委托方）：</w:t>
      </w:r>
      <w:r>
        <w:rPr>
          <w:rFonts w:hint="eastAsia" w:ascii="仿宋_GB2312" w:hAnsi="仿宋_GB2312" w:eastAsia="仿宋_GB2312" w:cs="仿宋_GB2312"/>
          <w:color w:val="auto"/>
          <w:szCs w:val="24"/>
          <w:u w:val="single"/>
          <w:lang w:eastAsia="zh-CN"/>
        </w:rPr>
        <w:t>北京市朝阳区管庄乡人民政府</w:t>
      </w:r>
      <w:r>
        <w:rPr>
          <w:rFonts w:hint="eastAsia" w:ascii="仿宋_GB2312" w:hAnsi="仿宋_GB2312" w:eastAsia="仿宋_GB2312" w:cs="仿宋_GB2312"/>
          <w:color w:val="auto"/>
          <w:szCs w:val="24"/>
          <w:u w:val="single"/>
          <w:lang w:val="en-US" w:eastAsia="zh-CN"/>
        </w:rPr>
        <w:t xml:space="preserve"> </w:t>
      </w:r>
    </w:p>
    <w:p>
      <w:pPr>
        <w:adjustRightInd w:val="0"/>
        <w:snapToGrid w:val="0"/>
        <w:spacing w:line="360" w:lineRule="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乙方（管护方）：</w:t>
      </w:r>
      <w:r>
        <w:rPr>
          <w:rFonts w:hint="eastAsia" w:ascii="仿宋_GB2312" w:hAnsi="仿宋_GB2312" w:eastAsia="仿宋_GB2312" w:cs="仿宋_GB2312"/>
          <w:color w:val="auto"/>
          <w:szCs w:val="24"/>
          <w:u w:val="single"/>
          <w:lang w:val="en-US" w:eastAsia="zh-CN"/>
        </w:rPr>
        <w:t xml:space="preserve">                           </w:t>
      </w:r>
    </w:p>
    <w:p>
      <w:pPr>
        <w:snapToGrid w:val="0"/>
        <w:spacing w:line="360" w:lineRule="auto"/>
        <w:rPr>
          <w:rFonts w:hint="eastAsia" w:ascii="仿宋_GB2312" w:hAnsi="仿宋_GB2312" w:eastAsia="仿宋_GB2312" w:cs="仿宋_GB2312"/>
          <w:bCs/>
          <w:color w:val="auto"/>
          <w:szCs w:val="24"/>
        </w:rPr>
      </w:pPr>
      <w:r>
        <w:rPr>
          <w:rFonts w:hint="eastAsia" w:ascii="仿宋_GB2312" w:hAnsi="仿宋_GB2312" w:eastAsia="仿宋_GB2312" w:cs="仿宋_GB2312"/>
          <w:color w:val="auto"/>
          <w:szCs w:val="24"/>
        </w:rPr>
        <w:t xml:space="preserve">                       </w:t>
      </w:r>
    </w:p>
    <w:p>
      <w:pPr>
        <w:snapToGrid w:val="0"/>
        <w:spacing w:before="312" w:beforeLines="100"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经当事人各方友好协商</w:t>
      </w:r>
      <w:r>
        <w:rPr>
          <w:rFonts w:hint="eastAsia" w:ascii="仿宋_GB2312" w:hAnsi="仿宋_GB2312" w:eastAsia="仿宋_GB2312" w:cs="仿宋_GB2312"/>
          <w:color w:val="auto"/>
          <w:szCs w:val="24"/>
        </w:rPr>
        <w:t>，遵</w:t>
      </w:r>
      <w:r>
        <w:rPr>
          <w:rFonts w:hint="eastAsia" w:ascii="仿宋_GB2312" w:hAnsi="仿宋_GB2312" w:eastAsia="仿宋_GB2312" w:cs="仿宋_GB2312"/>
          <w:bCs/>
          <w:color w:val="auto"/>
          <w:szCs w:val="24"/>
        </w:rPr>
        <w:t>循平等、自愿的原则，订立本合同。</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一、管护对象</w:t>
      </w:r>
    </w:p>
    <w:p>
      <w:pPr>
        <w:snapToGrid w:val="0"/>
        <w:spacing w:line="360" w:lineRule="auto"/>
        <w:ind w:firstLine="442" w:firstLineChars="200"/>
        <w:rPr>
          <w:rFonts w:hint="eastAsia" w:ascii="仿宋_GB2312" w:hAnsi="仿宋_GB2312" w:eastAsia="仿宋_GB2312" w:cs="仿宋_GB2312"/>
          <w:b/>
          <w:bCs/>
          <w:color w:val="auto"/>
          <w:szCs w:val="24"/>
        </w:rPr>
      </w:pPr>
      <w:r>
        <w:rPr>
          <w:rFonts w:hint="eastAsia" w:ascii="仿宋_GB2312" w:hAnsi="仿宋_GB2312" w:eastAsia="仿宋_GB2312" w:cs="仿宋_GB2312"/>
          <w:b/>
          <w:bCs/>
          <w:color w:val="auto"/>
          <w:szCs w:val="24"/>
        </w:rPr>
        <w:t>生态林管护单元：</w:t>
      </w:r>
      <w:r>
        <w:rPr>
          <w:rFonts w:hint="eastAsia" w:ascii="仿宋_GB2312" w:hAnsi="仿宋_GB2312" w:eastAsia="仿宋_GB2312" w:cs="仿宋_GB2312"/>
          <w:b/>
          <w:color w:val="auto"/>
          <w:szCs w:val="24"/>
          <w:u w:val="single"/>
        </w:rPr>
        <w:t>05492010001、05492040006、05492030005等，详见朝阳区平原生态林管护单元详细情况表</w:t>
      </w:r>
      <w:r>
        <w:rPr>
          <w:rFonts w:hint="eastAsia" w:ascii="仿宋_GB2312" w:hAnsi="仿宋_GB2312" w:eastAsia="仿宋_GB2312" w:cs="仿宋_GB2312"/>
          <w:b/>
          <w:color w:val="auto"/>
          <w:szCs w:val="24"/>
          <w:u w:val="single"/>
          <w:lang w:eastAsia="zh-CN"/>
        </w:rPr>
        <w:t>。</w:t>
      </w:r>
      <w:r>
        <w:rPr>
          <w:rFonts w:hint="eastAsia" w:ascii="仿宋_GB2312" w:hAnsi="仿宋_GB2312" w:eastAsia="仿宋_GB2312" w:cs="仿宋_GB2312"/>
          <w:b/>
          <w:color w:val="auto"/>
          <w:szCs w:val="24"/>
          <w:u w:val="single"/>
        </w:rPr>
        <w:t xml:space="preserve">                                     </w:t>
      </w:r>
    </w:p>
    <w:p>
      <w:pPr>
        <w:snapToGrid w:val="0"/>
        <w:spacing w:line="360" w:lineRule="auto"/>
        <w:ind w:firstLine="442" w:firstLineChars="200"/>
        <w:rPr>
          <w:rFonts w:hint="eastAsia" w:ascii="仿宋_GB2312" w:hAnsi="仿宋_GB2312" w:eastAsia="仿宋_GB2312" w:cs="仿宋_GB2312"/>
          <w:b/>
          <w:color w:val="auto"/>
          <w:szCs w:val="24"/>
          <w:u w:val="single"/>
        </w:rPr>
      </w:pPr>
      <w:r>
        <w:rPr>
          <w:rFonts w:hint="eastAsia" w:ascii="仿宋_GB2312" w:hAnsi="仿宋_GB2312" w:eastAsia="仿宋_GB2312" w:cs="仿宋_GB2312"/>
          <w:b/>
          <w:bCs/>
          <w:color w:val="auto"/>
          <w:szCs w:val="24"/>
        </w:rPr>
        <w:t>生态林管护地点：</w:t>
      </w:r>
      <w:r>
        <w:rPr>
          <w:rFonts w:hint="eastAsia" w:ascii="仿宋_GB2312" w:hAnsi="仿宋_GB2312" w:eastAsia="仿宋_GB2312" w:cs="仿宋_GB2312"/>
          <w:b/>
          <w:color w:val="auto"/>
          <w:szCs w:val="24"/>
          <w:u w:val="single"/>
        </w:rPr>
        <w:t xml:space="preserve"> 管庄村、果家店村、八里桥村、西会村、东会村、司辛庄村</w:t>
      </w:r>
      <w:r>
        <w:rPr>
          <w:rFonts w:hint="eastAsia" w:ascii="仿宋_GB2312" w:hAnsi="仿宋_GB2312" w:eastAsia="仿宋_GB2312" w:cs="仿宋_GB2312"/>
          <w:b/>
          <w:color w:val="auto"/>
          <w:szCs w:val="24"/>
          <w:u w:val="single"/>
          <w:lang w:eastAsia="zh-CN"/>
        </w:rPr>
        <w:t>、</w:t>
      </w:r>
      <w:r>
        <w:rPr>
          <w:rFonts w:hint="eastAsia" w:ascii="仿宋_GB2312" w:hAnsi="仿宋_GB2312" w:eastAsia="仿宋_GB2312" w:cs="仿宋_GB2312"/>
          <w:b/>
          <w:color w:val="auto"/>
          <w:szCs w:val="24"/>
          <w:u w:val="single"/>
        </w:rPr>
        <w:t>重兴寺村、郭家场村</w:t>
      </w:r>
      <w:r>
        <w:rPr>
          <w:rFonts w:hint="eastAsia" w:ascii="仿宋_GB2312" w:hAnsi="仿宋_GB2312" w:eastAsia="仿宋_GB2312" w:cs="仿宋_GB2312"/>
          <w:b/>
          <w:color w:val="auto"/>
          <w:szCs w:val="24"/>
          <w:u w:val="single"/>
          <w:lang w:eastAsia="zh-CN"/>
        </w:rPr>
        <w:t>。</w:t>
      </w:r>
      <w:r>
        <w:rPr>
          <w:rFonts w:hint="eastAsia" w:ascii="仿宋_GB2312" w:hAnsi="仿宋_GB2312" w:eastAsia="仿宋_GB2312" w:cs="仿宋_GB2312"/>
          <w:b/>
          <w:color w:val="auto"/>
          <w:szCs w:val="24"/>
          <w:u w:val="single"/>
        </w:rPr>
        <w:t xml:space="preserve">                   </w:t>
      </w:r>
      <w:r>
        <w:rPr>
          <w:rFonts w:hint="eastAsia" w:ascii="仿宋_GB2312" w:hAnsi="仿宋_GB2312" w:eastAsia="仿宋_GB2312" w:cs="仿宋_GB2312"/>
          <w:b/>
          <w:color w:val="auto"/>
          <w:szCs w:val="24"/>
          <w:u w:val="single"/>
          <w:lang w:val="en-US" w:eastAsia="zh-CN"/>
        </w:rPr>
        <w:t xml:space="preserve">          </w:t>
      </w:r>
      <w:r>
        <w:rPr>
          <w:rFonts w:hint="eastAsia" w:ascii="仿宋_GB2312" w:hAnsi="仿宋_GB2312" w:eastAsia="仿宋_GB2312" w:cs="仿宋_GB2312"/>
          <w:b/>
          <w:color w:val="auto"/>
          <w:szCs w:val="24"/>
          <w:u w:val="single"/>
        </w:rPr>
        <w:t xml:space="preserve">              </w:t>
      </w:r>
    </w:p>
    <w:p>
      <w:pPr>
        <w:snapToGrid w:val="0"/>
        <w:spacing w:line="360" w:lineRule="auto"/>
        <w:ind w:firstLine="442" w:firstLineChars="200"/>
        <w:rPr>
          <w:rFonts w:hint="eastAsia" w:ascii="仿宋_GB2312" w:hAnsi="仿宋_GB2312" w:eastAsia="仿宋_GB2312" w:cs="仿宋_GB2312"/>
          <w:b/>
          <w:color w:val="auto"/>
          <w:szCs w:val="24"/>
          <w:u w:val="single"/>
        </w:rPr>
      </w:pPr>
      <w:r>
        <w:rPr>
          <w:rFonts w:hint="eastAsia" w:ascii="仿宋_GB2312" w:hAnsi="仿宋_GB2312" w:eastAsia="仿宋_GB2312" w:cs="仿宋_GB2312"/>
          <w:b/>
          <w:bCs/>
          <w:color w:val="auto"/>
          <w:szCs w:val="24"/>
        </w:rPr>
        <w:t>生态林林木现状：</w:t>
      </w:r>
      <w:r>
        <w:rPr>
          <w:rFonts w:hint="eastAsia" w:ascii="仿宋_GB2312" w:hAnsi="仿宋_GB2312" w:eastAsia="仿宋_GB2312" w:cs="仿宋_GB2312"/>
          <w:b/>
          <w:color w:val="auto"/>
          <w:szCs w:val="24"/>
          <w:u w:val="single"/>
        </w:rPr>
        <w:t xml:space="preserve"> 毛白杨 、银杏、油松、侧柏、白蜡等，详见朝阳区平原生态林管护单元详细情况表</w:t>
      </w:r>
      <w:r>
        <w:rPr>
          <w:rFonts w:hint="eastAsia" w:ascii="仿宋_GB2312" w:hAnsi="仿宋_GB2312" w:eastAsia="仿宋_GB2312" w:cs="仿宋_GB2312"/>
          <w:b/>
          <w:color w:val="auto"/>
          <w:szCs w:val="24"/>
          <w:u w:val="single"/>
          <w:lang w:eastAsia="zh-CN"/>
        </w:rPr>
        <w:t>。</w:t>
      </w:r>
      <w:r>
        <w:rPr>
          <w:rFonts w:hint="eastAsia" w:ascii="仿宋_GB2312" w:hAnsi="仿宋_GB2312" w:eastAsia="仿宋_GB2312" w:cs="仿宋_GB2312"/>
          <w:b/>
          <w:color w:val="auto"/>
          <w:szCs w:val="24"/>
          <w:u w:val="single"/>
        </w:rPr>
        <w:t xml:space="preserve">                                        </w:t>
      </w:r>
    </w:p>
    <w:p>
      <w:pPr>
        <w:snapToGrid w:val="0"/>
        <w:spacing w:line="360" w:lineRule="auto"/>
        <w:ind w:firstLine="433" w:firstLineChars="196"/>
        <w:rPr>
          <w:rFonts w:hint="eastAsia" w:ascii="仿宋_GB2312" w:hAnsi="仿宋_GB2312" w:eastAsia="仿宋_GB2312" w:cs="仿宋_GB2312"/>
          <w:b/>
          <w:color w:val="auto"/>
          <w:szCs w:val="24"/>
          <w:u w:val="single"/>
        </w:rPr>
      </w:pPr>
      <w:r>
        <w:rPr>
          <w:rFonts w:hint="eastAsia" w:ascii="仿宋_GB2312" w:hAnsi="仿宋_GB2312" w:eastAsia="仿宋_GB2312" w:cs="仿宋_GB2312"/>
          <w:b/>
          <w:color w:val="auto"/>
          <w:szCs w:val="24"/>
        </w:rPr>
        <w:t>乡自管公园绿地</w:t>
      </w:r>
      <w:r>
        <w:rPr>
          <w:rFonts w:hint="eastAsia" w:ascii="仿宋_GB2312" w:hAnsi="仿宋_GB2312" w:eastAsia="仿宋_GB2312" w:cs="仿宋_GB2312"/>
          <w:b/>
          <w:bCs/>
          <w:color w:val="auto"/>
          <w:szCs w:val="24"/>
        </w:rPr>
        <w:t>管护地点：</w:t>
      </w:r>
      <w:r>
        <w:rPr>
          <w:rFonts w:hint="eastAsia" w:ascii="仿宋_GB2312" w:hAnsi="仿宋_GB2312" w:eastAsia="仿宋_GB2312" w:cs="仿宋_GB2312"/>
          <w:color w:val="auto"/>
          <w:szCs w:val="24"/>
          <w:u w:val="single"/>
        </w:rPr>
        <w:t xml:space="preserve"> </w:t>
      </w:r>
      <w:r>
        <w:rPr>
          <w:rFonts w:hint="eastAsia" w:ascii="仿宋_GB2312" w:hAnsi="仿宋_GB2312" w:eastAsia="仿宋_GB2312" w:cs="仿宋_GB2312"/>
          <w:b/>
          <w:color w:val="auto"/>
          <w:szCs w:val="24"/>
          <w:u w:val="single"/>
        </w:rPr>
        <w:t>八里桥公园、瑞祥里中心花园</w:t>
      </w:r>
      <w:r>
        <w:rPr>
          <w:rFonts w:hint="eastAsia" w:ascii="仿宋_GB2312" w:hAnsi="仿宋_GB2312" w:eastAsia="仿宋_GB2312" w:cs="仿宋_GB2312"/>
          <w:b/>
          <w:color w:val="auto"/>
          <w:szCs w:val="24"/>
          <w:u w:val="single"/>
          <w:lang w:eastAsia="zh-CN"/>
        </w:rPr>
        <w:t>、</w:t>
      </w:r>
      <w:r>
        <w:rPr>
          <w:rFonts w:hint="eastAsia" w:ascii="仿宋_GB2312" w:hAnsi="仿宋_GB2312" w:eastAsia="仿宋_GB2312" w:cs="仿宋_GB2312"/>
          <w:b/>
          <w:color w:val="auto"/>
          <w:szCs w:val="24"/>
          <w:u w:val="single"/>
        </w:rPr>
        <w:t>灌渠沟两侧、八里桥</w:t>
      </w:r>
      <w:r>
        <w:rPr>
          <w:rFonts w:ascii="仿宋_GB2312" w:hAnsi="仿宋_GB2312" w:eastAsia="仿宋_GB2312" w:cs="仿宋_GB2312"/>
          <w:b/>
          <w:color w:val="auto"/>
          <w:szCs w:val="24"/>
          <w:u w:val="single"/>
        </w:rPr>
        <w:t>1号路两侧绿化</w:t>
      </w:r>
      <w:r>
        <w:rPr>
          <w:rFonts w:hint="eastAsia" w:ascii="仿宋_GB2312" w:hAnsi="仿宋_GB2312" w:eastAsia="仿宋_GB2312" w:cs="仿宋_GB2312"/>
          <w:b/>
          <w:color w:val="auto"/>
          <w:szCs w:val="24"/>
          <w:u w:val="single"/>
        </w:rPr>
        <w:t>、通惠河南岸绿地、</w:t>
      </w:r>
      <w:r>
        <w:rPr>
          <w:rFonts w:hint="eastAsia" w:ascii="仿宋_GB2312" w:hAnsi="仿宋_GB2312" w:eastAsia="仿宋_GB2312" w:cs="仿宋_GB2312"/>
          <w:b/>
          <w:color w:val="auto"/>
          <w:szCs w:val="24"/>
          <w:u w:val="single"/>
          <w:lang w:eastAsia="zh-CN"/>
        </w:rPr>
        <w:t>邮局小区等自管绿化；铁道桥北侧和双桥附中北侧绿化两块自管片林；</w:t>
      </w:r>
      <w:r>
        <w:rPr>
          <w:rFonts w:hint="eastAsia" w:ascii="仿宋_GB2312" w:hAnsi="仿宋_GB2312" w:eastAsia="仿宋_GB2312" w:cs="仿宋_GB2312"/>
          <w:b/>
          <w:color w:val="auto"/>
          <w:szCs w:val="24"/>
          <w:u w:val="single"/>
        </w:rPr>
        <w:t>详见管庄乡自管绿地详细情况表</w:t>
      </w:r>
      <w:r>
        <w:rPr>
          <w:rFonts w:hint="eastAsia" w:ascii="仿宋_GB2312" w:hAnsi="仿宋_GB2312" w:eastAsia="仿宋_GB2312" w:cs="仿宋_GB2312"/>
          <w:b/>
          <w:color w:val="auto"/>
          <w:szCs w:val="24"/>
          <w:u w:val="single"/>
          <w:lang w:eastAsia="zh-CN"/>
        </w:rPr>
        <w:t>。</w:t>
      </w:r>
      <w:r>
        <w:rPr>
          <w:rFonts w:hint="eastAsia" w:ascii="仿宋_GB2312" w:hAnsi="仿宋_GB2312" w:eastAsia="仿宋_GB2312" w:cs="仿宋_GB2312"/>
          <w:color w:val="auto"/>
          <w:szCs w:val="24"/>
          <w:u w:val="single"/>
        </w:rPr>
        <w:t xml:space="preserve"> </w:t>
      </w:r>
    </w:p>
    <w:p>
      <w:pPr>
        <w:snapToGrid w:val="0"/>
        <w:spacing w:line="360" w:lineRule="auto"/>
        <w:ind w:firstLine="442" w:firstLineChars="200"/>
        <w:rPr>
          <w:rFonts w:hint="eastAsia" w:ascii="仿宋_GB2312" w:hAnsi="仿宋_GB2312" w:eastAsia="仿宋_GB2312" w:cs="仿宋_GB2312"/>
          <w:color w:val="auto"/>
          <w:szCs w:val="24"/>
          <w:lang w:eastAsia="zh-CN"/>
        </w:rPr>
      </w:pPr>
      <w:r>
        <w:rPr>
          <w:rFonts w:hint="eastAsia" w:ascii="仿宋_GB2312" w:hAnsi="仿宋_GB2312" w:eastAsia="仿宋_GB2312" w:cs="仿宋_GB2312"/>
          <w:b/>
          <w:bCs/>
          <w:color w:val="auto"/>
          <w:szCs w:val="24"/>
        </w:rPr>
        <w:t>面积（</w:t>
      </w:r>
      <w:r>
        <w:rPr>
          <w:rFonts w:hint="eastAsia" w:ascii="仿宋_GB2312" w:hAnsi="仿宋_GB2312" w:eastAsia="仿宋_GB2312" w:cs="仿宋_GB2312"/>
          <w:b/>
          <w:color w:val="auto"/>
          <w:szCs w:val="24"/>
        </w:rPr>
        <w:t>亩）：</w:t>
      </w:r>
      <w:r>
        <w:rPr>
          <w:rFonts w:hint="eastAsia" w:ascii="仿宋_GB2312" w:hAnsi="仿宋_GB2312" w:eastAsia="仿宋_GB2312" w:cs="仿宋_GB2312"/>
          <w:color w:val="auto"/>
          <w:szCs w:val="24"/>
        </w:rPr>
        <w:t>共计</w:t>
      </w:r>
      <w:r>
        <w:rPr>
          <w:rFonts w:hint="eastAsia" w:ascii="仿宋_GB2312" w:hAnsi="仿宋_GB2312" w:eastAsia="仿宋_GB2312" w:cs="仿宋_GB2312"/>
          <w:color w:val="auto"/>
          <w:szCs w:val="24"/>
          <w:u w:val="single"/>
          <w:lang w:val="en-US" w:eastAsia="zh-CN"/>
        </w:rPr>
        <w:t>1755.8</w:t>
      </w:r>
      <w:r>
        <w:rPr>
          <w:rFonts w:hint="eastAsia" w:ascii="仿宋_GB2312" w:hAnsi="仿宋_GB2312" w:eastAsia="仿宋_GB2312" w:cs="仿宋_GB2312"/>
          <w:color w:val="auto"/>
          <w:szCs w:val="24"/>
        </w:rPr>
        <w:t>亩（合</w:t>
      </w:r>
      <w:r>
        <w:rPr>
          <w:rFonts w:hint="eastAsia" w:ascii="仿宋_GB2312" w:hAnsi="仿宋_GB2312" w:eastAsia="仿宋_GB2312" w:cs="仿宋_GB2312"/>
          <w:color w:val="auto"/>
          <w:szCs w:val="24"/>
          <w:u w:val="single"/>
          <w:lang w:val="en-US" w:eastAsia="zh-CN"/>
        </w:rPr>
        <w:t>1170534.16</w:t>
      </w:r>
      <w:r>
        <w:rPr>
          <w:rFonts w:hint="eastAsia" w:ascii="仿宋_GB2312" w:hAnsi="仿宋_GB2312" w:eastAsia="仿宋_GB2312" w:cs="仿宋_GB2312"/>
          <w:color w:val="auto"/>
          <w:szCs w:val="24"/>
        </w:rPr>
        <w:t>平方米），其中生态林面积</w:t>
      </w:r>
      <w:r>
        <w:rPr>
          <w:rFonts w:hint="eastAsia" w:ascii="仿宋_GB2312" w:hAnsi="仿宋_GB2312" w:eastAsia="仿宋_GB2312" w:cs="仿宋_GB2312"/>
          <w:color w:val="auto"/>
          <w:szCs w:val="24"/>
          <w:u w:val="single"/>
          <w:lang w:val="en-US" w:eastAsia="zh-CN"/>
        </w:rPr>
        <w:t>555.75</w:t>
      </w:r>
      <w:r>
        <w:rPr>
          <w:rFonts w:hint="eastAsia" w:ascii="仿宋_GB2312" w:hAnsi="仿宋_GB2312" w:eastAsia="仿宋_GB2312" w:cs="仿宋_GB2312"/>
          <w:color w:val="auto"/>
          <w:szCs w:val="24"/>
        </w:rPr>
        <w:t>亩（合</w:t>
      </w:r>
      <w:r>
        <w:rPr>
          <w:rFonts w:hint="eastAsia" w:ascii="仿宋_GB2312" w:hAnsi="仿宋_GB2312" w:eastAsia="仿宋_GB2312" w:cs="仿宋_GB2312"/>
          <w:color w:val="auto"/>
          <w:szCs w:val="24"/>
          <w:u w:val="single"/>
          <w:lang w:val="en-US" w:eastAsia="zh-CN"/>
        </w:rPr>
        <w:t>370501.85</w:t>
      </w:r>
      <w:r>
        <w:rPr>
          <w:rFonts w:hint="eastAsia" w:ascii="仿宋_GB2312" w:hAnsi="仿宋_GB2312" w:eastAsia="仿宋_GB2312" w:cs="仿宋_GB2312"/>
          <w:color w:val="auto"/>
          <w:szCs w:val="24"/>
        </w:rPr>
        <w:t>平方米），乡自管绿</w:t>
      </w:r>
      <w:r>
        <w:rPr>
          <w:rFonts w:hint="eastAsia" w:ascii="仿宋_GB2312" w:hAnsi="仿宋_GB2312" w:eastAsia="仿宋_GB2312" w:cs="仿宋_GB2312"/>
          <w:color w:val="auto"/>
          <w:szCs w:val="24"/>
          <w:lang w:eastAsia="zh-CN"/>
        </w:rPr>
        <w:t>化</w:t>
      </w:r>
      <w:r>
        <w:rPr>
          <w:rFonts w:hint="eastAsia" w:ascii="仿宋_GB2312" w:hAnsi="仿宋_GB2312" w:eastAsia="仿宋_GB2312" w:cs="仿宋_GB2312"/>
          <w:color w:val="auto"/>
          <w:szCs w:val="24"/>
        </w:rPr>
        <w:t>面积</w:t>
      </w:r>
      <w:r>
        <w:rPr>
          <w:rFonts w:hint="eastAsia" w:ascii="仿宋_GB2312" w:hAnsi="仿宋_GB2312" w:eastAsia="仿宋_GB2312" w:cs="仿宋_GB2312"/>
          <w:color w:val="auto"/>
          <w:szCs w:val="24"/>
          <w:u w:val="single"/>
          <w:lang w:val="en-US" w:eastAsia="zh-CN"/>
        </w:rPr>
        <w:t>1192.53</w:t>
      </w:r>
      <w:r>
        <w:rPr>
          <w:rFonts w:hint="eastAsia" w:ascii="仿宋_GB2312" w:hAnsi="仿宋_GB2312" w:eastAsia="仿宋_GB2312" w:cs="仿宋_GB2312"/>
          <w:color w:val="auto"/>
          <w:szCs w:val="24"/>
        </w:rPr>
        <w:t>亩（合</w:t>
      </w:r>
      <w:r>
        <w:rPr>
          <w:rFonts w:hint="eastAsia" w:ascii="仿宋_GB2312" w:hAnsi="仿宋_GB2312" w:eastAsia="仿宋_GB2312" w:cs="仿宋_GB2312"/>
          <w:color w:val="auto"/>
          <w:szCs w:val="24"/>
          <w:u w:val="single"/>
        </w:rPr>
        <w:t xml:space="preserve"> </w:t>
      </w:r>
      <w:r>
        <w:rPr>
          <w:rFonts w:hint="eastAsia" w:ascii="仿宋_GB2312" w:hAnsi="仿宋_GB2312" w:eastAsia="仿宋_GB2312" w:cs="仿宋_GB2312"/>
          <w:color w:val="auto"/>
          <w:szCs w:val="24"/>
          <w:u w:val="single"/>
          <w:lang w:val="en-US" w:eastAsia="zh-CN"/>
        </w:rPr>
        <w:t>795022.04</w:t>
      </w:r>
      <w:r>
        <w:rPr>
          <w:rFonts w:hint="eastAsia" w:ascii="仿宋_GB2312" w:hAnsi="仿宋_GB2312" w:eastAsia="仿宋_GB2312" w:cs="仿宋_GB2312"/>
          <w:color w:val="auto"/>
          <w:szCs w:val="24"/>
        </w:rPr>
        <w:t>平方米）</w:t>
      </w:r>
      <w:r>
        <w:rPr>
          <w:rFonts w:hint="eastAsia" w:ascii="仿宋_GB2312" w:hAnsi="仿宋_GB2312" w:eastAsia="仿宋_GB2312" w:cs="仿宋_GB2312"/>
          <w:color w:val="auto"/>
          <w:szCs w:val="24"/>
          <w:lang w:eastAsia="zh-CN"/>
        </w:rPr>
        <w:t>，自管片林面积</w:t>
      </w:r>
      <w:r>
        <w:rPr>
          <w:rFonts w:hint="eastAsia" w:ascii="仿宋_GB2312" w:hAnsi="仿宋_GB2312" w:eastAsia="仿宋_GB2312" w:cs="仿宋_GB2312"/>
          <w:color w:val="auto"/>
          <w:szCs w:val="24"/>
          <w:u w:val="single"/>
          <w:lang w:val="en-US" w:eastAsia="zh-CN"/>
        </w:rPr>
        <w:t>7.52</w:t>
      </w:r>
      <w:r>
        <w:rPr>
          <w:rFonts w:hint="eastAsia" w:ascii="仿宋_GB2312" w:hAnsi="仿宋_GB2312" w:eastAsia="仿宋_GB2312" w:cs="仿宋_GB2312"/>
          <w:color w:val="auto"/>
          <w:szCs w:val="24"/>
          <w:lang w:val="en-US" w:eastAsia="zh-CN"/>
        </w:rPr>
        <w:t>亩（合</w:t>
      </w:r>
      <w:r>
        <w:rPr>
          <w:rFonts w:hint="eastAsia" w:ascii="仿宋_GB2312" w:hAnsi="仿宋_GB2312" w:eastAsia="仿宋_GB2312" w:cs="仿宋_GB2312"/>
          <w:color w:val="auto"/>
          <w:szCs w:val="24"/>
          <w:u w:val="single"/>
          <w:lang w:eastAsia="zh-CN"/>
        </w:rPr>
        <w:t>5010.27</w:t>
      </w:r>
      <w:r>
        <w:rPr>
          <w:rFonts w:hint="eastAsia" w:ascii="仿宋_GB2312" w:hAnsi="仿宋_GB2312" w:eastAsia="仿宋_GB2312" w:cs="仿宋_GB2312"/>
          <w:color w:val="auto"/>
          <w:szCs w:val="24"/>
          <w:lang w:eastAsia="zh-CN"/>
        </w:rPr>
        <w:t>平方米</w:t>
      </w:r>
      <w:r>
        <w:rPr>
          <w:rFonts w:hint="eastAsia" w:ascii="仿宋_GB2312" w:hAnsi="仿宋_GB2312" w:eastAsia="仿宋_GB2312" w:cs="仿宋_GB2312"/>
          <w:color w:val="auto"/>
          <w:szCs w:val="24"/>
          <w:lang w:val="en-US" w:eastAsia="zh-CN"/>
        </w:rPr>
        <w:t>）</w:t>
      </w:r>
      <w:r>
        <w:rPr>
          <w:rFonts w:hint="eastAsia" w:ascii="仿宋_GB2312" w:hAnsi="仿宋_GB2312" w:eastAsia="仿宋_GB2312" w:cs="仿宋_GB2312"/>
          <w:color w:val="auto"/>
          <w:szCs w:val="24"/>
        </w:rPr>
        <w:t>。</w:t>
      </w:r>
      <w:r>
        <w:rPr>
          <w:rFonts w:hint="eastAsia" w:ascii="仿宋_GB2312" w:hAnsi="仿宋_GB2312" w:eastAsia="仿宋_GB2312" w:cs="仿宋_GB2312"/>
          <w:color w:val="auto"/>
          <w:szCs w:val="24"/>
          <w:lang w:val="en-US" w:eastAsia="zh-CN"/>
        </w:rPr>
        <w:t>2021年养护</w:t>
      </w:r>
      <w:r>
        <w:rPr>
          <w:rFonts w:hint="eastAsia" w:ascii="仿宋_GB2312" w:hAnsi="仿宋_GB2312" w:eastAsia="仿宋_GB2312" w:cs="仿宋_GB2312"/>
          <w:color w:val="auto"/>
          <w:szCs w:val="24"/>
        </w:rPr>
        <w:t>面积以财政局</w:t>
      </w:r>
      <w:r>
        <w:rPr>
          <w:rFonts w:hint="eastAsia" w:ascii="仿宋_GB2312" w:hAnsi="仿宋_GB2312" w:eastAsia="仿宋_GB2312" w:cs="仿宋_GB2312"/>
          <w:color w:val="auto"/>
          <w:szCs w:val="24"/>
          <w:lang w:eastAsia="zh-CN"/>
        </w:rPr>
        <w:t>核定</w:t>
      </w:r>
      <w:r>
        <w:rPr>
          <w:rFonts w:hint="eastAsia" w:ascii="仿宋_GB2312" w:hAnsi="仿宋_GB2312" w:eastAsia="仿宋_GB2312" w:cs="仿宋_GB2312"/>
          <w:color w:val="auto"/>
          <w:szCs w:val="24"/>
        </w:rPr>
        <w:t>面积为准</w:t>
      </w:r>
      <w:r>
        <w:rPr>
          <w:rFonts w:hint="eastAsia" w:ascii="仿宋_GB2312" w:hAnsi="仿宋_GB2312" w:eastAsia="仿宋_GB2312" w:cs="仿宋_GB2312"/>
          <w:color w:val="auto"/>
          <w:szCs w:val="24"/>
          <w:lang w:eastAsia="zh-CN"/>
        </w:rPr>
        <w:t>。</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生态林部分详见“朝阳区管庄乡平原生态林管护单元详细情况表”和“北京市平原生态林、乡自管公园绿地管护地块分布图”。</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二、管护期限</w:t>
      </w:r>
    </w:p>
    <w:p>
      <w:pPr>
        <w:snapToGrid w:val="0"/>
        <w:spacing w:line="360" w:lineRule="auto"/>
        <w:ind w:firstLine="440" w:firstLineChars="200"/>
        <w:rPr>
          <w:rFonts w:hint="eastAsia" w:ascii="仿宋_GB2312" w:eastAsia="仿宋_GB2312"/>
          <w:color w:val="auto"/>
        </w:rPr>
      </w:pPr>
      <w:r>
        <w:rPr>
          <w:rFonts w:hint="eastAsia" w:ascii="仿宋_GB2312" w:hAnsi="仿宋_GB2312" w:eastAsia="仿宋_GB2312" w:cs="仿宋_GB2312"/>
          <w:bCs/>
          <w:color w:val="auto"/>
          <w:szCs w:val="24"/>
        </w:rPr>
        <w:t>从</w:t>
      </w:r>
      <w:r>
        <w:rPr>
          <w:rFonts w:hint="eastAsia" w:ascii="仿宋_GB2312" w:hAnsi="仿宋_GB2312" w:eastAsia="仿宋_GB2312" w:cs="仿宋_GB2312"/>
          <w:color w:val="auto"/>
          <w:szCs w:val="24"/>
          <w:u w:val="single"/>
        </w:rPr>
        <w:t xml:space="preserve"> 20</w:t>
      </w:r>
      <w:r>
        <w:rPr>
          <w:rFonts w:hint="eastAsia" w:ascii="仿宋_GB2312" w:hAnsi="仿宋_GB2312" w:eastAsia="仿宋_GB2312" w:cs="仿宋_GB2312"/>
          <w:color w:val="auto"/>
          <w:szCs w:val="24"/>
          <w:u w:val="single"/>
          <w:lang w:val="en-US" w:eastAsia="zh-CN"/>
        </w:rPr>
        <w:t>20</w:t>
      </w:r>
      <w:r>
        <w:rPr>
          <w:rFonts w:hint="eastAsia" w:ascii="仿宋_GB2312" w:hAnsi="仿宋_GB2312" w:eastAsia="仿宋_GB2312" w:cs="仿宋_GB2312"/>
          <w:color w:val="auto"/>
          <w:szCs w:val="24"/>
          <w:u w:val="single"/>
        </w:rPr>
        <w:t xml:space="preserve"> </w:t>
      </w:r>
      <w:r>
        <w:rPr>
          <w:rFonts w:hint="eastAsia" w:ascii="仿宋_GB2312" w:hAnsi="仿宋_GB2312" w:eastAsia="仿宋_GB2312" w:cs="仿宋_GB2312"/>
          <w:color w:val="auto"/>
          <w:szCs w:val="24"/>
        </w:rPr>
        <w:t>年</w:t>
      </w:r>
      <w:r>
        <w:rPr>
          <w:rFonts w:hint="eastAsia" w:ascii="仿宋_GB2312" w:hAnsi="仿宋_GB2312" w:eastAsia="仿宋_GB2312" w:cs="仿宋_GB2312"/>
          <w:color w:val="auto"/>
          <w:szCs w:val="24"/>
          <w:u w:val="single"/>
          <w:lang w:val="en-US" w:eastAsia="zh-CN"/>
        </w:rPr>
        <w:t>7</w:t>
      </w:r>
      <w:r>
        <w:rPr>
          <w:rFonts w:hint="eastAsia" w:ascii="仿宋_GB2312" w:hAnsi="仿宋_GB2312" w:eastAsia="仿宋_GB2312" w:cs="仿宋_GB2312"/>
          <w:color w:val="auto"/>
          <w:szCs w:val="24"/>
        </w:rPr>
        <w:t>月</w:t>
      </w:r>
      <w:r>
        <w:rPr>
          <w:rFonts w:hint="eastAsia" w:ascii="仿宋_GB2312" w:hAnsi="仿宋_GB2312" w:eastAsia="仿宋_GB2312" w:cs="仿宋_GB2312"/>
          <w:color w:val="auto"/>
          <w:szCs w:val="24"/>
          <w:u w:val="single"/>
          <w:lang w:val="en-US" w:eastAsia="zh-CN"/>
        </w:rPr>
        <w:t>15</w:t>
      </w:r>
      <w:r>
        <w:rPr>
          <w:rFonts w:hint="eastAsia" w:ascii="仿宋_GB2312" w:hAnsi="仿宋_GB2312" w:eastAsia="仿宋_GB2312" w:cs="仿宋_GB2312"/>
          <w:color w:val="auto"/>
          <w:szCs w:val="24"/>
        </w:rPr>
        <w:t>日起至</w:t>
      </w:r>
      <w:r>
        <w:rPr>
          <w:rFonts w:hint="eastAsia" w:ascii="仿宋_GB2312" w:hAnsi="仿宋_GB2312" w:eastAsia="仿宋_GB2312" w:cs="仿宋_GB2312"/>
          <w:color w:val="auto"/>
          <w:szCs w:val="24"/>
          <w:u w:val="single"/>
        </w:rPr>
        <w:t xml:space="preserve"> 20</w:t>
      </w:r>
      <w:r>
        <w:rPr>
          <w:rFonts w:hint="eastAsia" w:ascii="仿宋_GB2312" w:hAnsi="仿宋_GB2312" w:eastAsia="仿宋_GB2312" w:cs="仿宋_GB2312"/>
          <w:color w:val="auto"/>
          <w:szCs w:val="24"/>
          <w:u w:val="single"/>
          <w:lang w:val="en-US" w:eastAsia="zh-CN"/>
        </w:rPr>
        <w:t>21</w:t>
      </w:r>
      <w:r>
        <w:rPr>
          <w:rFonts w:hint="eastAsia" w:ascii="仿宋_GB2312" w:hAnsi="仿宋_GB2312" w:eastAsia="仿宋_GB2312" w:cs="仿宋_GB2312"/>
          <w:color w:val="auto"/>
          <w:szCs w:val="24"/>
        </w:rPr>
        <w:t>年</w:t>
      </w:r>
      <w:r>
        <w:rPr>
          <w:rFonts w:hint="eastAsia" w:ascii="仿宋_GB2312" w:hAnsi="仿宋_GB2312" w:eastAsia="仿宋_GB2312" w:cs="仿宋_GB2312"/>
          <w:color w:val="auto"/>
          <w:szCs w:val="24"/>
          <w:u w:val="single"/>
          <w:lang w:val="en-US" w:eastAsia="zh-CN"/>
        </w:rPr>
        <w:t>7</w:t>
      </w:r>
      <w:r>
        <w:rPr>
          <w:rFonts w:hint="eastAsia" w:ascii="仿宋_GB2312" w:hAnsi="仿宋_GB2312" w:eastAsia="仿宋_GB2312" w:cs="仿宋_GB2312"/>
          <w:color w:val="auto"/>
          <w:szCs w:val="24"/>
        </w:rPr>
        <w:t>月</w:t>
      </w:r>
      <w:r>
        <w:rPr>
          <w:rFonts w:hint="eastAsia" w:ascii="仿宋_GB2312" w:hAnsi="仿宋_GB2312" w:eastAsia="仿宋_GB2312" w:cs="仿宋_GB2312"/>
          <w:color w:val="auto"/>
          <w:szCs w:val="24"/>
          <w:u w:val="single"/>
          <w:lang w:val="en-US" w:eastAsia="zh-CN"/>
        </w:rPr>
        <w:t>14</w:t>
      </w:r>
      <w:r>
        <w:rPr>
          <w:rFonts w:hint="eastAsia" w:ascii="仿宋_GB2312" w:eastAsia="仿宋_GB2312"/>
          <w:color w:val="auto"/>
        </w:rPr>
        <w:t>日</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三、管护要求</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1、保障和维护管护区域内生态林安全，确保生态林数量不减少、质量不降低。</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2、按照《北京市平原生态林管护技术导则》、《北京市园林绿化局、北京市财政局、北京市农村工作委员会关于落实&lt;北京市人民政府关于完善本市绿化隔离地区和“五河十路”绿色通道生态林用地及管护政策的通知&gt;的实施细则》（京绿原发﹝2015﹞3号）（以下简称《实施细则》）等要求开展科学经营管护。</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3、保持管护区域内森林资源的可持续健康发展，森林生态效益得到明显提升。</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4、在发生大风、暴雨、强降雪等极端天气时，要立即启动专项应急预案，及时抢险处理倾斜树体、劈裂折断枝杈等，以免影响交通人流。</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5、在做好生态林和乡自管公园绿地保洁的同时，还要负责管护范围内道路清扫和垃圾清运，做到无暴露生活垃圾和建筑垃圾，确保环境整洁优美。</w:t>
      </w:r>
    </w:p>
    <w:p>
      <w:pPr>
        <w:snapToGrid w:val="0"/>
        <w:spacing w:line="360" w:lineRule="auto"/>
        <w:ind w:firstLine="440" w:firstLineChars="200"/>
        <w:rPr>
          <w:rFonts w:hint="eastAsia" w:ascii="仿宋_GB2312" w:hAnsi="仿宋_GB2312" w:eastAsia="仿宋_GB2312" w:cs="仿宋_GB2312"/>
          <w:bCs/>
          <w:color w:val="auto"/>
          <w:szCs w:val="24"/>
          <w:lang w:val="en-US" w:eastAsia="zh-CN"/>
        </w:rPr>
      </w:pPr>
      <w:r>
        <w:rPr>
          <w:rFonts w:hint="eastAsia" w:ascii="仿宋_GB2312" w:hAnsi="仿宋_GB2312" w:eastAsia="仿宋_GB2312" w:cs="仿宋_GB2312"/>
          <w:bCs/>
          <w:color w:val="auto"/>
          <w:szCs w:val="24"/>
          <w:lang w:val="en-US" w:eastAsia="zh-CN"/>
        </w:rPr>
        <w:t>6、做好危险、枯死、倒伏树木的伐移及补植补种。</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lang w:val="en-US" w:eastAsia="zh-CN"/>
        </w:rPr>
        <w:t>7</w:t>
      </w:r>
      <w:r>
        <w:rPr>
          <w:rFonts w:hint="eastAsia" w:ascii="仿宋_GB2312" w:hAnsi="仿宋_GB2312" w:eastAsia="仿宋_GB2312" w:cs="仿宋_GB2312"/>
          <w:bCs/>
          <w:color w:val="auto"/>
          <w:szCs w:val="24"/>
        </w:rPr>
        <w:t>、乡自管公园绿地在遵循《北京市平原生态林管护技术导则》、《北京市园林绿化局、北京市财政局、北京市农村工作委员会关于落实&lt;北京市人民政府关于完善本市绿化隔离地区和“五河十路”绿色通道生态林用地及管护政策的通知&gt;的实施细则》（京绿原发﹝2015﹞3号）（以下简称《实施细则》）等要求的基础上，要精益求精，达到</w:t>
      </w:r>
      <w:r>
        <w:rPr>
          <w:rFonts w:hint="eastAsia" w:ascii="仿宋_GB2312" w:hAnsi="仿宋_GB2312" w:eastAsia="仿宋_GB2312" w:cs="仿宋_GB2312"/>
          <w:bCs/>
          <w:color w:val="auto"/>
          <w:szCs w:val="24"/>
          <w:lang w:eastAsia="zh-CN"/>
        </w:rPr>
        <w:t>一</w:t>
      </w:r>
      <w:r>
        <w:rPr>
          <w:rFonts w:hint="eastAsia" w:ascii="仿宋_GB2312" w:hAnsi="仿宋_GB2312" w:eastAsia="仿宋_GB2312" w:cs="仿宋_GB2312"/>
          <w:bCs/>
          <w:color w:val="auto"/>
          <w:szCs w:val="24"/>
        </w:rPr>
        <w:t>级养护标准，确保公园景观效果。</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⑴草坪、乔灌木的浇水，保持植物良好长势，不能出现枯萎等缺水现象；</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⑵施肥，做到施肥均匀、充足、适度，保证绿化植物强壮、枝叶茂盛；</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⑶修剪整形，要求草的高度一致，整齐美观，无疯长或斑秃现象。乔灌木植物主枝分布均匀，通风透气，造型美观，绿篱整齐一致；</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⑷病虫害防治，及时防治，病株、虫害现象不成灾；</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⑸除杂草松土，花丛下无杂草，树盘内无杂草；</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⑹补植，能满足植物生长的条件下无黄土裸露，无明显沟缝；</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⑺公园绿地保护，应杜绝违规种植农作物，私自圈占绿地养殖牲畜等现象；</w:t>
      </w:r>
    </w:p>
    <w:p>
      <w:pPr>
        <w:numPr>
          <w:ilvl w:val="0"/>
          <w:numId w:val="21"/>
        </w:numPr>
        <w:snapToGrid w:val="0"/>
        <w:spacing w:line="360" w:lineRule="auto"/>
        <w:ind w:firstLine="440" w:firstLineChars="200"/>
        <w:rPr>
          <w:rFonts w:hint="eastAsia" w:ascii="仿宋_GB2312" w:hAnsi="仿宋_GB2312" w:eastAsia="仿宋_GB2312" w:cs="仿宋_GB2312"/>
          <w:bCs/>
          <w:color w:val="auto"/>
          <w:szCs w:val="24"/>
          <w:lang w:val="en-US" w:eastAsia="zh-CN"/>
        </w:rPr>
      </w:pPr>
      <w:r>
        <w:rPr>
          <w:rFonts w:hint="eastAsia" w:ascii="仿宋_GB2312" w:hAnsi="仿宋_GB2312" w:eastAsia="仿宋_GB2312" w:cs="仿宋_GB2312"/>
          <w:bCs/>
          <w:color w:val="auto"/>
          <w:szCs w:val="24"/>
          <w:lang w:val="en-US" w:eastAsia="zh-CN"/>
        </w:rPr>
        <w:t>做好辖区内裸露土地的补植工作。</w:t>
      </w:r>
    </w:p>
    <w:p>
      <w:pPr>
        <w:numPr>
          <w:ilvl w:val="0"/>
          <w:numId w:val="21"/>
        </w:numPr>
        <w:snapToGrid w:val="0"/>
        <w:spacing w:line="360" w:lineRule="auto"/>
        <w:ind w:firstLine="440" w:firstLineChars="200"/>
        <w:rPr>
          <w:rFonts w:hint="eastAsia" w:ascii="仿宋_GB2312" w:hAnsi="仿宋_GB2312" w:eastAsia="仿宋_GB2312" w:cs="仿宋_GB2312"/>
          <w:bCs/>
          <w:color w:val="auto"/>
          <w:szCs w:val="24"/>
          <w:lang w:val="en-US" w:eastAsia="zh-CN"/>
        </w:rPr>
      </w:pPr>
      <w:r>
        <w:rPr>
          <w:rFonts w:hint="eastAsia" w:ascii="仿宋_GB2312" w:hAnsi="仿宋_GB2312" w:eastAsia="仿宋_GB2312" w:cs="仿宋_GB2312"/>
          <w:bCs/>
          <w:color w:val="auto"/>
          <w:szCs w:val="24"/>
          <w:lang w:val="en-US" w:eastAsia="zh-CN"/>
        </w:rPr>
        <w:t>做好绿地公园内垃圾分类工作。</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四、管护资金</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1、合同金额采取固定总价形式（管护标准为</w:t>
      </w:r>
      <w:r>
        <w:rPr>
          <w:rFonts w:hint="eastAsia" w:ascii="仿宋_GB2312" w:hAnsi="仿宋_GB2312" w:eastAsia="仿宋_GB2312" w:cs="仿宋_GB2312"/>
          <w:color w:val="auto"/>
          <w:szCs w:val="24"/>
          <w:lang w:eastAsia="zh-CN"/>
        </w:rPr>
        <w:t>：乡自绿化</w:t>
      </w:r>
      <w:r>
        <w:rPr>
          <w:rFonts w:hint="eastAsia" w:ascii="仿宋_GB2312" w:hAnsi="仿宋_GB2312" w:eastAsia="仿宋_GB2312" w:cs="仿宋_GB2312"/>
          <w:color w:val="auto"/>
          <w:szCs w:val="24"/>
        </w:rPr>
        <w:t>每年每平方米</w:t>
      </w:r>
      <w:r>
        <w:rPr>
          <w:rFonts w:hint="eastAsia" w:ascii="仿宋_GB2312" w:hAnsi="仿宋_GB2312" w:eastAsia="仿宋_GB2312" w:cs="仿宋_GB2312"/>
          <w:color w:val="auto"/>
          <w:szCs w:val="24"/>
          <w:u w:val="single"/>
          <w:lang w:val="en-US" w:eastAsia="zh-CN"/>
        </w:rPr>
        <w:t>15</w:t>
      </w:r>
      <w:r>
        <w:rPr>
          <w:rFonts w:hint="eastAsia" w:ascii="仿宋_GB2312" w:hAnsi="仿宋_GB2312" w:eastAsia="仿宋_GB2312" w:cs="仿宋_GB2312"/>
          <w:color w:val="auto"/>
          <w:szCs w:val="24"/>
        </w:rPr>
        <w:t>元</w:t>
      </w:r>
      <w:r>
        <w:rPr>
          <w:rFonts w:hint="eastAsia" w:ascii="仿宋_GB2312" w:hAnsi="仿宋_GB2312" w:eastAsia="仿宋_GB2312" w:cs="仿宋_GB2312"/>
          <w:color w:val="auto"/>
          <w:szCs w:val="24"/>
          <w:lang w:eastAsia="zh-CN"/>
        </w:rPr>
        <w:t>；自管片林每年每平方米</w:t>
      </w:r>
      <w:r>
        <w:rPr>
          <w:rFonts w:hint="eastAsia" w:ascii="仿宋_GB2312" w:hAnsi="仿宋_GB2312" w:eastAsia="仿宋_GB2312" w:cs="仿宋_GB2312"/>
          <w:color w:val="auto"/>
          <w:szCs w:val="24"/>
          <w:lang w:val="en-US" w:eastAsia="zh-CN"/>
        </w:rPr>
        <w:t>4元；</w:t>
      </w:r>
      <w:r>
        <w:rPr>
          <w:rFonts w:hint="eastAsia" w:ascii="仿宋_GB2312" w:hAnsi="仿宋_GB2312" w:eastAsia="仿宋_GB2312" w:cs="仿宋_GB2312"/>
          <w:color w:val="auto"/>
          <w:szCs w:val="24"/>
          <w:lang w:eastAsia="zh-CN"/>
        </w:rPr>
        <w:t>平原生态林</w:t>
      </w:r>
      <w:r>
        <w:rPr>
          <w:rFonts w:hint="eastAsia" w:ascii="仿宋_GB2312" w:hAnsi="仿宋_GB2312" w:eastAsia="仿宋_GB2312" w:cs="仿宋_GB2312"/>
          <w:color w:val="auto"/>
          <w:szCs w:val="24"/>
        </w:rPr>
        <w:t>每年每平方米</w:t>
      </w:r>
      <w:r>
        <w:rPr>
          <w:rFonts w:hint="eastAsia" w:ascii="仿宋_GB2312" w:hAnsi="仿宋_GB2312" w:eastAsia="仿宋_GB2312" w:cs="仿宋_GB2312"/>
          <w:color w:val="auto"/>
          <w:szCs w:val="24"/>
          <w:u w:val="single"/>
          <w:lang w:val="en-US" w:eastAsia="zh-CN"/>
        </w:rPr>
        <w:t>3.8</w:t>
      </w:r>
      <w:r>
        <w:rPr>
          <w:rFonts w:hint="eastAsia" w:ascii="仿宋_GB2312" w:hAnsi="仿宋_GB2312" w:eastAsia="仿宋_GB2312" w:cs="仿宋_GB2312"/>
          <w:color w:val="auto"/>
          <w:szCs w:val="24"/>
        </w:rPr>
        <w:t>元），金额为人民币（大写）:</w:t>
      </w:r>
      <w:r>
        <w:rPr>
          <w:rFonts w:hint="eastAsia" w:ascii="仿宋_GB2312" w:hAnsi="仿宋_GB2312" w:eastAsia="仿宋_GB2312" w:cs="仿宋_GB2312"/>
          <w:color w:val="auto"/>
          <w:szCs w:val="24"/>
          <w:u w:val="single"/>
          <w:lang w:val="en-US" w:eastAsia="zh-CN"/>
        </w:rPr>
        <w:t xml:space="preserve">     </w:t>
      </w:r>
      <w:r>
        <w:rPr>
          <w:rFonts w:hint="eastAsia" w:ascii="仿宋_GB2312" w:hAnsi="仿宋_GB2312" w:eastAsia="仿宋_GB2312" w:cs="仿宋_GB2312"/>
          <w:color w:val="auto"/>
          <w:szCs w:val="24"/>
        </w:rPr>
        <w:t>（</w:t>
      </w:r>
      <w:r>
        <w:rPr>
          <w:rFonts w:hint="eastAsia" w:ascii="仿宋_GB2312" w:hAnsi="仿宋_GB2312" w:eastAsia="仿宋_GB2312" w:cs="仿宋_GB2312"/>
          <w:color w:val="auto"/>
          <w:szCs w:val="24"/>
          <w:u w:val="none"/>
        </w:rPr>
        <w:t>￥：</w:t>
      </w:r>
      <w:r>
        <w:rPr>
          <w:rFonts w:hint="eastAsia" w:ascii="仿宋_GB2312" w:hAnsi="仿宋_GB2312" w:eastAsia="仿宋_GB2312" w:cs="仿宋_GB2312"/>
          <w:color w:val="auto"/>
          <w:szCs w:val="24"/>
          <w:u w:val="single"/>
          <w:lang w:val="en-US" w:eastAsia="zh-CN"/>
        </w:rPr>
        <w:t xml:space="preserve">     </w:t>
      </w:r>
      <w:r>
        <w:rPr>
          <w:rFonts w:hint="eastAsia" w:ascii="仿宋_GB2312" w:hAnsi="仿宋_GB2312" w:eastAsia="仿宋_GB2312" w:cs="仿宋_GB2312"/>
          <w:color w:val="auto"/>
          <w:szCs w:val="24"/>
        </w:rPr>
        <w:t xml:space="preserve"> 元）。合同经费用于生态林及乡自管绿地的日常管护，包括管护人员工资、园林机具购置维护，以及林木抚育、补植补造、改造更新、林木有害生物防治、森林防火等日常管护活动。</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2、签订合同后甲方拨付乙方一个月</w:t>
      </w:r>
      <w:r>
        <w:rPr>
          <w:rFonts w:hint="eastAsia" w:ascii="仿宋_GB2312" w:hAnsi="仿宋_GB2312" w:eastAsia="仿宋_GB2312" w:cs="仿宋_GB2312"/>
          <w:color w:val="auto"/>
          <w:szCs w:val="24"/>
          <w:lang w:eastAsia="zh-CN"/>
        </w:rPr>
        <w:t>管护</w:t>
      </w:r>
      <w:r>
        <w:rPr>
          <w:rFonts w:hint="eastAsia" w:ascii="仿宋_GB2312" w:hAnsi="仿宋_GB2312" w:eastAsia="仿宋_GB2312" w:cs="仿宋_GB2312"/>
          <w:color w:val="auto"/>
          <w:szCs w:val="24"/>
        </w:rPr>
        <w:t>费，￥</w:t>
      </w:r>
      <w:r>
        <w:rPr>
          <w:rFonts w:hint="eastAsia" w:ascii="仿宋_GB2312" w:hAnsi="仿宋_GB2312" w:eastAsia="仿宋_GB2312" w:cs="仿宋_GB2312"/>
          <w:color w:val="auto"/>
          <w:szCs w:val="24"/>
          <w:lang w:eastAsia="zh-CN"/>
        </w:rPr>
        <w:t>：</w:t>
      </w:r>
      <w:r>
        <w:rPr>
          <w:rFonts w:hint="eastAsia" w:ascii="仿宋_GB2312" w:hAnsi="仿宋_GB2312" w:eastAsia="仿宋_GB2312" w:cs="仿宋_GB2312"/>
          <w:color w:val="auto"/>
          <w:szCs w:val="24"/>
          <w:u w:val="single"/>
          <w:lang w:val="en-US" w:eastAsia="zh-CN"/>
        </w:rPr>
        <w:t xml:space="preserve">    </w:t>
      </w:r>
      <w:r>
        <w:rPr>
          <w:rFonts w:hint="eastAsia" w:ascii="仿宋_GB2312" w:hAnsi="仿宋_GB2312" w:eastAsia="仿宋_GB2312" w:cs="仿宋_GB2312"/>
          <w:color w:val="auto"/>
          <w:szCs w:val="24"/>
        </w:rPr>
        <w:t>元，作为启动资金；2020年</w:t>
      </w:r>
      <w:r>
        <w:rPr>
          <w:rFonts w:hint="eastAsia" w:ascii="仿宋_GB2312" w:hAnsi="仿宋_GB2312" w:eastAsia="仿宋_GB2312" w:cs="仿宋_GB2312"/>
          <w:color w:val="auto"/>
          <w:szCs w:val="24"/>
          <w:lang w:val="en-US" w:eastAsia="zh-CN"/>
        </w:rPr>
        <w:t>9</w:t>
      </w:r>
      <w:r>
        <w:rPr>
          <w:rFonts w:hint="eastAsia" w:ascii="仿宋_GB2312" w:hAnsi="仿宋_GB2312" w:eastAsia="仿宋_GB2312" w:cs="仿宋_GB2312"/>
          <w:color w:val="auto"/>
          <w:szCs w:val="24"/>
        </w:rPr>
        <w:t>月底</w:t>
      </w:r>
      <w:r>
        <w:rPr>
          <w:rFonts w:hint="eastAsia" w:ascii="仿宋_GB2312" w:hAnsi="仿宋_GB2312" w:eastAsia="仿宋_GB2312" w:cs="仿宋_GB2312"/>
          <w:color w:val="auto"/>
          <w:szCs w:val="24"/>
          <w:lang w:eastAsia="zh-CN"/>
        </w:rPr>
        <w:t>前</w:t>
      </w:r>
      <w:r>
        <w:rPr>
          <w:rFonts w:hint="eastAsia" w:ascii="仿宋_GB2312" w:hAnsi="仿宋_GB2312" w:eastAsia="仿宋_GB2312" w:cs="仿宋_GB2312"/>
          <w:color w:val="auto"/>
          <w:szCs w:val="24"/>
        </w:rPr>
        <w:t>，拨付</w:t>
      </w:r>
      <w:r>
        <w:rPr>
          <w:rFonts w:hint="eastAsia" w:ascii="仿宋_GB2312" w:hAnsi="仿宋_GB2312" w:eastAsia="仿宋_GB2312" w:cs="仿宋_GB2312"/>
          <w:color w:val="auto"/>
          <w:szCs w:val="24"/>
          <w:lang w:eastAsia="zh-CN"/>
        </w:rPr>
        <w:t>二</w:t>
      </w:r>
      <w:r>
        <w:rPr>
          <w:rFonts w:hint="eastAsia" w:ascii="仿宋_GB2312" w:hAnsi="仿宋_GB2312" w:eastAsia="仿宋_GB2312" w:cs="仿宋_GB2312"/>
          <w:color w:val="auto"/>
          <w:szCs w:val="24"/>
        </w:rPr>
        <w:t>个月管护费，￥</w:t>
      </w:r>
      <w:r>
        <w:rPr>
          <w:rFonts w:hint="eastAsia" w:ascii="仿宋_GB2312" w:hAnsi="仿宋_GB2312" w:eastAsia="仿宋_GB2312" w:cs="仿宋_GB2312"/>
          <w:color w:val="auto"/>
          <w:szCs w:val="24"/>
          <w:lang w:eastAsia="zh-CN"/>
        </w:rPr>
        <w:t>：</w:t>
      </w:r>
      <w:r>
        <w:rPr>
          <w:rFonts w:hint="eastAsia" w:ascii="仿宋_GB2312" w:hAnsi="仿宋_GB2312" w:eastAsia="仿宋_GB2312" w:cs="仿宋_GB2312"/>
          <w:color w:val="auto"/>
          <w:szCs w:val="24"/>
          <w:u w:val="single"/>
          <w:lang w:val="en-US" w:eastAsia="zh-CN"/>
        </w:rPr>
        <w:t xml:space="preserve">     </w:t>
      </w:r>
      <w:r>
        <w:rPr>
          <w:rFonts w:hint="eastAsia" w:ascii="仿宋_GB2312" w:hAnsi="仿宋_GB2312" w:eastAsia="仿宋_GB2312" w:cs="仿宋_GB2312"/>
          <w:color w:val="auto"/>
          <w:szCs w:val="24"/>
        </w:rPr>
        <w:t>元；2020年11月底</w:t>
      </w:r>
      <w:r>
        <w:rPr>
          <w:rFonts w:hint="eastAsia" w:ascii="仿宋_GB2312" w:hAnsi="仿宋_GB2312" w:eastAsia="仿宋_GB2312" w:cs="仿宋_GB2312"/>
          <w:color w:val="auto"/>
          <w:szCs w:val="24"/>
          <w:lang w:eastAsia="zh-CN"/>
        </w:rPr>
        <w:t>前</w:t>
      </w:r>
      <w:r>
        <w:rPr>
          <w:rFonts w:hint="eastAsia" w:ascii="仿宋_GB2312" w:hAnsi="仿宋_GB2312" w:eastAsia="仿宋_GB2312" w:cs="仿宋_GB2312"/>
          <w:color w:val="auto"/>
          <w:szCs w:val="24"/>
        </w:rPr>
        <w:t>，拨付</w:t>
      </w:r>
      <w:r>
        <w:rPr>
          <w:rFonts w:hint="eastAsia" w:ascii="仿宋_GB2312" w:hAnsi="仿宋_GB2312" w:eastAsia="仿宋_GB2312" w:cs="仿宋_GB2312"/>
          <w:color w:val="auto"/>
          <w:szCs w:val="24"/>
          <w:lang w:eastAsia="zh-CN"/>
        </w:rPr>
        <w:t>三</w:t>
      </w:r>
      <w:r>
        <w:rPr>
          <w:rFonts w:hint="eastAsia" w:ascii="仿宋_GB2312" w:hAnsi="仿宋_GB2312" w:eastAsia="仿宋_GB2312" w:cs="仿宋_GB2312"/>
          <w:color w:val="auto"/>
          <w:szCs w:val="24"/>
        </w:rPr>
        <w:t>个月管护费，￥</w:t>
      </w:r>
      <w:r>
        <w:rPr>
          <w:rFonts w:hint="eastAsia" w:ascii="仿宋_GB2312" w:hAnsi="仿宋_GB2312" w:eastAsia="仿宋_GB2312" w:cs="仿宋_GB2312"/>
          <w:color w:val="auto"/>
          <w:szCs w:val="24"/>
          <w:lang w:eastAsia="zh-CN"/>
        </w:rPr>
        <w:t>：</w:t>
      </w:r>
      <w:r>
        <w:rPr>
          <w:rFonts w:hint="eastAsia" w:ascii="仿宋_GB2312" w:hAnsi="仿宋_GB2312" w:eastAsia="仿宋_GB2312" w:cs="仿宋_GB2312"/>
          <w:color w:val="auto"/>
          <w:szCs w:val="24"/>
          <w:u w:val="single"/>
          <w:lang w:val="en-US" w:eastAsia="zh-CN"/>
        </w:rPr>
        <w:t xml:space="preserve">     </w:t>
      </w:r>
      <w:r>
        <w:rPr>
          <w:rFonts w:hint="eastAsia" w:ascii="仿宋_GB2312" w:hAnsi="仿宋_GB2312" w:eastAsia="仿宋_GB2312" w:cs="仿宋_GB2312"/>
          <w:color w:val="auto"/>
          <w:szCs w:val="24"/>
        </w:rPr>
        <w:t>元；2021年3月底</w:t>
      </w:r>
      <w:r>
        <w:rPr>
          <w:rFonts w:hint="eastAsia" w:ascii="仿宋_GB2312" w:hAnsi="仿宋_GB2312" w:eastAsia="仿宋_GB2312" w:cs="仿宋_GB2312"/>
          <w:color w:val="auto"/>
          <w:szCs w:val="24"/>
          <w:lang w:eastAsia="zh-CN"/>
        </w:rPr>
        <w:t>前</w:t>
      </w:r>
      <w:r>
        <w:rPr>
          <w:rFonts w:hint="eastAsia" w:ascii="仿宋_GB2312" w:hAnsi="仿宋_GB2312" w:eastAsia="仿宋_GB2312" w:cs="仿宋_GB2312"/>
          <w:color w:val="auto"/>
          <w:szCs w:val="24"/>
        </w:rPr>
        <w:t>，拨付三个月管护费，￥</w:t>
      </w:r>
      <w:r>
        <w:rPr>
          <w:rFonts w:hint="eastAsia" w:ascii="仿宋_GB2312" w:hAnsi="仿宋_GB2312" w:eastAsia="仿宋_GB2312" w:cs="仿宋_GB2312"/>
          <w:color w:val="auto"/>
          <w:szCs w:val="24"/>
          <w:lang w:eastAsia="zh-CN"/>
        </w:rPr>
        <w:t>：</w:t>
      </w:r>
      <w:r>
        <w:rPr>
          <w:rFonts w:hint="eastAsia" w:ascii="仿宋_GB2312" w:hAnsi="仿宋_GB2312" w:eastAsia="仿宋_GB2312" w:cs="仿宋_GB2312"/>
          <w:color w:val="auto"/>
          <w:szCs w:val="24"/>
          <w:u w:val="single"/>
          <w:lang w:val="en-US" w:eastAsia="zh-CN"/>
        </w:rPr>
        <w:t xml:space="preserve">    </w:t>
      </w:r>
      <w:r>
        <w:rPr>
          <w:rFonts w:hint="eastAsia" w:ascii="仿宋_GB2312" w:hAnsi="仿宋_GB2312" w:eastAsia="仿宋_GB2312" w:cs="仿宋_GB2312"/>
          <w:color w:val="auto"/>
          <w:szCs w:val="24"/>
        </w:rPr>
        <w:t>元；2020年</w:t>
      </w:r>
      <w:r>
        <w:rPr>
          <w:rFonts w:hint="eastAsia" w:ascii="仿宋_GB2312" w:hAnsi="仿宋_GB2312" w:eastAsia="仿宋_GB2312" w:cs="仿宋_GB2312"/>
          <w:color w:val="auto"/>
          <w:szCs w:val="24"/>
          <w:lang w:val="en-US" w:eastAsia="zh-CN"/>
        </w:rPr>
        <w:t>7</w:t>
      </w:r>
      <w:r>
        <w:rPr>
          <w:rFonts w:hint="eastAsia" w:ascii="仿宋_GB2312" w:hAnsi="仿宋_GB2312" w:eastAsia="仿宋_GB2312" w:cs="仿宋_GB2312"/>
          <w:color w:val="auto"/>
          <w:szCs w:val="24"/>
        </w:rPr>
        <w:t>月底，拨付剩余</w:t>
      </w:r>
      <w:r>
        <w:rPr>
          <w:rFonts w:hint="eastAsia" w:ascii="仿宋_GB2312" w:hAnsi="仿宋_GB2312" w:eastAsia="仿宋_GB2312" w:cs="仿宋_GB2312"/>
          <w:color w:val="auto"/>
          <w:szCs w:val="24"/>
          <w:lang w:eastAsia="zh-CN"/>
        </w:rPr>
        <w:t>三</w:t>
      </w:r>
      <w:r>
        <w:rPr>
          <w:rFonts w:hint="eastAsia" w:ascii="仿宋_GB2312" w:hAnsi="仿宋_GB2312" w:eastAsia="仿宋_GB2312" w:cs="仿宋_GB2312"/>
          <w:color w:val="auto"/>
          <w:szCs w:val="24"/>
        </w:rPr>
        <w:t>个月管护费，￥</w:t>
      </w:r>
      <w:r>
        <w:rPr>
          <w:rFonts w:hint="eastAsia" w:ascii="仿宋_GB2312" w:hAnsi="仿宋_GB2312" w:eastAsia="仿宋_GB2312" w:cs="仿宋_GB2312"/>
          <w:color w:val="auto"/>
          <w:szCs w:val="24"/>
          <w:lang w:eastAsia="zh-CN"/>
        </w:rPr>
        <w:t>：</w:t>
      </w:r>
      <w:r>
        <w:rPr>
          <w:rFonts w:hint="eastAsia" w:ascii="仿宋_GB2312" w:hAnsi="仿宋_GB2312" w:eastAsia="仿宋_GB2312" w:cs="仿宋_GB2312"/>
          <w:color w:val="auto"/>
          <w:szCs w:val="24"/>
          <w:u w:val="single"/>
          <w:lang w:val="en-US" w:eastAsia="zh-CN"/>
        </w:rPr>
        <w:t xml:space="preserve">     </w:t>
      </w:r>
      <w:r>
        <w:rPr>
          <w:rFonts w:hint="eastAsia" w:ascii="仿宋_GB2312" w:hAnsi="仿宋_GB2312" w:eastAsia="仿宋_GB2312" w:cs="仿宋_GB2312"/>
          <w:color w:val="auto"/>
          <w:szCs w:val="24"/>
        </w:rPr>
        <w:t>元。</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甲方按季度对乙方进行</w:t>
      </w:r>
      <w:r>
        <w:rPr>
          <w:rFonts w:hint="eastAsia" w:ascii="仿宋_GB2312" w:hAnsi="仿宋_GB2312" w:eastAsia="仿宋_GB2312" w:cs="仿宋_GB2312"/>
          <w:color w:val="auto"/>
          <w:szCs w:val="24"/>
          <w:lang w:eastAsia="zh-CN"/>
        </w:rPr>
        <w:t>检查验收</w:t>
      </w:r>
      <w:r>
        <w:rPr>
          <w:rFonts w:hint="eastAsia" w:ascii="仿宋_GB2312" w:hAnsi="仿宋_GB2312" w:eastAsia="仿宋_GB2312" w:cs="仿宋_GB2312"/>
          <w:color w:val="auto"/>
          <w:szCs w:val="24"/>
        </w:rPr>
        <w:t>，如检查验收不合格，资金按比例暂缓拨付，具体计算方法为：</w:t>
      </w:r>
      <w:r>
        <w:rPr>
          <w:rFonts w:hint="eastAsia" w:ascii="仿宋_GB2312" w:hAnsi="仿宋_GB2312" w:eastAsia="仿宋_GB2312" w:cs="仿宋_GB2312"/>
          <w:color w:val="auto"/>
          <w:szCs w:val="24"/>
          <w:u w:val="single"/>
        </w:rPr>
        <w:t>暂扣不合格地块全年管护费的10%</w:t>
      </w:r>
      <w:r>
        <w:rPr>
          <w:rFonts w:hint="eastAsia" w:ascii="仿宋_GB2312" w:hAnsi="仿宋_GB2312" w:eastAsia="仿宋_GB2312" w:cs="仿宋_GB2312"/>
          <w:color w:val="auto"/>
          <w:szCs w:val="24"/>
        </w:rPr>
        <w:t>。乙方按要求完成整改且经甲方复查合格后，补拨暂扣部分的资金。如在规定时间仍未整改或两次以上整改不合格，暂扣的资金予以核减，不再补拨，甲方有权解除合同。</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五、权利与义务</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1.甲方权利与义务</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（1）</w:t>
      </w:r>
      <w:r>
        <w:rPr>
          <w:rFonts w:hint="eastAsia" w:ascii="仿宋_GB2312" w:eastAsia="仿宋_GB2312" w:cs="仿宋_GB2312"/>
          <w:color w:val="auto"/>
          <w:szCs w:val="24"/>
        </w:rPr>
        <w:t>甲方有权要求乙方按时，定量提供本合同范本内所涉及到的服务。并有对服务质量提出评价的权利，要求乙方改进方法和改善品质。如无改进，甲方有权依《绿化服务违约处罚规定》及合同范本的其他条款进行处理。</w:t>
      </w:r>
    </w:p>
    <w:p>
      <w:pPr>
        <w:adjustRightInd w:val="0"/>
        <w:snapToGrid w:val="0"/>
        <w:spacing w:after="200" w:line="220" w:lineRule="atLeast"/>
        <w:ind w:firstLine="440" w:firstLineChars="200"/>
        <w:rPr>
          <w:rFonts w:hint="eastAsia" w:ascii="仿宋_GB2312" w:eastAsia="仿宋_GB2312"/>
          <w:color w:val="auto"/>
          <w:sz w:val="32"/>
          <w:szCs w:val="32"/>
        </w:rPr>
      </w:pPr>
      <w:r>
        <w:rPr>
          <w:rFonts w:hint="eastAsia" w:ascii="仿宋_GB2312" w:hAnsi="仿宋_GB2312" w:eastAsia="仿宋_GB2312" w:cs="仿宋_GB2312"/>
          <w:bCs/>
          <w:color w:val="auto"/>
          <w:szCs w:val="24"/>
        </w:rPr>
        <w:t>（2）</w:t>
      </w:r>
      <w:r>
        <w:rPr>
          <w:rFonts w:hint="eastAsia" w:ascii="仿宋_GB2312" w:eastAsia="仿宋_GB2312" w:cs="仿宋_GB2312"/>
          <w:color w:val="auto"/>
          <w:szCs w:val="24"/>
        </w:rPr>
        <w:t>在乙方承包服务期间，甲方有权利对乙方不符合合同范本规范的操作提出批评和指导。</w:t>
      </w:r>
    </w:p>
    <w:p>
      <w:pPr>
        <w:adjustRightInd w:val="0"/>
        <w:snapToGrid w:val="0"/>
        <w:spacing w:after="200" w:line="220" w:lineRule="atLeast"/>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（3）甲方有权对乙方所提供的服务人员数量，素质，劳动能力等进行检查和评估。</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（4）甲方有权检查乙方在合同范本期间使用的肥料、药物的品质和数量。</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（5）向乙方提供确定的管护区域范围，包括面积、四至界线等相关图表和数据资料。</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（6）向乙方明确管护内容及标准。</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（7）按合同约定，按期足额支付合同资金。</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color w:val="auto"/>
          <w:szCs w:val="24"/>
        </w:rPr>
        <w:t>（8）</w:t>
      </w:r>
      <w:r>
        <w:rPr>
          <w:rFonts w:hint="eastAsia" w:ascii="仿宋_GB2312" w:hAnsi="仿宋_GB2312" w:eastAsia="仿宋_GB2312" w:cs="仿宋_GB2312"/>
          <w:bCs/>
          <w:color w:val="auto"/>
          <w:szCs w:val="24"/>
        </w:rPr>
        <w:t>向乙方提供或协调提供开展林木管护所必需的水电配套等基础条件</w:t>
      </w:r>
      <w:r>
        <w:rPr>
          <w:rFonts w:hint="eastAsia" w:ascii="仿宋_GB2312" w:hAnsi="仿宋_GB2312" w:eastAsia="仿宋_GB2312" w:cs="仿宋_GB2312"/>
          <w:color w:val="auto"/>
          <w:szCs w:val="24"/>
        </w:rPr>
        <w:t>。甲方的生产性基础设施(如供水管、排水渠、电缆、作业道等)可由乙方无偿使用，但需负责管理维修，并承担相应费用。其他基础设施，如各类标示标牌，乙方应负责管理维修，并承担相应费用。生活性基础设施，如管理用房等，甲方可</w:t>
      </w:r>
      <w:r>
        <w:rPr>
          <w:rFonts w:hint="eastAsia" w:ascii="仿宋_GB2312" w:hAnsi="仿宋_GB2312" w:eastAsia="仿宋_GB2312" w:cs="仿宋_GB2312"/>
          <w:color w:val="auto"/>
          <w:szCs w:val="24"/>
          <w:u w:val="single"/>
        </w:rPr>
        <w:t xml:space="preserve"> </w:t>
      </w:r>
      <w:r>
        <w:rPr>
          <w:rFonts w:hint="eastAsia" w:ascii="仿宋_GB2312" w:hAnsi="仿宋_GB2312" w:eastAsia="仿宋_GB2312" w:cs="仿宋_GB2312"/>
          <w:color w:val="auto"/>
          <w:szCs w:val="24"/>
          <w:u w:val="single"/>
          <w:lang w:eastAsia="zh-CN"/>
        </w:rPr>
        <w:t>无偿</w:t>
      </w:r>
      <w:r>
        <w:rPr>
          <w:rFonts w:hint="eastAsia" w:ascii="仿宋_GB2312" w:hAnsi="仿宋_GB2312" w:eastAsia="仿宋_GB2312" w:cs="仿宋_GB2312"/>
          <w:color w:val="auto"/>
          <w:szCs w:val="24"/>
          <w:u w:val="single"/>
        </w:rPr>
        <w:t xml:space="preserve"> </w:t>
      </w:r>
      <w:r>
        <w:rPr>
          <w:rFonts w:hint="eastAsia" w:ascii="仿宋_GB2312" w:hAnsi="仿宋_GB2312" w:eastAsia="仿宋_GB2312" w:cs="仿宋_GB2312"/>
          <w:color w:val="auto"/>
          <w:szCs w:val="24"/>
        </w:rPr>
        <w:t>（无偿/有偿）提供给乙方，如有偿，则租金计算方式为：</w:t>
      </w:r>
      <w:r>
        <w:rPr>
          <w:rFonts w:hint="eastAsia" w:ascii="仿宋_GB2312" w:hAnsi="仿宋_GB2312" w:eastAsia="仿宋_GB2312" w:cs="仿宋_GB2312"/>
          <w:color w:val="auto"/>
          <w:szCs w:val="24"/>
          <w:u w:val="single"/>
        </w:rPr>
        <w:t xml:space="preserve">                </w:t>
      </w:r>
      <w:r>
        <w:rPr>
          <w:rFonts w:hint="eastAsia" w:ascii="仿宋_GB2312" w:hAnsi="仿宋_GB2312" w:eastAsia="仿宋_GB2312" w:cs="仿宋_GB2312"/>
          <w:color w:val="auto"/>
          <w:szCs w:val="24"/>
        </w:rPr>
        <w:t>。</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2.乙方权利与义务</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（1）按照《北京市平原生态林管护技术导则》、《实施细则》的要求组织开展管护作业。不许进行其它与林木管护无关的作业，不许擅自自行或准许他人进行危害或可能危害林地、林木资源及生态环境的行为。</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（2）对管护区域内</w:t>
      </w:r>
      <w:r>
        <w:rPr>
          <w:rFonts w:hint="eastAsia" w:ascii="仿宋_GB2312" w:hAnsi="仿宋_GB2312" w:eastAsia="仿宋_GB2312" w:cs="仿宋_GB2312"/>
          <w:color w:val="auto"/>
          <w:szCs w:val="24"/>
        </w:rPr>
        <w:t>林木资源安全</w:t>
      </w:r>
      <w:r>
        <w:rPr>
          <w:rFonts w:hint="eastAsia" w:ascii="仿宋_GB2312" w:hAnsi="仿宋_GB2312" w:eastAsia="仿宋_GB2312" w:cs="仿宋_GB2312"/>
          <w:bCs/>
          <w:color w:val="auto"/>
          <w:szCs w:val="24"/>
        </w:rPr>
        <w:t>、基础设施安全、生态环境安全负总责，遇有区域内突发性或灾害性情况应及时报告甲方。</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（3）对管护区域内的安全生产负总责。接受甲方对林地管护的指导、监督、检查和考核。</w:t>
      </w:r>
    </w:p>
    <w:p>
      <w:pPr>
        <w:snapToGrid w:val="0"/>
        <w:spacing w:line="360" w:lineRule="auto"/>
        <w:ind w:firstLine="440" w:firstLineChars="200"/>
        <w:rPr>
          <w:rFonts w:hint="eastAsia" w:ascii="仿宋_GB2312" w:hAnsi="仿宋_GB2312" w:eastAsia="仿宋_GB2312" w:cs="仿宋_GB2312"/>
          <w:bCs/>
          <w:color w:val="auto"/>
          <w:szCs w:val="24"/>
          <w:lang w:eastAsia="zh-CN"/>
        </w:rPr>
      </w:pPr>
      <w:r>
        <w:rPr>
          <w:rFonts w:hint="eastAsia" w:ascii="仿宋_GB2312" w:hAnsi="仿宋_GB2312" w:eastAsia="仿宋_GB2312" w:cs="仿宋_GB2312"/>
          <w:bCs/>
          <w:color w:val="auto"/>
          <w:szCs w:val="24"/>
        </w:rPr>
        <w:t>（4）建立完善的管护班组、</w:t>
      </w:r>
      <w:r>
        <w:rPr>
          <w:rFonts w:hint="eastAsia" w:ascii="仿宋_GB2312" w:hAnsi="仿宋_GB2312" w:eastAsia="仿宋_GB2312" w:cs="仿宋_GB2312"/>
          <w:color w:val="auto"/>
          <w:szCs w:val="24"/>
        </w:rPr>
        <w:t>岗位职责、岗位规范、操作规程、管护制度，并交甲方备案。</w:t>
      </w:r>
      <w:r>
        <w:rPr>
          <w:rFonts w:hint="eastAsia" w:ascii="仿宋_GB2312" w:hAnsi="仿宋_GB2312" w:eastAsia="仿宋_GB2312" w:cs="仿宋_GB2312"/>
          <w:bCs/>
          <w:color w:val="auto"/>
          <w:szCs w:val="24"/>
        </w:rPr>
        <w:t>专业技术人员比例不得少于专业管护人员总数的5%；管护员应优先招聘本地农民，且比例不得少于专业管护人员总数的60%，乙方工作人员的生活及人身财产安全由乙方负责。</w:t>
      </w:r>
      <w:r>
        <w:rPr>
          <w:rFonts w:hint="eastAsia" w:ascii="仿宋_GB2312" w:hAnsi="仿宋_GB2312" w:eastAsia="仿宋_GB2312" w:cs="仿宋_GB2312"/>
          <w:bCs/>
          <w:color w:val="auto"/>
          <w:szCs w:val="24"/>
          <w:lang w:eastAsia="zh-CN"/>
        </w:rPr>
        <w:t>为保证此条款之有效实施，乙方需遵守《农民工工资发放承诺过诺书》的相关内容，建立农民工工资发放专用账号及相关的履约保函。（《农民工工资发放承诺书》作为本协议的附件）</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bCs/>
          <w:color w:val="auto"/>
          <w:szCs w:val="24"/>
        </w:rPr>
        <w:t>（5）组织</w:t>
      </w:r>
      <w:r>
        <w:rPr>
          <w:rFonts w:hint="eastAsia" w:ascii="仿宋_GB2312" w:hAnsi="仿宋_GB2312" w:eastAsia="仿宋_GB2312" w:cs="仿宋_GB2312"/>
          <w:color w:val="auto"/>
          <w:szCs w:val="24"/>
        </w:rPr>
        <w:t>制定科学的年度管护方案，报请甲方同意后实施，作为实施依据。管护方案执行中如有调整，应征得甲方书面同意。坚持</w:t>
      </w:r>
      <w:r>
        <w:rPr>
          <w:rFonts w:hint="eastAsia" w:ascii="仿宋_GB2312" w:eastAsia="仿宋_GB2312"/>
          <w:color w:val="auto"/>
        </w:rPr>
        <w:t>遏制违法侵占林地情况，消除无立木林地和裸露土地，</w:t>
      </w:r>
      <w:r>
        <w:rPr>
          <w:rFonts w:hint="eastAsia" w:ascii="仿宋_GB2312" w:eastAsia="仿宋_GB2312"/>
          <w:color w:val="auto"/>
          <w:lang w:eastAsia="zh-CN"/>
        </w:rPr>
        <w:t>并按要求逐年安装完善林地围栏，</w:t>
      </w:r>
      <w:r>
        <w:rPr>
          <w:rFonts w:hint="eastAsia" w:ascii="仿宋_GB2312" w:eastAsia="仿宋_GB2312"/>
          <w:color w:val="auto"/>
        </w:rPr>
        <w:t>不准使用除草</w:t>
      </w:r>
      <w:r>
        <w:rPr>
          <w:rFonts w:hint="eastAsia" w:ascii="仿宋_GB2312" w:hAnsi="仿宋_GB2312" w:eastAsia="仿宋_GB2312" w:cs="仿宋_GB2312"/>
          <w:color w:val="auto"/>
          <w:szCs w:val="24"/>
        </w:rPr>
        <w:t>剂，养护期内</w:t>
      </w:r>
      <w:r>
        <w:rPr>
          <w:rFonts w:hint="eastAsia" w:ascii="仿宋_GB2312" w:hAnsi="仿宋_GB2312" w:eastAsia="仿宋_GB2312" w:cs="仿宋_GB2312"/>
          <w:color w:val="auto"/>
          <w:szCs w:val="24"/>
          <w:lang w:eastAsia="zh-CN"/>
        </w:rPr>
        <w:t>对</w:t>
      </w:r>
      <w:r>
        <w:rPr>
          <w:rFonts w:hint="eastAsia" w:ascii="仿宋_GB2312" w:hAnsi="仿宋_GB2312" w:eastAsia="仿宋_GB2312" w:cs="仿宋_GB2312"/>
          <w:color w:val="auto"/>
          <w:szCs w:val="24"/>
        </w:rPr>
        <w:t>死亡苗木进行补种。</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（6）在服务期间乙方自行承担养护期间所使用的工具，肥料，药物等产生的费用。同时维护好甲方的公共设施、设备。</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bCs/>
          <w:color w:val="auto"/>
          <w:szCs w:val="24"/>
        </w:rPr>
        <w:t>（7）</w:t>
      </w:r>
      <w:r>
        <w:rPr>
          <w:rFonts w:hint="eastAsia" w:ascii="仿宋_GB2312" w:hAnsi="仿宋_GB2312" w:eastAsia="仿宋_GB2312" w:cs="仿宋_GB2312"/>
          <w:color w:val="auto"/>
          <w:szCs w:val="24"/>
        </w:rPr>
        <w:t>按照市及区县园林绿化局有关要求开展生态林资源调查监测，做好管护范围内生态林固定监测样点的维护和有关监测事项。</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bCs/>
          <w:color w:val="auto"/>
          <w:szCs w:val="24"/>
        </w:rPr>
        <w:t>（8）</w:t>
      </w:r>
      <w:r>
        <w:rPr>
          <w:rFonts w:hint="eastAsia" w:ascii="仿宋_GB2312" w:hAnsi="仿宋_GB2312" w:eastAsia="仿宋_GB2312" w:cs="仿宋_GB2312"/>
          <w:color w:val="auto"/>
          <w:szCs w:val="24"/>
        </w:rPr>
        <w:t>科学编制管护区域的</w:t>
      </w:r>
      <w:r>
        <w:rPr>
          <w:rFonts w:hint="eastAsia" w:ascii="仿宋_GB2312" w:hAnsi="仿宋_GB2312" w:eastAsia="仿宋_GB2312" w:cs="仿宋_GB2312"/>
          <w:bCs/>
          <w:color w:val="auto"/>
          <w:szCs w:val="24"/>
        </w:rPr>
        <w:t>森林防火应急预案、有害生物防治应急预案，配备必要的管护设施设备，按要求及时提交</w:t>
      </w:r>
      <w:r>
        <w:rPr>
          <w:rFonts w:hint="eastAsia" w:ascii="仿宋_GB2312" w:hAnsi="仿宋_GB2312" w:eastAsia="仿宋_GB2312" w:cs="仿宋_GB2312"/>
          <w:color w:val="auto"/>
          <w:szCs w:val="24"/>
        </w:rPr>
        <w:t>季、月度管护报告及相应进度统计表</w:t>
      </w:r>
      <w:r>
        <w:rPr>
          <w:rFonts w:hint="eastAsia" w:ascii="仿宋_GB2312" w:hAnsi="仿宋_GB2312" w:eastAsia="仿宋_GB2312" w:cs="仿宋_GB2312"/>
          <w:bCs/>
          <w:color w:val="auto"/>
          <w:szCs w:val="24"/>
        </w:rPr>
        <w:t>等。</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bCs/>
          <w:color w:val="auto"/>
          <w:szCs w:val="24"/>
        </w:rPr>
        <w:t>（9）</w:t>
      </w:r>
      <w:r>
        <w:rPr>
          <w:rFonts w:hint="eastAsia" w:ascii="仿宋_GB2312" w:hAnsi="仿宋_GB2312" w:eastAsia="仿宋_GB2312" w:cs="仿宋_GB2312"/>
          <w:color w:val="auto"/>
          <w:szCs w:val="24"/>
        </w:rPr>
        <w:t>建立和健全养护管理档案，要求及时采集填报各类专业信息。</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bCs/>
          <w:color w:val="auto"/>
          <w:szCs w:val="24"/>
        </w:rPr>
        <w:t>（10）</w:t>
      </w:r>
      <w:r>
        <w:rPr>
          <w:rFonts w:hint="eastAsia" w:ascii="仿宋_GB2312" w:hAnsi="仿宋_GB2312" w:eastAsia="仿宋_GB2312" w:cs="仿宋_GB2312"/>
          <w:color w:val="auto"/>
          <w:szCs w:val="24"/>
        </w:rPr>
        <w:t>严格制定和遵守安全生产作业的有关法规、规范，接受甲方及行业安全检查人员的监督检查，采取必要的安全防护措施，消除安全隐患。因乙方作业不当（如蛀干害虫未及时防治引起枝条折落、未按规定使用药剂或公告等情况）或管理不善而造成人身伤害或财产损失，责任和相关费用由乙方承担。</w:t>
      </w:r>
    </w:p>
    <w:p>
      <w:pPr>
        <w:adjustRightInd w:val="0"/>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（11）乙方全权为保护其劳动成果或者避免发生意外情况下设置一些警示标识。</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（12）依据合同约定获得相应管护资金。</w:t>
      </w:r>
    </w:p>
    <w:p>
      <w:pPr>
        <w:adjustRightInd w:val="0"/>
        <w:snapToGrid w:val="0"/>
        <w:spacing w:line="360" w:lineRule="auto"/>
        <w:ind w:firstLine="440" w:firstLineChars="200"/>
        <w:rPr>
          <w:rFonts w:ascii="仿宋_GB2312" w:hAnsi="仿宋_GB2312" w:eastAsia="仿宋_GB2312" w:cs="仿宋_GB2312"/>
          <w:bCs/>
          <w:color w:val="auto"/>
          <w:szCs w:val="24"/>
        </w:rPr>
      </w:pPr>
      <w:r>
        <w:rPr>
          <w:rFonts w:hint="eastAsia" w:ascii="仿宋_GB2312" w:hAnsi="仿宋_GB2312" w:eastAsia="仿宋_GB2312" w:cs="仿宋_GB2312"/>
          <w:bCs/>
          <w:color w:val="auto"/>
          <w:szCs w:val="24"/>
        </w:rPr>
        <w:t>（13）乙方绿化工人须经培训才能上岗，统一服装、衣着整洁、文明有礼。</w:t>
      </w:r>
    </w:p>
    <w:p>
      <w:pPr>
        <w:adjustRightInd w:val="0"/>
        <w:snapToGrid w:val="0"/>
        <w:spacing w:line="360" w:lineRule="auto"/>
        <w:ind w:firstLine="440" w:firstLineChars="200"/>
        <w:rPr>
          <w:rFonts w:ascii="仿宋_GB2312" w:hAnsi="仿宋_GB2312" w:eastAsia="仿宋_GB2312" w:cs="仿宋_GB2312"/>
          <w:bCs/>
          <w:color w:val="auto"/>
          <w:szCs w:val="24"/>
        </w:rPr>
      </w:pPr>
      <w:r>
        <w:rPr>
          <w:rFonts w:hint="eastAsia" w:ascii="仿宋_GB2312" w:hAnsi="仿宋_GB2312" w:eastAsia="仿宋_GB2312" w:cs="仿宋_GB2312"/>
          <w:bCs/>
          <w:color w:val="auto"/>
          <w:szCs w:val="24"/>
        </w:rPr>
        <w:t>（14）绿化养护如未达到合同范本规定的要求，甲方提出意见后，乙方应在接到通知后两天内改正完毕。</w:t>
      </w:r>
    </w:p>
    <w:p>
      <w:pPr>
        <w:adjustRightInd w:val="0"/>
        <w:snapToGrid w:val="0"/>
        <w:spacing w:line="360" w:lineRule="auto"/>
        <w:ind w:firstLine="440" w:firstLineChars="200"/>
        <w:rPr>
          <w:rFonts w:ascii="仿宋_GB2312" w:hAnsi="仿宋_GB2312" w:eastAsia="仿宋_GB2312" w:cs="仿宋_GB2312"/>
          <w:bCs/>
          <w:color w:val="auto"/>
          <w:szCs w:val="24"/>
        </w:rPr>
      </w:pPr>
      <w:r>
        <w:rPr>
          <w:rFonts w:hint="eastAsia" w:ascii="仿宋_GB2312" w:hAnsi="仿宋_GB2312" w:eastAsia="仿宋_GB2312" w:cs="仿宋_GB2312"/>
          <w:bCs/>
          <w:color w:val="auto"/>
          <w:szCs w:val="24"/>
        </w:rPr>
        <w:t>（15）乙方负责绿化管护区域内生态林、乡自管公园绿地、道路清洁卫生工作。</w:t>
      </w:r>
    </w:p>
    <w:p>
      <w:pPr>
        <w:adjustRightInd w:val="0"/>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16）乙方为加强对绿化工作的日常检查和监督，确保按本合同范本完成绿化工作和达到质量标准，应建立“绿化服务质量跟踪表”、“各岗位工作细则”及“周期工作计划表”由乙方驻场负责人填写，交甲方管理处人员检查确认和提出整改意见。</w:t>
      </w:r>
    </w:p>
    <w:p>
      <w:pPr>
        <w:snapToGrid w:val="0"/>
        <w:spacing w:line="360" w:lineRule="auto"/>
        <w:ind w:firstLine="440" w:firstLineChars="200"/>
        <w:rPr>
          <w:rFonts w:hint="eastAsia" w:ascii="仿宋_GB2312" w:hAnsi="仿宋_GB2312" w:eastAsia="仿宋_GB2312" w:cs="仿宋_GB2312"/>
          <w:bCs/>
          <w:color w:val="auto"/>
          <w:szCs w:val="24"/>
        </w:rPr>
      </w:pPr>
      <w:r>
        <w:rPr>
          <w:rFonts w:hint="eastAsia" w:ascii="仿宋_GB2312" w:hAnsi="仿宋_GB2312" w:eastAsia="仿宋_GB2312" w:cs="仿宋_GB2312"/>
          <w:bCs/>
          <w:color w:val="auto"/>
          <w:szCs w:val="24"/>
        </w:rPr>
        <w:t>六、其他约定</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1.根据《中华人民共和国政府采购法》相关规定，合同签订期限为1年，视养护工作完成情况及养护效果最多可续签两次，每次期限为1年，合同期满后由甲方重新组织进行招标。</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2.因不可抗力不能履行合同的，根据不可抗力的影响，部分或者全部免除责任。但合同一方延迟履行后发生严重后果的，不能免除责任。</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3.甲乙双方因不可抗力不能履行合同的，需提前30天书面通知对方，共同协商决定解决方案。甲乙双方因单方面问题造成违约，违约方应支付对方相当于3个月管护费的资金作为经济赔偿。</w:t>
      </w:r>
    </w:p>
    <w:p>
      <w:pPr>
        <w:snapToGrid w:val="0"/>
        <w:spacing w:line="360" w:lineRule="auto"/>
        <w:ind w:firstLine="440" w:firstLineChars="200"/>
        <w:rPr>
          <w:rFonts w:ascii="仿宋_GB2312" w:hAnsi="仿宋_GB2312" w:eastAsia="仿宋_GB2312" w:cs="仿宋_GB2312"/>
          <w:color w:val="auto"/>
          <w:szCs w:val="24"/>
        </w:rPr>
      </w:pPr>
      <w:r>
        <w:rPr>
          <w:rFonts w:hint="eastAsia" w:ascii="仿宋_GB2312" w:hAnsi="仿宋_GB2312" w:eastAsia="仿宋_GB2312" w:cs="仿宋_GB2312"/>
          <w:color w:val="auto"/>
          <w:szCs w:val="24"/>
        </w:rPr>
        <w:t>4.</w:t>
      </w:r>
      <w:r>
        <w:rPr>
          <w:rFonts w:hint="eastAsia" w:ascii="仿宋_GB2312" w:eastAsia="仿宋_GB2312" w:cs="仿宋_GB2312"/>
          <w:color w:val="auto"/>
          <w:sz w:val="32"/>
          <w:szCs w:val="32"/>
        </w:rPr>
        <w:t xml:space="preserve"> </w:t>
      </w:r>
      <w:r>
        <w:rPr>
          <w:rFonts w:hint="eastAsia" w:ascii="仿宋_GB2312" w:eastAsia="仿宋_GB2312" w:cs="仿宋_GB2312"/>
          <w:color w:val="auto"/>
          <w:szCs w:val="24"/>
        </w:rPr>
        <w:t>乙方提供的信息若有虚假或不实，包括在订立合同范本的过程中所提供的资料或证明文件，甲方已经查实即可解除合同范本。</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5.</w:t>
      </w:r>
      <w:r>
        <w:rPr>
          <w:rFonts w:hint="eastAsia" w:ascii="仿宋_GB2312" w:hAnsi="Tahoma" w:eastAsia="仿宋_GB2312" w:cs="仿宋_GB2312"/>
          <w:color w:val="auto"/>
          <w:sz w:val="32"/>
          <w:szCs w:val="32"/>
        </w:rPr>
        <w:t xml:space="preserve"> </w:t>
      </w:r>
      <w:r>
        <w:rPr>
          <w:rFonts w:hint="eastAsia" w:ascii="仿宋_GB2312" w:hAnsi="仿宋_GB2312" w:eastAsia="仿宋_GB2312" w:cs="仿宋_GB2312"/>
          <w:color w:val="auto"/>
          <w:szCs w:val="24"/>
        </w:rPr>
        <w:t>甲方另有要求增设合同范本规定范围外服务项目，再议价格。</w:t>
      </w:r>
    </w:p>
    <w:p>
      <w:pPr>
        <w:adjustRightInd w:val="0"/>
        <w:snapToGrid w:val="0"/>
        <w:spacing w:line="360" w:lineRule="auto"/>
        <w:ind w:firstLine="440" w:firstLineChars="200"/>
        <w:rPr>
          <w:rFonts w:hint="eastAsia" w:ascii="仿宋_GB2312" w:eastAsia="仿宋_GB2312"/>
          <w:color w:val="auto"/>
          <w:sz w:val="32"/>
          <w:szCs w:val="32"/>
        </w:rPr>
      </w:pPr>
      <w:r>
        <w:rPr>
          <w:rFonts w:hint="eastAsia" w:ascii="仿宋_GB2312" w:hAnsi="仿宋_GB2312" w:eastAsia="仿宋_GB2312" w:cs="仿宋_GB2312"/>
          <w:color w:val="auto"/>
          <w:szCs w:val="24"/>
        </w:rPr>
        <w:t>6.</w:t>
      </w:r>
      <w:r>
        <w:rPr>
          <w:rFonts w:hint="eastAsia" w:ascii="仿宋_GB2312" w:eastAsia="仿宋_GB2312" w:cs="仿宋_GB2312"/>
          <w:color w:val="auto"/>
          <w:sz w:val="32"/>
          <w:szCs w:val="32"/>
        </w:rPr>
        <w:t xml:space="preserve"> </w:t>
      </w:r>
      <w:r>
        <w:rPr>
          <w:rFonts w:hint="eastAsia" w:ascii="仿宋_GB2312" w:eastAsia="仿宋_GB2312" w:cs="仿宋_GB2312"/>
          <w:color w:val="auto"/>
          <w:szCs w:val="24"/>
        </w:rPr>
        <w:t>合约期满后，乙方在不取得续签合同范本的情况下，应无条件退场。</w:t>
      </w:r>
    </w:p>
    <w:p>
      <w:pPr>
        <w:adjustRightInd w:val="0"/>
        <w:snapToGrid w:val="0"/>
        <w:spacing w:line="360" w:lineRule="auto"/>
        <w:ind w:firstLine="440" w:firstLineChars="200"/>
        <w:rPr>
          <w:rFonts w:hint="eastAsia" w:ascii="仿宋_GB2312" w:eastAsia="仿宋_GB2312"/>
          <w:color w:val="auto"/>
          <w:sz w:val="32"/>
          <w:szCs w:val="32"/>
        </w:rPr>
      </w:pPr>
      <w:r>
        <w:rPr>
          <w:rFonts w:hint="eastAsia" w:ascii="仿宋_GB2312" w:hAnsi="仿宋_GB2312" w:eastAsia="仿宋_GB2312" w:cs="仿宋_GB2312"/>
          <w:color w:val="auto"/>
          <w:szCs w:val="24"/>
        </w:rPr>
        <w:t>7.</w:t>
      </w:r>
      <w:r>
        <w:rPr>
          <w:rFonts w:hint="eastAsia" w:ascii="仿宋_GB2312" w:hAnsi="Tahoma" w:eastAsia="仿宋_GB2312" w:cs="仿宋_GB2312"/>
          <w:color w:val="auto"/>
          <w:sz w:val="32"/>
          <w:szCs w:val="32"/>
        </w:rPr>
        <w:t xml:space="preserve"> </w:t>
      </w:r>
      <w:r>
        <w:rPr>
          <w:rFonts w:hint="eastAsia" w:ascii="仿宋_GB2312" w:hAnsi="仿宋_GB2312" w:eastAsia="仿宋_GB2312" w:cs="仿宋_GB2312"/>
          <w:color w:val="auto"/>
          <w:szCs w:val="24"/>
        </w:rPr>
        <w:t>本项目严禁转包，未经甲方同意不得分包。</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8.合同发生争议，各方应友好协商解决，如协商不成，可通过申请仲裁，或司法裁决途径解决。</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9.本合同未尽事宜，由合同缔约方协商解决。</w:t>
      </w:r>
    </w:p>
    <w:p>
      <w:pPr>
        <w:snapToGrid w:val="0"/>
        <w:spacing w:line="360" w:lineRule="auto"/>
        <w:ind w:firstLine="440" w:firstLineChars="20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10.本合同一式六份，</w:t>
      </w:r>
      <w:r>
        <w:rPr>
          <w:rFonts w:hint="eastAsia" w:ascii="仿宋_GB2312" w:hAnsi="仿宋_GB2312" w:eastAsia="仿宋_GB2312" w:cs="仿宋_GB2312"/>
          <w:color w:val="auto"/>
          <w:szCs w:val="24"/>
          <w:lang w:eastAsia="zh-CN"/>
        </w:rPr>
        <w:t>由甲乙双</w:t>
      </w:r>
      <w:r>
        <w:rPr>
          <w:rFonts w:hint="eastAsia" w:ascii="仿宋_GB2312" w:hAnsi="仿宋_GB2312" w:eastAsia="仿宋_GB2312" w:cs="仿宋_GB2312"/>
          <w:color w:val="auto"/>
          <w:szCs w:val="24"/>
        </w:rPr>
        <w:t>方各执</w:t>
      </w:r>
      <w:r>
        <w:rPr>
          <w:rFonts w:hint="eastAsia" w:ascii="仿宋_GB2312" w:hAnsi="仿宋_GB2312" w:eastAsia="仿宋_GB2312" w:cs="仿宋_GB2312"/>
          <w:color w:val="auto"/>
          <w:szCs w:val="24"/>
          <w:lang w:eastAsia="zh-CN"/>
        </w:rPr>
        <w:t>三</w:t>
      </w:r>
      <w:r>
        <w:rPr>
          <w:rFonts w:hint="eastAsia" w:ascii="仿宋_GB2312" w:hAnsi="仿宋_GB2312" w:eastAsia="仿宋_GB2312" w:cs="仿宋_GB2312"/>
          <w:color w:val="auto"/>
          <w:szCs w:val="24"/>
        </w:rPr>
        <w:t>份，经</w:t>
      </w:r>
      <w:r>
        <w:rPr>
          <w:rFonts w:hint="eastAsia" w:ascii="仿宋_GB2312" w:hAnsi="仿宋_GB2312" w:eastAsia="仿宋_GB2312" w:cs="仿宋_GB2312"/>
          <w:color w:val="auto"/>
          <w:szCs w:val="24"/>
          <w:lang w:eastAsia="zh-CN"/>
        </w:rPr>
        <w:t>双</w:t>
      </w:r>
      <w:r>
        <w:rPr>
          <w:rFonts w:hint="eastAsia" w:ascii="仿宋_GB2312" w:hAnsi="仿宋_GB2312" w:eastAsia="仿宋_GB2312" w:cs="仿宋_GB2312"/>
          <w:color w:val="auto"/>
          <w:szCs w:val="24"/>
        </w:rPr>
        <w:t>方签字盖章后生效。</w:t>
      </w:r>
    </w:p>
    <w:p>
      <w:pPr>
        <w:spacing w:line="360" w:lineRule="auto"/>
        <w:rPr>
          <w:rFonts w:hint="eastAsia" w:ascii="仿宋_GB2312" w:eastAsia="仿宋_GB2312"/>
          <w:b/>
          <w:color w:val="auto"/>
        </w:rPr>
      </w:pPr>
    </w:p>
    <w:p>
      <w:pPr>
        <w:spacing w:line="360" w:lineRule="auto"/>
        <w:rPr>
          <w:rFonts w:hint="eastAsia" w:ascii="仿宋_GB2312" w:eastAsia="仿宋_GB2312"/>
          <w:b/>
          <w:color w:val="auto"/>
        </w:rPr>
      </w:pPr>
    </w:p>
    <w:p>
      <w:pPr>
        <w:spacing w:line="360" w:lineRule="auto"/>
        <w:rPr>
          <w:rFonts w:hint="eastAsia" w:ascii="仿宋_GB2312" w:eastAsia="仿宋_GB2312"/>
          <w:b/>
          <w:color w:val="auto"/>
        </w:rPr>
      </w:pPr>
      <w:r>
        <w:rPr>
          <w:rFonts w:hint="eastAsia" w:ascii="仿宋_GB2312" w:eastAsia="仿宋_GB2312"/>
          <w:b/>
          <w:color w:val="auto"/>
        </w:rPr>
        <w:t>附件：</w:t>
      </w:r>
    </w:p>
    <w:p>
      <w:pPr>
        <w:snapToGrid w:val="0"/>
        <w:spacing w:line="360" w:lineRule="auto"/>
        <w:ind w:firstLine="770" w:firstLineChars="350"/>
        <w:rPr>
          <w:rFonts w:hint="eastAsia" w:ascii="仿宋_GB2312" w:eastAsia="仿宋_GB2312"/>
          <w:color w:val="auto"/>
          <w:szCs w:val="24"/>
        </w:rPr>
      </w:pPr>
      <w:r>
        <w:rPr>
          <w:rFonts w:hint="eastAsia" w:ascii="仿宋_GB2312" w:eastAsia="仿宋_GB2312"/>
          <w:color w:val="auto"/>
          <w:szCs w:val="24"/>
        </w:rPr>
        <w:t>1、朝阳区平原生态林、乡自管公园绿地管护项目廉政责任书</w:t>
      </w:r>
    </w:p>
    <w:p>
      <w:pPr>
        <w:snapToGrid w:val="0"/>
        <w:spacing w:line="360" w:lineRule="auto"/>
        <w:rPr>
          <w:rFonts w:hint="eastAsia" w:ascii="仿宋_GB2312" w:eastAsia="仿宋_GB2312"/>
          <w:color w:val="auto"/>
          <w:szCs w:val="24"/>
        </w:rPr>
      </w:pPr>
      <w:r>
        <w:rPr>
          <w:rFonts w:hint="eastAsia" w:ascii="仿宋_GB2312" w:eastAsia="仿宋_GB2312"/>
          <w:color w:val="auto"/>
          <w:szCs w:val="24"/>
        </w:rPr>
        <w:t xml:space="preserve">       2、朝阳区平原生态林、乡自管公园绿地管护项目安全生产协议书</w:t>
      </w:r>
    </w:p>
    <w:p>
      <w:pPr>
        <w:snapToGrid w:val="0"/>
        <w:spacing w:line="360" w:lineRule="auto"/>
        <w:ind w:firstLine="770" w:firstLineChars="350"/>
        <w:rPr>
          <w:rFonts w:hint="eastAsia" w:ascii="仿宋_GB2312" w:hAnsi="仿宋_GB2312" w:eastAsia="仿宋_GB2312" w:cs="仿宋_GB2312"/>
          <w:color w:val="auto"/>
          <w:szCs w:val="24"/>
        </w:rPr>
      </w:pPr>
      <w:r>
        <w:rPr>
          <w:rFonts w:hint="eastAsia" w:ascii="仿宋_GB2312" w:eastAsia="仿宋_GB2312"/>
          <w:color w:val="auto"/>
          <w:szCs w:val="24"/>
        </w:rPr>
        <w:t>3、朝阳区平原生态林</w:t>
      </w:r>
      <w:r>
        <w:rPr>
          <w:rFonts w:hint="eastAsia" w:ascii="仿宋_GB2312" w:eastAsia="仿宋_GB2312"/>
          <w:color w:val="auto"/>
          <w:szCs w:val="24"/>
          <w:lang w:eastAsia="zh-CN"/>
        </w:rPr>
        <w:t>、乡自管公园绿地</w:t>
      </w:r>
      <w:r>
        <w:rPr>
          <w:rFonts w:hint="eastAsia" w:ascii="仿宋_GB2312" w:eastAsia="仿宋_GB2312"/>
          <w:color w:val="auto"/>
          <w:szCs w:val="24"/>
        </w:rPr>
        <w:t>管护项目防火责任书</w:t>
      </w:r>
    </w:p>
    <w:p>
      <w:pPr>
        <w:snapToGrid w:val="0"/>
        <w:spacing w:line="360" w:lineRule="auto"/>
        <w:ind w:firstLine="770" w:firstLineChars="35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4、朝阳区平原生态林管护单元详细情况表</w:t>
      </w:r>
    </w:p>
    <w:p>
      <w:pPr>
        <w:snapToGrid w:val="0"/>
        <w:spacing w:line="360" w:lineRule="auto"/>
        <w:ind w:firstLine="770" w:firstLineChars="35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5、管庄乡自管绿地详细情况表</w:t>
      </w:r>
    </w:p>
    <w:p>
      <w:pPr>
        <w:snapToGrid w:val="0"/>
        <w:spacing w:line="360" w:lineRule="auto"/>
        <w:ind w:firstLine="770" w:firstLineChars="350"/>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6、朝阳区平原生态林、乡自管公园绿地管护地块分布图</w:t>
      </w:r>
    </w:p>
    <w:p>
      <w:pPr>
        <w:snapToGrid w:val="0"/>
        <w:spacing w:line="360" w:lineRule="auto"/>
        <w:ind w:firstLine="770" w:firstLineChars="350"/>
        <w:rPr>
          <w:rFonts w:hint="eastAsia" w:ascii="仿宋_GB2312" w:hAnsi="仿宋_GB2312" w:eastAsia="仿宋_GB2312" w:cs="仿宋_GB2312"/>
          <w:color w:val="auto"/>
          <w:szCs w:val="24"/>
          <w:lang w:val="en-US" w:eastAsia="zh-CN"/>
        </w:rPr>
      </w:pPr>
      <w:r>
        <w:rPr>
          <w:rFonts w:hint="eastAsia" w:ascii="仿宋_GB2312" w:hAnsi="仿宋_GB2312" w:eastAsia="仿宋_GB2312" w:cs="仿宋_GB2312"/>
          <w:color w:val="auto"/>
          <w:szCs w:val="24"/>
          <w:lang w:val="en-US" w:eastAsia="zh-CN"/>
        </w:rPr>
        <w:t>7、农民工工资发放承诺书</w:t>
      </w:r>
    </w:p>
    <w:p>
      <w:pPr>
        <w:snapToGrid w:val="0"/>
        <w:spacing w:line="360" w:lineRule="auto"/>
        <w:rPr>
          <w:rFonts w:hint="eastAsia" w:ascii="仿宋_GB2312" w:hAnsi="仿宋_GB2312" w:eastAsia="仿宋_GB2312" w:cs="仿宋_GB2312"/>
          <w:color w:val="auto"/>
          <w:szCs w:val="24"/>
        </w:rPr>
      </w:pPr>
    </w:p>
    <w:p>
      <w:pPr>
        <w:snapToGrid w:val="0"/>
        <w:spacing w:line="360" w:lineRule="auto"/>
        <w:rPr>
          <w:rFonts w:hint="eastAsia" w:ascii="仿宋_GB2312" w:hAnsi="仿宋_GB2312" w:eastAsia="仿宋_GB2312" w:cs="仿宋_GB2312"/>
          <w:color w:val="auto"/>
          <w:szCs w:val="24"/>
        </w:rPr>
      </w:pPr>
    </w:p>
    <w:p>
      <w:pPr>
        <w:snapToGrid w:val="0"/>
        <w:spacing w:line="360" w:lineRule="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甲      方：（盖章）                      乙      方：（盖章）</w:t>
      </w:r>
    </w:p>
    <w:p>
      <w:pPr>
        <w:snapToGrid w:val="0"/>
        <w:spacing w:line="360" w:lineRule="auto"/>
        <w:rPr>
          <w:rFonts w:hint="eastAsia" w:ascii="仿宋_GB2312" w:hAnsi="仿宋_GB2312" w:eastAsia="仿宋_GB2312" w:cs="仿宋_GB2312"/>
          <w:color w:val="auto"/>
          <w:szCs w:val="24"/>
        </w:rPr>
      </w:pPr>
    </w:p>
    <w:p>
      <w:pPr>
        <w:snapToGrid w:val="0"/>
        <w:spacing w:line="360" w:lineRule="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负  责  人：                              负  责  人：</w:t>
      </w:r>
    </w:p>
    <w:p>
      <w:pPr>
        <w:snapToGrid w:val="0"/>
        <w:spacing w:line="360" w:lineRule="auto"/>
        <w:rPr>
          <w:rFonts w:hint="eastAsia" w:ascii="仿宋_GB2312" w:hAnsi="仿宋_GB2312" w:eastAsia="仿宋_GB2312" w:cs="仿宋_GB2312"/>
          <w:color w:val="auto"/>
          <w:szCs w:val="24"/>
        </w:rPr>
      </w:pPr>
    </w:p>
    <w:p>
      <w:pPr>
        <w:snapToGrid w:val="0"/>
        <w:spacing w:line="360" w:lineRule="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 xml:space="preserve">日      期：                              日      期：                             </w:t>
      </w:r>
    </w:p>
    <w:p>
      <w:pPr>
        <w:snapToGrid w:val="0"/>
        <w:spacing w:line="360" w:lineRule="auto"/>
        <w:rPr>
          <w:rFonts w:hint="eastAsia" w:ascii="仿宋_GB2312" w:hAnsi="仿宋_GB2312" w:eastAsia="仿宋_GB2312" w:cs="仿宋_GB2312"/>
          <w:color w:val="auto"/>
          <w:szCs w:val="24"/>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r>
        <w:rPr>
          <w:rFonts w:hint="eastAsia"/>
          <w:b/>
          <w:color w:val="auto"/>
          <w:sz w:val="18"/>
          <w:szCs w:val="18"/>
        </w:rPr>
        <w:t>附件1</w:t>
      </w:r>
    </w:p>
    <w:p>
      <w:pPr>
        <w:spacing w:line="440" w:lineRule="exact"/>
        <w:jc w:val="center"/>
        <w:rPr>
          <w:rFonts w:hint="eastAsia" w:ascii="仿宋" w:hAnsi="仿宋" w:eastAsia="仿宋" w:cs="仿宋"/>
          <w:b/>
          <w:color w:val="auto"/>
          <w:sz w:val="24"/>
          <w:szCs w:val="24"/>
        </w:rPr>
      </w:pPr>
      <w:r>
        <w:rPr>
          <w:rFonts w:hint="eastAsia" w:ascii="仿宋_GB2312" w:eastAsia="仿宋_GB2312"/>
          <w:b/>
          <w:color w:val="auto"/>
          <w:sz w:val="24"/>
          <w:szCs w:val="24"/>
        </w:rPr>
        <w:t>朝阳区平原生态林、乡自管公园绿地管护项目廉政责任书</w:t>
      </w:r>
    </w:p>
    <w:p>
      <w:pPr>
        <w:jc w:val="center"/>
        <w:rPr>
          <w:rFonts w:hint="eastAsia" w:ascii="仿宋" w:hAnsi="仿宋" w:eastAsia="仿宋" w:cs="仿宋"/>
          <w:color w:val="auto"/>
          <w:spacing w:val="10"/>
          <w:sz w:val="10"/>
          <w:szCs w:val="10"/>
        </w:rPr>
      </w:pP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项目名称：</w:t>
      </w:r>
      <w:r>
        <w:rPr>
          <w:rFonts w:hint="eastAsia" w:ascii="宋体" w:hAnsi="宋体" w:eastAsia="宋体" w:cs="宋体"/>
          <w:b/>
          <w:bCs/>
          <w:color w:val="auto"/>
          <w:u w:val="single"/>
        </w:rPr>
        <w:t>2020年管庄乡平原生态林、自管绿化片林养护项目</w:t>
      </w: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项目地址：</w:t>
      </w:r>
      <w:r>
        <w:rPr>
          <w:rFonts w:hint="eastAsia" w:ascii="仿宋" w:hAnsi="仿宋" w:eastAsia="仿宋" w:cs="仿宋"/>
          <w:b/>
          <w:color w:val="auto"/>
          <w:szCs w:val="21"/>
          <w:u w:val="single"/>
        </w:rPr>
        <w:t xml:space="preserve"> </w:t>
      </w:r>
      <w:r>
        <w:rPr>
          <w:rFonts w:hint="eastAsia" w:ascii="宋体" w:hAnsi="宋体" w:eastAsia="宋体" w:cs="宋体"/>
          <w:b/>
          <w:color w:val="auto"/>
          <w:szCs w:val="21"/>
          <w:u w:val="single"/>
        </w:rPr>
        <w:t>朝阳区管庄乡</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u w:val="single"/>
          <w:lang w:val="en-US" w:eastAsia="zh-CN"/>
        </w:rPr>
        <w:t xml:space="preserve">    </w:t>
      </w:r>
      <w:r>
        <w:rPr>
          <w:rFonts w:hint="eastAsia" w:ascii="仿宋" w:hAnsi="仿宋" w:eastAsia="仿宋" w:cs="仿宋"/>
          <w:b/>
          <w:color w:val="auto"/>
          <w:szCs w:val="21"/>
          <w:u w:val="single"/>
        </w:rPr>
        <w:t xml:space="preserve">    </w:t>
      </w: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发包人（甲方）：</w:t>
      </w:r>
      <w:r>
        <w:rPr>
          <w:rFonts w:hint="eastAsia" w:ascii="仿宋" w:hAnsi="仿宋" w:eastAsia="仿宋" w:cs="仿宋"/>
          <w:b/>
          <w:color w:val="auto"/>
          <w:szCs w:val="21"/>
          <w:u w:val="single"/>
        </w:rPr>
        <w:t xml:space="preserve"> </w:t>
      </w:r>
      <w:r>
        <w:rPr>
          <w:rFonts w:hint="eastAsia" w:ascii="宋体" w:hAnsi="宋体" w:eastAsia="宋体" w:cs="宋体"/>
          <w:b/>
          <w:color w:val="auto"/>
          <w:szCs w:val="21"/>
          <w:u w:val="single"/>
          <w:lang w:eastAsia="zh-CN"/>
        </w:rPr>
        <w:t>北京市朝阳区</w:t>
      </w:r>
      <w:r>
        <w:rPr>
          <w:rFonts w:hint="eastAsia" w:ascii="宋体" w:hAnsi="宋体" w:eastAsia="宋体" w:cs="宋体"/>
          <w:b/>
          <w:color w:val="auto"/>
          <w:szCs w:val="21"/>
          <w:u w:val="single"/>
        </w:rPr>
        <w:t>管庄</w:t>
      </w:r>
      <w:r>
        <w:rPr>
          <w:rFonts w:hint="eastAsia" w:eastAsia="宋体" w:cs="宋体"/>
          <w:b/>
          <w:color w:val="auto"/>
          <w:szCs w:val="21"/>
          <w:u w:val="single"/>
          <w:lang w:eastAsia="zh-CN"/>
        </w:rPr>
        <w:t>乡人民政府</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u w:val="single"/>
          <w:lang w:val="en-US" w:eastAsia="zh-CN"/>
        </w:rPr>
        <w:t xml:space="preserve">    </w:t>
      </w:r>
      <w:r>
        <w:rPr>
          <w:rFonts w:hint="eastAsia" w:ascii="仿宋" w:hAnsi="仿宋" w:eastAsia="仿宋" w:cs="仿宋"/>
          <w:b/>
          <w:color w:val="auto"/>
          <w:szCs w:val="21"/>
          <w:u w:val="single"/>
        </w:rPr>
        <w:t xml:space="preserve">      </w:t>
      </w: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承包人（乙方）：</w:t>
      </w:r>
      <w:r>
        <w:rPr>
          <w:rFonts w:hint="eastAsia" w:ascii="仿宋" w:hAnsi="仿宋" w:eastAsia="仿宋" w:cs="仿宋"/>
          <w:b/>
          <w:color w:val="auto"/>
          <w:szCs w:val="21"/>
          <w:u w:val="single"/>
          <w:lang w:val="en-US" w:eastAsia="zh-CN"/>
        </w:rPr>
        <w:t xml:space="preserve"> </w:t>
      </w:r>
      <w:r>
        <w:rPr>
          <w:rFonts w:hint="eastAsia" w:eastAsia="宋体" w:cs="宋体"/>
          <w:b/>
          <w:color w:val="auto"/>
          <w:szCs w:val="21"/>
          <w:u w:val="single"/>
          <w:lang w:val="en-US" w:eastAsia="zh-CN"/>
        </w:rPr>
        <w:t xml:space="preserve">                               </w:t>
      </w:r>
      <w:r>
        <w:rPr>
          <w:rFonts w:hint="eastAsia" w:ascii="仿宋" w:hAnsi="仿宋" w:eastAsia="仿宋" w:cs="仿宋"/>
          <w:b/>
          <w:color w:val="auto"/>
          <w:szCs w:val="21"/>
          <w:u w:val="single"/>
          <w:lang w:val="en-US" w:eastAsia="zh-CN"/>
        </w:rPr>
        <w:t xml:space="preserve"> </w:t>
      </w:r>
      <w:r>
        <w:rPr>
          <w:rFonts w:hint="eastAsia" w:ascii="仿宋_GB2312" w:hAnsi="仿宋_GB2312" w:eastAsia="仿宋_GB2312" w:cs="仿宋_GB2312"/>
          <w:b/>
          <w:color w:val="auto"/>
          <w:szCs w:val="24"/>
          <w:u w:val="single"/>
          <w:lang w:val="en-US" w:eastAsia="zh-CN"/>
        </w:rPr>
        <w:t xml:space="preserve"> </w:t>
      </w:r>
      <w:r>
        <w:rPr>
          <w:rFonts w:hint="eastAsia" w:ascii="仿宋" w:hAnsi="仿宋" w:eastAsia="仿宋" w:cs="仿宋"/>
          <w:b/>
          <w:color w:val="auto"/>
          <w:szCs w:val="21"/>
          <w:u w:val="single"/>
        </w:rPr>
        <w:t xml:space="preserve">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为加强养护管理建设中的廉政建设，规范养护管理项目承发包双方的各项活动，防止发生各种谋取不正当利益的违法违纪行为，保护国家、集体和当事人的合法权益，根据国家有关工程建设的法律法规和廉政建设责任制规定，特订立本廉政责任书。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第一条  甲乙双方的责任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（一）应严格遵守国家关于市场准入、项目招标投标、工程建设、施工安装、养护管理和市场活动的有关法律、法规，相关政策，以及廉政建设的各项规定。</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（二）严格执行养护管理项目承发包合同文件，自觉按合同办事。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（三）业务活动必须坚持公开、公平、公正、诚信、透明的原则（除法律法规另有规定者外），不得为获取不正当的利益，损害国家、集体和对方利益，不得违反工程建设管理、施工安装、养护管理的规章制度。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（四）发现对方在业务活动中有违规、违纪、违法行为的，应及时提醒对方，情节严重的，应向其上级主管部门或纪检监察、司法等有关机关举报。</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第二条 甲方的责任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甲方的领导和从事该养护管理项目的工作人员，在养护管理的事前、事中、事后应遵守以下规定：</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（一）不准向乙方和相关单位索要或接受回扣、礼金、有价证券、贵重物品和好处费、感谢费等。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（二）不准在乙方和相关单位报销任何应由甲方或个人支付的费用。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（三）不准要求、暗示或接受乙方和相关单位为个人装修住房、婚丧嫁娶、配偶子女的工作安排以及出国（境）、旅游等提供方便。</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（四）不准参加有可能影响公正执行公务的乙方和相关单位的宴请、健身、娱乐等活动。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五）不准向乙方介绍或为配偶、子女、亲属参与同甲方养护管理项目合同有关的设备、材料工程分包、劳务等经济活动。不得以任何理由要求乙方和相关单位推荐分包单位和要求乙方购买养护管理项目合同约定以外的材料、设备等。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第三条 乙方的责任</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应与甲方保持正常的业务交往，按照有关法律法规和程序开展业务工作，严格执行工程建设、养护管理的有关方针、政策，尤其是有关建筑施工安装、养护管理的强制性标准和规范，并遵守以下规定：</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（一）不准以任何理由向甲方、相关单位及其工作人员索要、接受或赠送礼金、有价证券、贵重物品和回扣、好处费、感谢费等。</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（二）不准以任何理由为甲方和相关单位报销应由对方或个人支付的费用。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（三）不准接受或暗示为甲方、相关单位或个人装修住房、婚丧嫁娶、配偶子女的工作安排以及出国（境）、旅游等提供方便。</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（四）不准以任何理由为甲方、相关单位或个人组织有可能影响公正执行公务的宴请、健身、娱乐等活动。</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第四条  违约责任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 xml:space="preserve">    第五条  本责任书作为养护管理合同的附件，与养护管理合同具有同等法律效力。经双方签署后立即生效。 </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第六条  本责任书的有效期为双方签署之日起至该项目竣工验收合格时止。</w:t>
      </w:r>
    </w:p>
    <w:p>
      <w:pPr>
        <w:keepNext w:val="0"/>
        <w:keepLines w:val="0"/>
        <w:pageBreakBefore w:val="0"/>
        <w:widowControl/>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color w:val="auto"/>
          <w:sz w:val="21"/>
          <w:szCs w:val="21"/>
        </w:rPr>
      </w:pPr>
      <w:r>
        <w:rPr>
          <w:rFonts w:hint="eastAsia" w:ascii="仿宋" w:hAnsi="仿宋" w:eastAsia="仿宋" w:cs="仿宋"/>
          <w:color w:val="auto"/>
          <w:sz w:val="21"/>
          <w:szCs w:val="21"/>
        </w:rPr>
        <w:t>第七条  本责任书一式六份，由甲乙双方各执两份，送交甲乙双方的监督单位各一份。</w:t>
      </w:r>
    </w:p>
    <w:p>
      <w:pPr>
        <w:spacing w:line="400" w:lineRule="exact"/>
        <w:ind w:firstLine="420" w:firstLineChars="200"/>
        <w:rPr>
          <w:rFonts w:hint="eastAsia" w:ascii="仿宋" w:hAnsi="仿宋" w:eastAsia="仿宋" w:cs="仿宋"/>
          <w:color w:val="auto"/>
          <w:sz w:val="21"/>
          <w:szCs w:val="21"/>
        </w:rPr>
      </w:pPr>
    </w:p>
    <w:p>
      <w:pPr>
        <w:spacing w:line="400" w:lineRule="exact"/>
        <w:ind w:firstLine="420" w:firstLineChars="200"/>
        <w:rPr>
          <w:rFonts w:hint="eastAsia" w:ascii="仿宋" w:hAnsi="仿宋" w:eastAsia="仿宋" w:cs="仿宋"/>
          <w:color w:val="auto"/>
          <w:sz w:val="21"/>
          <w:szCs w:val="21"/>
        </w:rPr>
      </w:pPr>
    </w:p>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甲方单位：（盖章）                   乙方单位：（盖章）</w:t>
      </w:r>
    </w:p>
    <w:p>
      <w:pPr>
        <w:spacing w:line="400" w:lineRule="exact"/>
        <w:rPr>
          <w:rFonts w:hint="eastAsia" w:ascii="仿宋" w:hAnsi="仿宋" w:eastAsia="仿宋" w:cs="仿宋"/>
          <w:color w:val="auto"/>
          <w:sz w:val="21"/>
          <w:szCs w:val="21"/>
        </w:rPr>
      </w:pPr>
    </w:p>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法定代表人</w:t>
      </w:r>
      <w:r>
        <w:rPr>
          <w:rFonts w:hint="eastAsia" w:ascii="仿宋" w:hAnsi="仿宋" w:eastAsia="仿宋" w:cs="仿宋"/>
          <w:color w:val="auto"/>
          <w:sz w:val="21"/>
          <w:szCs w:val="21"/>
          <w:lang w:val="en-US" w:eastAsia="zh-CN"/>
        </w:rPr>
        <w:t xml:space="preserve">                           </w:t>
      </w:r>
      <w:r>
        <w:rPr>
          <w:rFonts w:hint="eastAsia" w:ascii="仿宋" w:hAnsi="仿宋" w:eastAsia="仿宋" w:cs="仿宋"/>
          <w:color w:val="auto"/>
          <w:sz w:val="21"/>
          <w:szCs w:val="21"/>
        </w:rPr>
        <w:t>法定代表人</w:t>
      </w:r>
    </w:p>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lang w:eastAsia="zh-CN"/>
        </w:rPr>
        <w:t>或授权代理人</w:t>
      </w:r>
      <w:r>
        <w:rPr>
          <w:rFonts w:hint="eastAsia" w:ascii="仿宋" w:hAnsi="仿宋" w:eastAsia="仿宋" w:cs="仿宋"/>
          <w:color w:val="auto"/>
          <w:sz w:val="21"/>
          <w:szCs w:val="21"/>
        </w:rPr>
        <w:t xml:space="preserve">（签字或盖章）：         </w:t>
      </w:r>
      <w:r>
        <w:rPr>
          <w:rFonts w:hint="eastAsia" w:ascii="仿宋" w:hAnsi="仿宋" w:eastAsia="仿宋" w:cs="仿宋"/>
          <w:color w:val="auto"/>
          <w:sz w:val="21"/>
          <w:szCs w:val="21"/>
          <w:lang w:eastAsia="zh-CN"/>
        </w:rPr>
        <w:t>或授权代理人</w:t>
      </w:r>
      <w:r>
        <w:rPr>
          <w:rFonts w:hint="eastAsia" w:ascii="仿宋" w:hAnsi="仿宋" w:eastAsia="仿宋" w:cs="仿宋"/>
          <w:color w:val="auto"/>
          <w:sz w:val="21"/>
          <w:szCs w:val="21"/>
        </w:rPr>
        <w:t>（签字或盖章）：</w:t>
      </w:r>
    </w:p>
    <w:p>
      <w:pPr>
        <w:spacing w:line="400" w:lineRule="exact"/>
        <w:rPr>
          <w:rFonts w:hint="eastAsia" w:ascii="仿宋" w:hAnsi="仿宋" w:eastAsia="仿宋" w:cs="仿宋"/>
          <w:color w:val="auto"/>
          <w:sz w:val="21"/>
          <w:szCs w:val="21"/>
        </w:rPr>
      </w:pPr>
    </w:p>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年    月   日                       年    月   日</w:t>
      </w:r>
    </w:p>
    <w:p>
      <w:pPr>
        <w:spacing w:line="400" w:lineRule="exact"/>
        <w:rPr>
          <w:rFonts w:hint="eastAsia" w:ascii="仿宋" w:hAnsi="仿宋" w:eastAsia="仿宋" w:cs="仿宋"/>
          <w:color w:val="auto"/>
          <w:sz w:val="21"/>
          <w:szCs w:val="21"/>
        </w:rPr>
      </w:pPr>
    </w:p>
    <w:p>
      <w:pPr>
        <w:spacing w:line="400" w:lineRule="exact"/>
        <w:rPr>
          <w:rFonts w:hint="eastAsia" w:ascii="仿宋" w:hAnsi="仿宋" w:eastAsia="仿宋" w:cs="仿宋"/>
          <w:color w:val="auto"/>
          <w:sz w:val="21"/>
          <w:szCs w:val="21"/>
        </w:rPr>
      </w:pPr>
      <w:r>
        <w:rPr>
          <w:rFonts w:hint="eastAsia" w:ascii="仿宋" w:hAnsi="仿宋" w:eastAsia="仿宋" w:cs="仿宋"/>
          <w:color w:val="auto"/>
          <w:sz w:val="21"/>
          <w:szCs w:val="21"/>
        </w:rPr>
        <w:t>甲方监督单位（盖章）                乙方监督单位（盖章）</w:t>
      </w:r>
    </w:p>
    <w:p>
      <w:pPr>
        <w:spacing w:line="400" w:lineRule="exact"/>
        <w:rPr>
          <w:rFonts w:hint="eastAsia" w:ascii="仿宋" w:hAnsi="仿宋" w:eastAsia="仿宋" w:cs="仿宋"/>
          <w:color w:val="auto"/>
          <w:sz w:val="21"/>
          <w:szCs w:val="21"/>
        </w:rPr>
      </w:pPr>
    </w:p>
    <w:p>
      <w:pPr>
        <w:spacing w:line="400" w:lineRule="exact"/>
        <w:rPr>
          <w:rFonts w:hint="eastAsia"/>
          <w:b/>
          <w:color w:val="auto"/>
          <w:sz w:val="18"/>
          <w:szCs w:val="18"/>
        </w:rPr>
      </w:pPr>
      <w:r>
        <w:rPr>
          <w:rFonts w:hint="eastAsia" w:ascii="仿宋" w:hAnsi="仿宋" w:eastAsia="仿宋" w:cs="仿宋"/>
          <w:color w:val="auto"/>
          <w:sz w:val="21"/>
          <w:szCs w:val="21"/>
        </w:rPr>
        <w:t>年    月   日                       年    月   日</w:t>
      </w:r>
    </w:p>
    <w:p>
      <w:pPr>
        <w:spacing w:line="440" w:lineRule="exact"/>
        <w:jc w:val="both"/>
        <w:rPr>
          <w:rFonts w:hint="eastAsia"/>
          <w:b/>
          <w:color w:val="auto"/>
          <w:sz w:val="18"/>
          <w:szCs w:val="18"/>
        </w:rPr>
      </w:pPr>
      <w:r>
        <w:rPr>
          <w:rFonts w:hint="eastAsia"/>
          <w:b/>
          <w:color w:val="auto"/>
          <w:sz w:val="18"/>
          <w:szCs w:val="18"/>
        </w:rPr>
        <w:t>附件2</w:t>
      </w:r>
    </w:p>
    <w:p>
      <w:pPr>
        <w:jc w:val="center"/>
        <w:rPr>
          <w:rFonts w:hint="eastAsia" w:ascii="仿宋_GB2312" w:hAnsi="仿宋_GB2312" w:eastAsia="仿宋_GB2312" w:cs="仿宋_GB2312"/>
          <w:b/>
          <w:color w:val="auto"/>
          <w:sz w:val="24"/>
          <w:szCs w:val="24"/>
        </w:rPr>
      </w:pPr>
      <w:r>
        <w:rPr>
          <w:rFonts w:hint="eastAsia" w:ascii="仿宋_GB2312" w:hAnsi="仿宋_GB2312" w:eastAsia="仿宋_GB2312" w:cs="仿宋_GB2312"/>
          <w:b/>
          <w:color w:val="auto"/>
          <w:sz w:val="24"/>
          <w:szCs w:val="24"/>
        </w:rPr>
        <w:t>朝阳区平原生态林、乡自管公园绿地管护项目安全生产协议书</w:t>
      </w:r>
    </w:p>
    <w:p>
      <w:pPr>
        <w:jc w:val="center"/>
        <w:rPr>
          <w:rFonts w:hint="eastAsia" w:ascii="仿宋_GB2312" w:hAnsi="仿宋_GB2312" w:eastAsia="仿宋_GB2312" w:cs="仿宋_GB2312"/>
          <w:b/>
          <w:color w:val="auto"/>
          <w:sz w:val="24"/>
          <w:szCs w:val="24"/>
        </w:rPr>
      </w:pP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项目名称：</w:t>
      </w:r>
      <w:r>
        <w:rPr>
          <w:rFonts w:hint="eastAsia" w:ascii="宋体" w:hAnsi="宋体" w:eastAsia="宋体" w:cs="宋体"/>
          <w:b/>
          <w:bCs/>
          <w:color w:val="auto"/>
          <w:u w:val="single"/>
        </w:rPr>
        <w:t>2020年管庄乡平原生态林、自管绿化片林养护项目</w:t>
      </w:r>
      <w:r>
        <w:rPr>
          <w:rFonts w:hint="eastAsia" w:ascii="宋体" w:hAnsi="宋体" w:eastAsia="宋体" w:cs="宋体"/>
          <w:b/>
          <w:color w:val="auto"/>
          <w:szCs w:val="21"/>
          <w:u w:val="single"/>
        </w:rPr>
        <w:t xml:space="preserve"> </w:t>
      </w: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项目地址：</w:t>
      </w:r>
      <w:r>
        <w:rPr>
          <w:rFonts w:hint="eastAsia" w:ascii="仿宋" w:hAnsi="仿宋" w:eastAsia="仿宋" w:cs="仿宋"/>
          <w:b/>
          <w:color w:val="auto"/>
          <w:szCs w:val="21"/>
          <w:u w:val="single"/>
        </w:rPr>
        <w:t xml:space="preserve"> </w:t>
      </w:r>
      <w:r>
        <w:rPr>
          <w:rFonts w:hint="eastAsia" w:ascii="宋体" w:hAnsi="宋体" w:eastAsia="宋体" w:cs="宋体"/>
          <w:b/>
          <w:color w:val="auto"/>
          <w:szCs w:val="21"/>
          <w:u w:val="single"/>
        </w:rPr>
        <w:t>朝阳区管庄乡</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u w:val="single"/>
          <w:lang w:val="en-US" w:eastAsia="zh-CN"/>
        </w:rPr>
        <w:t xml:space="preserve">    </w:t>
      </w:r>
      <w:r>
        <w:rPr>
          <w:rFonts w:hint="eastAsia" w:ascii="仿宋" w:hAnsi="仿宋" w:eastAsia="仿宋" w:cs="仿宋"/>
          <w:b/>
          <w:color w:val="auto"/>
          <w:szCs w:val="21"/>
          <w:u w:val="single"/>
        </w:rPr>
        <w:t xml:space="preserve">    </w:t>
      </w:r>
    </w:p>
    <w:p>
      <w:pPr>
        <w:rPr>
          <w:rFonts w:hint="eastAsia" w:ascii="仿宋" w:hAnsi="仿宋" w:eastAsia="仿宋" w:cs="仿宋"/>
          <w:b/>
          <w:color w:val="auto"/>
          <w:szCs w:val="21"/>
          <w:u w:val="single"/>
        </w:rPr>
      </w:pPr>
      <w:r>
        <w:rPr>
          <w:rFonts w:hint="eastAsia" w:ascii="仿宋" w:hAnsi="仿宋" w:eastAsia="仿宋" w:cs="仿宋"/>
          <w:b/>
          <w:color w:val="auto"/>
          <w:szCs w:val="21"/>
        </w:rPr>
        <w:t>发包人（甲方）：</w:t>
      </w:r>
      <w:r>
        <w:rPr>
          <w:rFonts w:hint="eastAsia" w:ascii="仿宋" w:hAnsi="仿宋" w:eastAsia="仿宋" w:cs="仿宋"/>
          <w:b/>
          <w:color w:val="auto"/>
          <w:szCs w:val="21"/>
          <w:u w:val="single"/>
        </w:rPr>
        <w:t xml:space="preserve"> </w:t>
      </w:r>
      <w:r>
        <w:rPr>
          <w:rFonts w:hint="eastAsia" w:ascii="宋体" w:hAnsi="宋体" w:eastAsia="宋体" w:cs="宋体"/>
          <w:b/>
          <w:color w:val="auto"/>
          <w:szCs w:val="21"/>
          <w:u w:val="single"/>
          <w:lang w:eastAsia="zh-CN"/>
        </w:rPr>
        <w:t>北京朝阳区</w:t>
      </w:r>
      <w:r>
        <w:rPr>
          <w:rFonts w:hint="eastAsia" w:ascii="宋体" w:hAnsi="宋体" w:eastAsia="宋体" w:cs="宋体"/>
          <w:b/>
          <w:color w:val="auto"/>
          <w:szCs w:val="21"/>
          <w:u w:val="single"/>
        </w:rPr>
        <w:t>管庄</w:t>
      </w:r>
      <w:r>
        <w:rPr>
          <w:rFonts w:hint="eastAsia" w:eastAsia="宋体" w:cs="宋体"/>
          <w:b/>
          <w:color w:val="auto"/>
          <w:szCs w:val="21"/>
          <w:u w:val="single"/>
          <w:lang w:eastAsia="zh-CN"/>
        </w:rPr>
        <w:t>乡人民政府</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u w:val="single"/>
          <w:lang w:val="en-US" w:eastAsia="zh-CN"/>
        </w:rPr>
        <w:t xml:space="preserve">      </w:t>
      </w:r>
      <w:r>
        <w:rPr>
          <w:rFonts w:hint="eastAsia" w:ascii="仿宋" w:hAnsi="仿宋" w:eastAsia="仿宋" w:cs="仿宋"/>
          <w:b/>
          <w:color w:val="auto"/>
          <w:szCs w:val="21"/>
          <w:u w:val="single"/>
        </w:rPr>
        <w:t xml:space="preserve"> </w:t>
      </w:r>
    </w:p>
    <w:p>
      <w:pPr>
        <w:rPr>
          <w:rFonts w:hint="eastAsia" w:ascii="仿宋" w:hAnsi="仿宋" w:eastAsia="仿宋" w:cs="仿宋"/>
          <w:color w:val="auto"/>
          <w:szCs w:val="24"/>
          <w:lang w:val="en-US" w:eastAsia="zh-CN"/>
        </w:rPr>
      </w:pPr>
      <w:r>
        <w:rPr>
          <w:rFonts w:hint="eastAsia" w:ascii="仿宋" w:hAnsi="仿宋" w:eastAsia="仿宋" w:cs="仿宋"/>
          <w:color w:val="auto"/>
          <w:szCs w:val="24"/>
        </w:rPr>
        <w:t>（以下称为“甲方”）</w:t>
      </w:r>
      <w:r>
        <w:rPr>
          <w:rFonts w:hint="eastAsia" w:ascii="仿宋" w:hAnsi="仿宋" w:eastAsia="仿宋" w:cs="仿宋"/>
          <w:color w:val="auto"/>
          <w:szCs w:val="24"/>
          <w:lang w:val="en-US" w:eastAsia="zh-CN"/>
        </w:rPr>
        <w:t xml:space="preserve"> </w:t>
      </w: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承包人（乙方）：</w:t>
      </w:r>
      <w:r>
        <w:rPr>
          <w:rFonts w:hint="eastAsia" w:eastAsia="宋体" w:cs="宋体"/>
          <w:b/>
          <w:color w:val="auto"/>
          <w:szCs w:val="21"/>
          <w:u w:val="single"/>
          <w:lang w:val="en-US" w:eastAsia="zh-CN"/>
        </w:rPr>
        <w:t xml:space="preserve">                                  </w:t>
      </w:r>
      <w:r>
        <w:rPr>
          <w:rFonts w:hint="eastAsia" w:ascii="仿宋" w:hAnsi="仿宋" w:eastAsia="仿宋" w:cs="仿宋"/>
          <w:b/>
          <w:color w:val="auto"/>
          <w:szCs w:val="21"/>
          <w:u w:val="single"/>
          <w:lang w:val="en-US" w:eastAsia="zh-CN"/>
        </w:rPr>
        <w:t xml:space="preserve">    </w:t>
      </w:r>
      <w:r>
        <w:rPr>
          <w:rFonts w:hint="eastAsia" w:ascii="仿宋" w:hAnsi="仿宋" w:eastAsia="仿宋" w:cs="仿宋"/>
          <w:b/>
          <w:color w:val="auto"/>
          <w:szCs w:val="21"/>
          <w:u w:val="single"/>
        </w:rPr>
        <w:t xml:space="preserve">  </w:t>
      </w:r>
    </w:p>
    <w:p>
      <w:pPr>
        <w:rPr>
          <w:rFonts w:hint="eastAsia" w:ascii="仿宋" w:hAnsi="仿宋" w:eastAsia="仿宋" w:cs="仿宋"/>
          <w:color w:val="auto"/>
          <w:szCs w:val="24"/>
        </w:rPr>
      </w:pPr>
      <w:r>
        <w:rPr>
          <w:rFonts w:hint="eastAsia" w:ascii="仿宋" w:hAnsi="仿宋" w:eastAsia="仿宋" w:cs="仿宋"/>
          <w:color w:val="auto"/>
          <w:szCs w:val="24"/>
        </w:rPr>
        <w:t>（以下称“乙方”）</w:t>
      </w:r>
    </w:p>
    <w:p>
      <w:pPr>
        <w:keepNext w:val="0"/>
        <w:keepLines w:val="0"/>
        <w:pageBreakBefore w:val="0"/>
        <w:widowControl/>
        <w:kinsoku/>
        <w:wordWrap/>
        <w:overflowPunct/>
        <w:topLinePunct w:val="0"/>
        <w:autoSpaceDE/>
        <w:autoSpaceDN/>
        <w:bidi w:val="0"/>
        <w:adjustRightInd/>
        <w:snapToGrid/>
        <w:spacing w:line="400" w:lineRule="exact"/>
        <w:ind w:firstLine="495" w:firstLineChars="225"/>
        <w:textAlignment w:val="auto"/>
        <w:rPr>
          <w:rFonts w:hint="eastAsia" w:ascii="仿宋" w:hAnsi="仿宋" w:eastAsia="仿宋" w:cs="仿宋"/>
          <w:color w:val="auto"/>
          <w:szCs w:val="24"/>
        </w:rPr>
      </w:pPr>
      <w:r>
        <w:rPr>
          <w:rFonts w:hint="eastAsia" w:ascii="仿宋" w:hAnsi="仿宋" w:eastAsia="仿宋" w:cs="仿宋"/>
          <w:color w:val="auto"/>
          <w:szCs w:val="24"/>
        </w:rPr>
        <w:t>为贯彻“安全第一，预防为主”的方针，确保工程的施工安全，按照国家、北京市的有关法规和政策，甲、乙双方经充分协商，特签订本安全生产协议书。</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一、本安全生产协议书与承包工程合同书具有同等效力。</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二、乙方的法定代表人、项目经理、安全生产负责人、工地的现场安全员应对本工程安全生产工作各负其责。</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三、乙方施工手续齐全，具有相关部门的许可，方可进行施工。</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四、根据《北京市建设工程文明安全施工管理规定》的相关要求，甲方有权审查乙方安全管理体制是否符合市、区政府及有关部门的规定，有权向乙方提出安全施工的要求以及日常施工现场的督促检查。</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五、乙方在承包工程施工中，必须根据设计图纸和施工规范，针对工程特点落实相应的安全措施，健全安全管理体制，组织有关安全知识学习、安全教育等活动，建立各项安全操作规程、安全生产责任制和安全检查制度。</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六、乙方在施工中要认真执行《北京市建设工程施工现场管理办法》、《北京市建设工程施工现场安全防护基本标准》、《北京市建设工程施工现场管理基本标准》、《北京市建设工程施工现场环境保护工作基本标准》、《北京市建设工程施工现场保卫工作基本标准》、《北京市建设工程施工现场管理补充生活设施及卫生防疫管理标准》和《北京市建设工程施工现场文明安全施工补充标准》等文件的有关规定。甲方将严格执行上述各项标准作为施工过程中安全检查和安全奖惩的依据。</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七、乙方施工人员中的电工、焊工、起重吊运指挥、挂钩工等特殊工种必须按国家《特种作业人员安全技术培训考核管理规定》，持有劳动部门签发的有效操作证件上岗，严禁无证、违章操作；施工机具中的受压容器、电气设备必须具有符合安全要求的保护设施。</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八、乙方在施工过程中，必须注意对地下管线及周围绿化和地面构筑物的保护。乙方要采取合理施工方案严格施工工艺，严格控制地表沉降，加强对地下管线和地面构造物的监控量测，及时采取有效措施保证地下管线和地表构造物的安全。如遇有不明情况，应及时向有关部门联系，采取有效保护措施，在施工过程中造成的地下管线和地表构造物的损坏，由乙方承担全部责任。</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九、乙方在施工过程中，应认真组织审核发包人下发的施工图纸，并严格按审核后的施工图纸及相应的国家有关标准施工，不允许随意改变施工工艺和工法，否则出现的任何施工质量和安全问题将由乙方承担全部责任。</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十、若在施工过程中发生人员伤亡（含刑事案件）、火灾、爆炸等事故，乙方必须立即按有关规定及时上报甲方及其政府主管部门，事故责任以及事故损失均由乙方负责。</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十一、本协议未尽事宜，依据有关法规、规章处理，法规、规章没有明确规定的，经双方协商处理解决。</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十二、本协议自签订之日起生效。</w:t>
      </w:r>
    </w:p>
    <w:p>
      <w:pPr>
        <w:keepNext w:val="0"/>
        <w:keepLines w:val="0"/>
        <w:pageBreakBefore w:val="0"/>
        <w:widowControl/>
        <w:kinsoku/>
        <w:wordWrap/>
        <w:overflowPunct/>
        <w:topLinePunct w:val="0"/>
        <w:autoSpaceDE/>
        <w:autoSpaceDN/>
        <w:bidi w:val="0"/>
        <w:adjustRightInd/>
        <w:snapToGrid/>
        <w:spacing w:line="400" w:lineRule="exact"/>
        <w:ind w:firstLine="440" w:firstLineChars="200"/>
        <w:textAlignment w:val="auto"/>
        <w:rPr>
          <w:rFonts w:hint="eastAsia" w:ascii="仿宋" w:hAnsi="仿宋" w:eastAsia="仿宋" w:cs="仿宋"/>
          <w:color w:val="auto"/>
          <w:szCs w:val="24"/>
        </w:rPr>
      </w:pPr>
      <w:r>
        <w:rPr>
          <w:rFonts w:hint="eastAsia" w:ascii="仿宋" w:hAnsi="仿宋" w:eastAsia="仿宋" w:cs="仿宋"/>
          <w:color w:val="auto"/>
          <w:szCs w:val="24"/>
        </w:rPr>
        <w:t>十三、本责任书一式六份，甲乙双方各执三份。合同履行期间有效。</w:t>
      </w:r>
    </w:p>
    <w:p>
      <w:pPr>
        <w:ind w:firstLine="495" w:firstLineChars="225"/>
        <w:rPr>
          <w:rFonts w:hint="eastAsia" w:ascii="仿宋" w:hAnsi="仿宋" w:eastAsia="仿宋" w:cs="仿宋"/>
          <w:color w:val="auto"/>
          <w:szCs w:val="24"/>
        </w:rPr>
      </w:pPr>
    </w:p>
    <w:p>
      <w:pPr>
        <w:ind w:firstLine="495" w:firstLineChars="225"/>
        <w:rPr>
          <w:rFonts w:hint="eastAsia" w:ascii="仿宋" w:hAnsi="仿宋" w:eastAsia="仿宋" w:cs="仿宋"/>
          <w:color w:val="auto"/>
          <w:szCs w:val="24"/>
        </w:rPr>
      </w:pPr>
    </w:p>
    <w:p>
      <w:pPr>
        <w:ind w:firstLine="495" w:firstLineChars="225"/>
        <w:rPr>
          <w:rFonts w:hint="eastAsia" w:ascii="仿宋" w:hAnsi="仿宋" w:eastAsia="仿宋" w:cs="仿宋"/>
          <w:color w:val="auto"/>
          <w:szCs w:val="24"/>
        </w:rPr>
      </w:pPr>
    </w:p>
    <w:p>
      <w:pPr>
        <w:ind w:firstLine="495" w:firstLineChars="225"/>
        <w:rPr>
          <w:rFonts w:hint="eastAsia" w:ascii="仿宋" w:hAnsi="仿宋" w:eastAsia="仿宋" w:cs="仿宋"/>
          <w:color w:val="auto"/>
          <w:szCs w:val="24"/>
        </w:rPr>
      </w:pPr>
    </w:p>
    <w:p>
      <w:pPr>
        <w:rPr>
          <w:rFonts w:hint="eastAsia" w:ascii="仿宋" w:hAnsi="仿宋" w:eastAsia="仿宋" w:cs="仿宋"/>
          <w:color w:val="auto"/>
          <w:szCs w:val="24"/>
        </w:rPr>
      </w:pPr>
      <w:r>
        <w:rPr>
          <w:rFonts w:hint="eastAsia" w:ascii="仿宋" w:hAnsi="仿宋" w:eastAsia="仿宋" w:cs="仿宋"/>
          <w:color w:val="auto"/>
          <w:szCs w:val="24"/>
        </w:rPr>
        <w:t xml:space="preserve">甲方：（盖章）                           乙方：（盖章）     </w:t>
      </w:r>
    </w:p>
    <w:p>
      <w:pPr>
        <w:ind w:firstLine="495" w:firstLineChars="225"/>
        <w:rPr>
          <w:rFonts w:hint="eastAsia" w:ascii="仿宋" w:hAnsi="仿宋" w:eastAsia="仿宋" w:cs="仿宋"/>
          <w:color w:val="auto"/>
          <w:szCs w:val="24"/>
        </w:rPr>
      </w:pPr>
      <w:r>
        <w:rPr>
          <w:rFonts w:hint="eastAsia" w:ascii="仿宋" w:hAnsi="仿宋" w:eastAsia="仿宋" w:cs="仿宋"/>
          <w:color w:val="auto"/>
          <w:szCs w:val="24"/>
        </w:rPr>
        <w:t xml:space="preserve">                     </w:t>
      </w:r>
    </w:p>
    <w:p>
      <w:pPr>
        <w:rPr>
          <w:rFonts w:hint="eastAsia" w:ascii="仿宋" w:hAnsi="仿宋" w:eastAsia="仿宋" w:cs="仿宋"/>
          <w:color w:val="auto"/>
          <w:szCs w:val="24"/>
          <w:lang w:eastAsia="zh-CN"/>
        </w:rPr>
      </w:pPr>
      <w:r>
        <w:rPr>
          <w:rFonts w:hint="eastAsia" w:ascii="仿宋" w:hAnsi="仿宋" w:eastAsia="仿宋" w:cs="仿宋"/>
          <w:color w:val="auto"/>
          <w:szCs w:val="24"/>
        </w:rPr>
        <w:t>法定代表</w:t>
      </w:r>
      <w:r>
        <w:rPr>
          <w:rFonts w:hint="eastAsia" w:ascii="仿宋" w:hAnsi="仿宋" w:eastAsia="仿宋" w:cs="仿宋"/>
          <w:color w:val="auto"/>
          <w:szCs w:val="24"/>
          <w:lang w:eastAsia="zh-CN"/>
        </w:rPr>
        <w:t>人</w:t>
      </w:r>
      <w:r>
        <w:rPr>
          <w:rFonts w:hint="eastAsia" w:ascii="仿宋" w:hAnsi="仿宋" w:eastAsia="仿宋" w:cs="仿宋"/>
          <w:color w:val="auto"/>
          <w:szCs w:val="24"/>
          <w:lang w:val="en-US" w:eastAsia="zh-CN"/>
        </w:rPr>
        <w:t xml:space="preserve">                               </w:t>
      </w:r>
      <w:r>
        <w:rPr>
          <w:rFonts w:hint="eastAsia" w:ascii="仿宋" w:hAnsi="仿宋" w:eastAsia="仿宋" w:cs="仿宋"/>
          <w:color w:val="auto"/>
          <w:szCs w:val="24"/>
        </w:rPr>
        <w:t>法定代表</w:t>
      </w:r>
      <w:r>
        <w:rPr>
          <w:rFonts w:hint="eastAsia" w:ascii="仿宋" w:hAnsi="仿宋" w:eastAsia="仿宋" w:cs="仿宋"/>
          <w:color w:val="auto"/>
          <w:szCs w:val="24"/>
          <w:lang w:eastAsia="zh-CN"/>
        </w:rPr>
        <w:t>人</w:t>
      </w:r>
    </w:p>
    <w:p>
      <w:pPr>
        <w:rPr>
          <w:rFonts w:hint="eastAsia" w:ascii="仿宋" w:hAnsi="仿宋" w:eastAsia="仿宋" w:cs="仿宋"/>
          <w:color w:val="auto"/>
          <w:szCs w:val="24"/>
        </w:rPr>
      </w:pPr>
      <w:r>
        <w:rPr>
          <w:rFonts w:hint="eastAsia" w:ascii="仿宋" w:hAnsi="仿宋" w:eastAsia="仿宋" w:cs="仿宋"/>
          <w:color w:val="auto"/>
          <w:szCs w:val="24"/>
        </w:rPr>
        <w:t>或授权委托人 （签字</w:t>
      </w:r>
      <w:r>
        <w:rPr>
          <w:rFonts w:hint="eastAsia" w:ascii="仿宋" w:hAnsi="仿宋" w:eastAsia="仿宋" w:cs="仿宋"/>
          <w:color w:val="auto"/>
          <w:szCs w:val="24"/>
          <w:lang w:eastAsia="zh-CN"/>
        </w:rPr>
        <w:t>或盖章</w:t>
      </w:r>
      <w:r>
        <w:rPr>
          <w:rFonts w:hint="eastAsia" w:ascii="仿宋" w:hAnsi="仿宋" w:eastAsia="仿宋" w:cs="仿宋"/>
          <w:color w:val="auto"/>
          <w:szCs w:val="24"/>
        </w:rPr>
        <w:t>）              或授权委托人（签字</w:t>
      </w:r>
      <w:r>
        <w:rPr>
          <w:rFonts w:hint="eastAsia" w:ascii="仿宋" w:hAnsi="仿宋" w:eastAsia="仿宋" w:cs="仿宋"/>
          <w:color w:val="auto"/>
          <w:szCs w:val="24"/>
          <w:lang w:eastAsia="zh-CN"/>
        </w:rPr>
        <w:t>或盖章</w:t>
      </w:r>
      <w:r>
        <w:rPr>
          <w:rFonts w:hint="eastAsia" w:ascii="仿宋" w:hAnsi="仿宋" w:eastAsia="仿宋" w:cs="仿宋"/>
          <w:color w:val="auto"/>
          <w:szCs w:val="24"/>
        </w:rPr>
        <w:t xml:space="preserve">）                          </w:t>
      </w:r>
    </w:p>
    <w:p>
      <w:pPr>
        <w:ind w:firstLine="495" w:firstLineChars="225"/>
        <w:rPr>
          <w:rFonts w:hint="eastAsia" w:ascii="仿宋" w:hAnsi="仿宋" w:eastAsia="仿宋" w:cs="仿宋"/>
          <w:color w:val="auto"/>
          <w:szCs w:val="24"/>
        </w:rPr>
      </w:pPr>
    </w:p>
    <w:p>
      <w:pPr>
        <w:rPr>
          <w:rFonts w:hint="eastAsia" w:ascii="仿宋" w:hAnsi="仿宋" w:eastAsia="仿宋" w:cs="仿宋"/>
          <w:color w:val="auto"/>
          <w:szCs w:val="24"/>
        </w:rPr>
      </w:pPr>
      <w:r>
        <w:rPr>
          <w:rFonts w:hint="eastAsia" w:ascii="仿宋" w:hAnsi="仿宋" w:eastAsia="仿宋" w:cs="仿宋"/>
          <w:color w:val="auto"/>
          <w:szCs w:val="24"/>
        </w:rPr>
        <w:t>年    月    日                             年    月    日</w:t>
      </w: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rPr>
          <w:rFonts w:hint="eastAsia" w:ascii="仿宋" w:hAnsi="仿宋" w:eastAsia="仿宋" w:cs="仿宋"/>
          <w:color w:val="auto"/>
          <w:szCs w:val="24"/>
        </w:rPr>
      </w:pPr>
    </w:p>
    <w:p>
      <w:pPr>
        <w:spacing w:line="440" w:lineRule="exact"/>
        <w:jc w:val="both"/>
        <w:rPr>
          <w:rFonts w:hint="eastAsia"/>
          <w:b/>
          <w:color w:val="auto"/>
          <w:sz w:val="36"/>
          <w:szCs w:val="36"/>
        </w:rPr>
      </w:pPr>
      <w:r>
        <w:rPr>
          <w:rFonts w:hint="eastAsia"/>
          <w:b/>
          <w:color w:val="auto"/>
          <w:sz w:val="18"/>
          <w:szCs w:val="18"/>
        </w:rPr>
        <w:t>附件3</w:t>
      </w:r>
    </w:p>
    <w:p>
      <w:pPr>
        <w:jc w:val="center"/>
        <w:rPr>
          <w:rFonts w:hint="eastAsia" w:ascii="仿宋_GB2312" w:hAnsi="仿宋_GB2312" w:eastAsia="仿宋_GB2312" w:cs="仿宋_GB2312"/>
          <w:b/>
          <w:color w:val="auto"/>
          <w:szCs w:val="24"/>
        </w:rPr>
      </w:pPr>
      <w:r>
        <w:rPr>
          <w:rFonts w:hint="eastAsia" w:ascii="仿宋_GB2312" w:hAnsi="仿宋_GB2312" w:eastAsia="仿宋_GB2312" w:cs="仿宋_GB2312"/>
          <w:b/>
          <w:color w:val="auto"/>
          <w:szCs w:val="24"/>
        </w:rPr>
        <w:t>朝阳区平原生态林、乡自管公园绿地管护项目防火责任书</w:t>
      </w:r>
    </w:p>
    <w:p>
      <w:pPr>
        <w:jc w:val="center"/>
        <w:rPr>
          <w:rFonts w:hint="eastAsia" w:ascii="仿宋_GB2312" w:hAnsi="仿宋_GB2312" w:eastAsia="仿宋_GB2312" w:cs="仿宋_GB2312"/>
          <w:b/>
          <w:color w:val="auto"/>
          <w:szCs w:val="24"/>
        </w:rPr>
      </w:pP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项目名称：</w:t>
      </w:r>
      <w:r>
        <w:rPr>
          <w:rFonts w:hint="eastAsia" w:ascii="宋体" w:hAnsi="宋体" w:eastAsia="宋体" w:cs="宋体"/>
          <w:b/>
          <w:bCs/>
          <w:color w:val="auto"/>
          <w:u w:val="single"/>
        </w:rPr>
        <w:t>2020年管庄乡平原生态林、自管绿化片林养护项目</w:t>
      </w:r>
      <w:r>
        <w:rPr>
          <w:rFonts w:hint="eastAsia" w:ascii="仿宋" w:hAnsi="仿宋" w:eastAsia="仿宋" w:cs="仿宋"/>
          <w:b/>
          <w:color w:val="auto"/>
          <w:szCs w:val="21"/>
          <w:u w:val="single"/>
        </w:rPr>
        <w:t xml:space="preserve">  </w:t>
      </w: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项目地址：</w:t>
      </w:r>
      <w:r>
        <w:rPr>
          <w:rFonts w:hint="eastAsia" w:ascii="仿宋" w:hAnsi="仿宋" w:eastAsia="仿宋" w:cs="仿宋"/>
          <w:b/>
          <w:color w:val="auto"/>
          <w:szCs w:val="21"/>
          <w:u w:val="single"/>
        </w:rPr>
        <w:t xml:space="preserve"> </w:t>
      </w:r>
      <w:r>
        <w:rPr>
          <w:rFonts w:hint="eastAsia" w:ascii="宋体" w:hAnsi="宋体" w:eastAsia="宋体" w:cs="宋体"/>
          <w:b/>
          <w:color w:val="auto"/>
          <w:szCs w:val="21"/>
          <w:u w:val="single"/>
        </w:rPr>
        <w:t xml:space="preserve">朝阳区管庄乡  </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u w:val="single"/>
          <w:lang w:val="en-US" w:eastAsia="zh-CN"/>
        </w:rPr>
        <w:t xml:space="preserve">    </w:t>
      </w:r>
      <w:r>
        <w:rPr>
          <w:rFonts w:hint="eastAsia" w:ascii="仿宋" w:hAnsi="仿宋" w:eastAsia="仿宋" w:cs="仿宋"/>
          <w:b/>
          <w:color w:val="auto"/>
          <w:szCs w:val="21"/>
          <w:u w:val="single"/>
        </w:rPr>
        <w:t xml:space="preserve"> </w:t>
      </w:r>
    </w:p>
    <w:p>
      <w:pPr>
        <w:rPr>
          <w:rFonts w:hint="eastAsia" w:ascii="仿宋" w:hAnsi="仿宋" w:eastAsia="仿宋" w:cs="仿宋"/>
          <w:b/>
          <w:color w:val="auto"/>
          <w:szCs w:val="21"/>
          <w:u w:val="single"/>
        </w:rPr>
      </w:pPr>
      <w:r>
        <w:rPr>
          <w:rFonts w:hint="eastAsia" w:ascii="仿宋" w:hAnsi="仿宋" w:eastAsia="仿宋" w:cs="仿宋"/>
          <w:b/>
          <w:color w:val="auto"/>
          <w:szCs w:val="21"/>
        </w:rPr>
        <w:t>发包人（甲方）：</w:t>
      </w:r>
      <w:r>
        <w:rPr>
          <w:rFonts w:hint="eastAsia" w:ascii="仿宋" w:hAnsi="仿宋" w:eastAsia="仿宋" w:cs="仿宋"/>
          <w:b/>
          <w:color w:val="auto"/>
          <w:szCs w:val="21"/>
          <w:u w:val="single"/>
        </w:rPr>
        <w:t xml:space="preserve"> </w:t>
      </w:r>
      <w:r>
        <w:rPr>
          <w:rFonts w:hint="eastAsia" w:ascii="宋体" w:hAnsi="宋体" w:eastAsia="宋体" w:cs="宋体"/>
          <w:b/>
          <w:color w:val="auto"/>
          <w:szCs w:val="21"/>
          <w:u w:val="single"/>
          <w:lang w:eastAsia="zh-CN"/>
        </w:rPr>
        <w:t>北京市朝阳区</w:t>
      </w:r>
      <w:r>
        <w:rPr>
          <w:rFonts w:hint="eastAsia" w:ascii="宋体" w:hAnsi="宋体" w:eastAsia="宋体" w:cs="宋体"/>
          <w:b/>
          <w:color w:val="auto"/>
          <w:szCs w:val="21"/>
          <w:u w:val="single"/>
        </w:rPr>
        <w:t>管庄</w:t>
      </w:r>
      <w:r>
        <w:rPr>
          <w:rFonts w:hint="eastAsia" w:eastAsia="宋体" w:cs="宋体"/>
          <w:b/>
          <w:color w:val="auto"/>
          <w:szCs w:val="21"/>
          <w:u w:val="single"/>
          <w:lang w:eastAsia="zh-CN"/>
        </w:rPr>
        <w:t>乡人民政府</w:t>
      </w:r>
      <w:r>
        <w:rPr>
          <w:rFonts w:hint="eastAsia" w:ascii="仿宋" w:hAnsi="仿宋" w:eastAsia="仿宋" w:cs="仿宋"/>
          <w:b/>
          <w:color w:val="auto"/>
          <w:szCs w:val="21"/>
          <w:u w:val="single"/>
        </w:rPr>
        <w:t xml:space="preserve">  </w:t>
      </w:r>
      <w:r>
        <w:rPr>
          <w:rFonts w:hint="eastAsia" w:ascii="仿宋" w:hAnsi="仿宋" w:eastAsia="仿宋" w:cs="仿宋"/>
          <w:b/>
          <w:color w:val="auto"/>
          <w:szCs w:val="21"/>
          <w:u w:val="single"/>
          <w:lang w:val="en-US" w:eastAsia="zh-CN"/>
        </w:rPr>
        <w:t xml:space="preserve">    </w:t>
      </w:r>
      <w:r>
        <w:rPr>
          <w:rFonts w:hint="eastAsia" w:ascii="仿宋" w:hAnsi="仿宋" w:eastAsia="仿宋" w:cs="仿宋"/>
          <w:b/>
          <w:color w:val="auto"/>
          <w:szCs w:val="21"/>
          <w:u w:val="single"/>
        </w:rPr>
        <w:t xml:space="preserve">       </w:t>
      </w:r>
    </w:p>
    <w:p>
      <w:pPr>
        <w:rPr>
          <w:rFonts w:hint="eastAsia" w:ascii="仿宋" w:hAnsi="仿宋" w:eastAsia="仿宋" w:cs="仿宋"/>
          <w:color w:val="auto"/>
          <w:szCs w:val="24"/>
        </w:rPr>
      </w:pPr>
      <w:r>
        <w:rPr>
          <w:rFonts w:hint="eastAsia" w:ascii="仿宋" w:hAnsi="仿宋" w:eastAsia="仿宋" w:cs="仿宋"/>
          <w:color w:val="auto"/>
          <w:szCs w:val="24"/>
        </w:rPr>
        <w:t>（以下称为“甲方”）</w:t>
      </w:r>
    </w:p>
    <w:p>
      <w:pPr>
        <w:spacing w:line="360" w:lineRule="auto"/>
        <w:rPr>
          <w:rFonts w:hint="eastAsia" w:ascii="仿宋" w:hAnsi="仿宋" w:eastAsia="仿宋" w:cs="仿宋"/>
          <w:b/>
          <w:color w:val="auto"/>
          <w:szCs w:val="21"/>
          <w:u w:val="single"/>
        </w:rPr>
      </w:pPr>
      <w:r>
        <w:rPr>
          <w:rFonts w:hint="eastAsia" w:ascii="仿宋" w:hAnsi="仿宋" w:eastAsia="仿宋" w:cs="仿宋"/>
          <w:b/>
          <w:color w:val="auto"/>
          <w:szCs w:val="21"/>
        </w:rPr>
        <w:t>承包人（乙方）：</w:t>
      </w:r>
      <w:r>
        <w:rPr>
          <w:rFonts w:hint="eastAsia" w:ascii="仿宋" w:hAnsi="仿宋" w:eastAsia="仿宋" w:cs="仿宋"/>
          <w:b/>
          <w:color w:val="auto"/>
          <w:szCs w:val="21"/>
          <w:u w:val="single"/>
        </w:rPr>
        <w:t xml:space="preserve"> </w:t>
      </w:r>
      <w:r>
        <w:rPr>
          <w:rFonts w:hint="eastAsia" w:eastAsia="宋体" w:cs="宋体"/>
          <w:b/>
          <w:color w:val="auto"/>
          <w:szCs w:val="21"/>
          <w:u w:val="single"/>
          <w:lang w:val="en-US" w:eastAsia="zh-CN"/>
        </w:rPr>
        <w:t xml:space="preserve">                                </w:t>
      </w:r>
      <w:r>
        <w:rPr>
          <w:rFonts w:hint="eastAsia" w:ascii="仿宋" w:hAnsi="仿宋" w:eastAsia="仿宋" w:cs="仿宋"/>
          <w:b/>
          <w:color w:val="auto"/>
          <w:szCs w:val="21"/>
          <w:u w:val="single"/>
        </w:rPr>
        <w:t xml:space="preserve">       </w:t>
      </w:r>
    </w:p>
    <w:p>
      <w:pPr>
        <w:rPr>
          <w:rFonts w:hint="eastAsia" w:ascii="仿宋" w:hAnsi="仿宋" w:eastAsia="仿宋" w:cs="仿宋"/>
          <w:color w:val="auto"/>
          <w:szCs w:val="24"/>
        </w:rPr>
      </w:pPr>
      <w:r>
        <w:rPr>
          <w:rFonts w:hint="eastAsia" w:ascii="仿宋" w:hAnsi="仿宋" w:eastAsia="仿宋" w:cs="仿宋"/>
          <w:color w:val="auto"/>
          <w:szCs w:val="24"/>
        </w:rPr>
        <w:t>（以下称“乙方”）</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为落实森林防火工作责任制，确保我区森林防火工作实现“无火灾，减少火情”的目标，为明确责任，甲、乙双方经充分协商，特签订森林防火责任书。</w:t>
      </w:r>
    </w:p>
    <w:p>
      <w:pPr>
        <w:ind w:firstLine="433" w:firstLineChars="196"/>
        <w:rPr>
          <w:rFonts w:hint="eastAsia" w:ascii="仿宋" w:hAnsi="仿宋" w:eastAsia="仿宋" w:cs="仿宋"/>
          <w:b/>
          <w:color w:val="auto"/>
          <w:szCs w:val="24"/>
        </w:rPr>
      </w:pPr>
      <w:r>
        <w:rPr>
          <w:rFonts w:hint="eastAsia" w:ascii="仿宋" w:hAnsi="仿宋" w:eastAsia="仿宋" w:cs="仿宋"/>
          <w:b/>
          <w:color w:val="auto"/>
          <w:szCs w:val="24"/>
        </w:rPr>
        <w:t>一、责任内容</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（一）养护单位是森林防火工作的责任单位，要建立健全森林防火组织机构，并做到分工明确，责任具体，养护单位要有专职人员负责森林防火的日常工作。</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w:t>
      </w:r>
      <w:r>
        <w:rPr>
          <w:rFonts w:hint="eastAsia" w:ascii="仿宋" w:hAnsi="仿宋" w:cs="仿宋"/>
          <w:color w:val="auto"/>
          <w:szCs w:val="24"/>
        </w:rPr>
        <w:t>二</w:t>
      </w:r>
      <w:r>
        <w:rPr>
          <w:rFonts w:hint="eastAsia" w:ascii="仿宋" w:hAnsi="仿宋" w:eastAsia="仿宋" w:cs="仿宋"/>
          <w:color w:val="auto"/>
          <w:szCs w:val="24"/>
        </w:rPr>
        <w:t>）认真贯彻落实“预防为主，积极消灭”的方针，狠抓各项措施的落实，确保做好以下工作：</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1、采取多种形式，广泛深入开展宣传教育活动，提高森林防火和依法治林意识。做到家喻户晓，老幼皆知。</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2、按时按质按量完成清理林下可燃物工作，要在规定时间将林下的杂草、秸秆等可燃物要清除干净，以防患于未然。要成立检查组对重点部位、重点地段加强隐患排查，及时消除各种隐患。</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 xml:space="preserve">3、严格落实生态林管护员管理办法，按规定配足生态林管护员，签订责任书，明确责任，加强岗前岗位培训，保证到岗到位，并佩戴袖标、随身携带二号工具，加强巡护，认真履行职责。 </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4、森林防火期内，经常组织森林防火检查，及时消除火险隐患。</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5、制定森林防火计划和扑火预案，加强各类防火安全培训，杜绝人员伤亡事故发生。</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6、加强值班报警制度，昼夜24小时有专人值班，并有领导带班，保持通讯通畅，发生火情，应立即组织安全扑救，同时第一时间上报区园林绿化局。</w:t>
      </w:r>
    </w:p>
    <w:p>
      <w:pPr>
        <w:ind w:firstLine="433" w:firstLineChars="196"/>
        <w:rPr>
          <w:rFonts w:hint="eastAsia" w:ascii="仿宋" w:hAnsi="仿宋" w:eastAsia="仿宋" w:cs="仿宋"/>
          <w:b/>
          <w:color w:val="auto"/>
          <w:szCs w:val="24"/>
        </w:rPr>
      </w:pPr>
      <w:r>
        <w:rPr>
          <w:rFonts w:hint="eastAsia" w:ascii="仿宋" w:hAnsi="仿宋" w:eastAsia="仿宋" w:cs="仿宋"/>
          <w:b/>
          <w:color w:val="auto"/>
          <w:szCs w:val="24"/>
        </w:rPr>
        <w:t>二、责任追究</w:t>
      </w:r>
    </w:p>
    <w:p>
      <w:pPr>
        <w:ind w:firstLine="369" w:firstLineChars="168"/>
        <w:rPr>
          <w:rFonts w:hint="eastAsia" w:ascii="仿宋" w:hAnsi="仿宋" w:eastAsia="仿宋" w:cs="仿宋"/>
          <w:color w:val="auto"/>
          <w:szCs w:val="24"/>
        </w:rPr>
      </w:pPr>
      <w:r>
        <w:rPr>
          <w:rFonts w:hint="eastAsia" w:ascii="仿宋" w:hAnsi="仿宋" w:eastAsia="仿宋" w:cs="仿宋"/>
          <w:color w:val="auto"/>
          <w:szCs w:val="24"/>
        </w:rPr>
        <w:t>为确保森林防火各项措施的落实，区园林绿化局将不定期对养护单位森林防火工作进行检查。对未全面履行职责、工作不到位而引发一般性火灾以上事故的，或隐瞒不报的，将依法追究相关单位和人员责任；情节严重的，将追究其刑事责任。</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三、本责任书自签订之日起生效。</w:t>
      </w:r>
    </w:p>
    <w:p>
      <w:pPr>
        <w:ind w:firstLine="440" w:firstLineChars="200"/>
        <w:rPr>
          <w:rFonts w:hint="eastAsia" w:ascii="仿宋" w:hAnsi="仿宋" w:eastAsia="仿宋" w:cs="仿宋"/>
          <w:color w:val="auto"/>
          <w:szCs w:val="24"/>
        </w:rPr>
      </w:pPr>
      <w:r>
        <w:rPr>
          <w:rFonts w:hint="eastAsia" w:ascii="仿宋" w:hAnsi="仿宋" w:eastAsia="仿宋" w:cs="仿宋"/>
          <w:color w:val="auto"/>
          <w:szCs w:val="24"/>
        </w:rPr>
        <w:t>四、本责任书一式六份，甲乙双方各执三份。合同履行期间有效。</w:t>
      </w:r>
    </w:p>
    <w:p>
      <w:pPr>
        <w:rPr>
          <w:rFonts w:hint="eastAsia" w:ascii="仿宋" w:hAnsi="仿宋" w:eastAsia="仿宋" w:cs="仿宋"/>
          <w:color w:val="auto"/>
          <w:szCs w:val="24"/>
        </w:rPr>
      </w:pPr>
      <w:r>
        <w:rPr>
          <w:rFonts w:hint="eastAsia" w:ascii="仿宋" w:hAnsi="仿宋" w:eastAsia="仿宋" w:cs="仿宋"/>
          <w:color w:val="auto"/>
          <w:szCs w:val="24"/>
        </w:rPr>
        <w:t xml:space="preserve">甲方（签章）                             </w:t>
      </w:r>
      <w:r>
        <w:rPr>
          <w:rFonts w:hint="eastAsia" w:ascii="仿宋" w:hAnsi="仿宋" w:eastAsia="仿宋" w:cs="仿宋"/>
          <w:bCs/>
          <w:color w:val="auto"/>
          <w:szCs w:val="24"/>
        </w:rPr>
        <w:t>乙方</w:t>
      </w:r>
      <w:r>
        <w:rPr>
          <w:rFonts w:hint="eastAsia" w:ascii="仿宋" w:hAnsi="仿宋" w:eastAsia="仿宋" w:cs="仿宋"/>
          <w:color w:val="auto"/>
          <w:szCs w:val="24"/>
        </w:rPr>
        <w:t>（签章）</w:t>
      </w:r>
    </w:p>
    <w:p>
      <w:pPr>
        <w:rPr>
          <w:rFonts w:hint="eastAsia" w:ascii="仿宋" w:hAnsi="仿宋" w:eastAsia="仿宋" w:cs="仿宋"/>
          <w:bCs/>
          <w:color w:val="auto"/>
          <w:szCs w:val="24"/>
        </w:rPr>
      </w:pPr>
      <w:r>
        <w:rPr>
          <w:rFonts w:hint="eastAsia" w:ascii="仿宋" w:hAnsi="仿宋" w:eastAsia="仿宋" w:cs="仿宋"/>
          <w:color w:val="auto"/>
          <w:szCs w:val="24"/>
        </w:rPr>
        <w:t xml:space="preserve">                                </w:t>
      </w:r>
    </w:p>
    <w:p>
      <w:pPr>
        <w:rPr>
          <w:rFonts w:hint="eastAsia" w:ascii="仿宋" w:hAnsi="仿宋" w:eastAsia="仿宋" w:cs="仿宋"/>
          <w:color w:val="auto"/>
          <w:szCs w:val="24"/>
          <w:lang w:eastAsia="zh-CN"/>
        </w:rPr>
      </w:pPr>
      <w:r>
        <w:rPr>
          <w:rFonts w:hint="eastAsia" w:ascii="仿宋" w:hAnsi="仿宋" w:eastAsia="仿宋" w:cs="仿宋"/>
          <w:color w:val="auto"/>
          <w:szCs w:val="24"/>
        </w:rPr>
        <w:t>法定代表</w:t>
      </w:r>
      <w:r>
        <w:rPr>
          <w:rFonts w:hint="eastAsia" w:ascii="仿宋" w:hAnsi="仿宋" w:eastAsia="仿宋" w:cs="仿宋"/>
          <w:color w:val="auto"/>
          <w:szCs w:val="24"/>
          <w:lang w:eastAsia="zh-CN"/>
        </w:rPr>
        <w:t>人</w:t>
      </w:r>
      <w:r>
        <w:rPr>
          <w:rFonts w:hint="eastAsia" w:ascii="仿宋" w:hAnsi="仿宋" w:eastAsia="仿宋" w:cs="仿宋"/>
          <w:color w:val="auto"/>
          <w:szCs w:val="24"/>
          <w:lang w:val="en-US" w:eastAsia="zh-CN"/>
        </w:rPr>
        <w:t xml:space="preserve">                               </w:t>
      </w:r>
      <w:r>
        <w:rPr>
          <w:rFonts w:hint="eastAsia" w:ascii="仿宋" w:hAnsi="仿宋" w:eastAsia="仿宋" w:cs="仿宋"/>
          <w:color w:val="auto"/>
          <w:szCs w:val="24"/>
        </w:rPr>
        <w:t>法定代表</w:t>
      </w:r>
      <w:r>
        <w:rPr>
          <w:rFonts w:hint="eastAsia" w:ascii="仿宋" w:hAnsi="仿宋" w:eastAsia="仿宋" w:cs="仿宋"/>
          <w:color w:val="auto"/>
          <w:szCs w:val="24"/>
          <w:lang w:eastAsia="zh-CN"/>
        </w:rPr>
        <w:t>人</w:t>
      </w:r>
    </w:p>
    <w:p>
      <w:pPr>
        <w:rPr>
          <w:rFonts w:hint="eastAsia" w:ascii="仿宋" w:hAnsi="仿宋" w:eastAsia="仿宋" w:cs="仿宋"/>
          <w:color w:val="auto"/>
          <w:szCs w:val="24"/>
        </w:rPr>
      </w:pPr>
      <w:r>
        <w:rPr>
          <w:rFonts w:hint="eastAsia" w:ascii="仿宋" w:hAnsi="仿宋" w:eastAsia="仿宋" w:cs="仿宋"/>
          <w:color w:val="auto"/>
          <w:szCs w:val="24"/>
        </w:rPr>
        <w:t>或授权委托人 （签字</w:t>
      </w:r>
      <w:r>
        <w:rPr>
          <w:rFonts w:hint="eastAsia" w:ascii="仿宋" w:hAnsi="仿宋" w:eastAsia="仿宋" w:cs="仿宋"/>
          <w:color w:val="auto"/>
          <w:szCs w:val="24"/>
          <w:lang w:eastAsia="zh-CN"/>
        </w:rPr>
        <w:t>或盖章</w:t>
      </w:r>
      <w:r>
        <w:rPr>
          <w:rFonts w:hint="eastAsia" w:ascii="仿宋" w:hAnsi="仿宋" w:eastAsia="仿宋" w:cs="仿宋"/>
          <w:color w:val="auto"/>
          <w:szCs w:val="24"/>
        </w:rPr>
        <w:t>）              或授权委托人（签字</w:t>
      </w:r>
      <w:r>
        <w:rPr>
          <w:rFonts w:hint="eastAsia" w:ascii="仿宋" w:hAnsi="仿宋" w:eastAsia="仿宋" w:cs="仿宋"/>
          <w:color w:val="auto"/>
          <w:szCs w:val="24"/>
          <w:lang w:eastAsia="zh-CN"/>
        </w:rPr>
        <w:t>或盖章</w:t>
      </w:r>
      <w:r>
        <w:rPr>
          <w:rFonts w:hint="eastAsia" w:ascii="仿宋" w:hAnsi="仿宋" w:eastAsia="仿宋" w:cs="仿宋"/>
          <w:color w:val="auto"/>
          <w:szCs w:val="24"/>
        </w:rPr>
        <w:t xml:space="preserve">）       </w:t>
      </w:r>
    </w:p>
    <w:p>
      <w:pPr>
        <w:rPr>
          <w:rFonts w:hint="eastAsia" w:ascii="仿宋" w:hAnsi="仿宋" w:eastAsia="仿宋" w:cs="仿宋"/>
          <w:color w:val="auto"/>
          <w:szCs w:val="24"/>
        </w:rPr>
      </w:pPr>
      <w:r>
        <w:rPr>
          <w:rFonts w:hint="eastAsia" w:ascii="仿宋" w:hAnsi="仿宋" w:eastAsia="仿宋" w:cs="仿宋"/>
          <w:color w:val="auto"/>
          <w:szCs w:val="24"/>
        </w:rPr>
        <w:t xml:space="preserve">                   </w:t>
      </w:r>
    </w:p>
    <w:p>
      <w:pPr>
        <w:rPr>
          <w:rFonts w:hint="eastAsia" w:ascii="仿宋" w:hAnsi="仿宋" w:eastAsia="仿宋" w:cs="仿宋"/>
          <w:color w:val="auto"/>
          <w:szCs w:val="24"/>
        </w:rPr>
      </w:pPr>
      <w:r>
        <w:rPr>
          <w:rFonts w:hint="eastAsia" w:ascii="仿宋" w:hAnsi="仿宋" w:eastAsia="仿宋" w:cs="仿宋"/>
          <w:color w:val="auto"/>
          <w:szCs w:val="24"/>
        </w:rPr>
        <w:t xml:space="preserve">年    月   日                                年    月   日   </w:t>
      </w:r>
    </w:p>
    <w:p>
      <w:pPr>
        <w:rPr>
          <w:rFonts w:hint="eastAsia" w:ascii="仿宋" w:hAnsi="仿宋" w:eastAsia="仿宋" w:cs="仿宋"/>
          <w:color w:val="auto"/>
          <w:szCs w:val="24"/>
        </w:rPr>
      </w:pPr>
    </w:p>
    <w:p>
      <w:pPr>
        <w:spacing w:line="440" w:lineRule="exact"/>
        <w:jc w:val="both"/>
        <w:rPr>
          <w:rFonts w:hint="eastAsia"/>
          <w:b/>
          <w:color w:val="auto"/>
          <w:sz w:val="36"/>
          <w:szCs w:val="36"/>
        </w:rPr>
      </w:pPr>
      <w:r>
        <w:rPr>
          <w:rFonts w:hint="eastAsia"/>
          <w:b/>
          <w:color w:val="auto"/>
          <w:sz w:val="18"/>
          <w:szCs w:val="18"/>
        </w:rPr>
        <w:t>附件4</w:t>
      </w:r>
    </w:p>
    <w:p>
      <w:pPr>
        <w:snapToGrid w:val="0"/>
        <w:spacing w:line="360" w:lineRule="auto"/>
        <w:jc w:val="center"/>
        <w:rPr>
          <w:rFonts w:hint="eastAsia" w:ascii="仿宋_GB2312" w:hAnsi="仿宋_GB2312" w:eastAsia="仿宋_GB2312" w:cs="仿宋_GB2312"/>
          <w:b/>
          <w:color w:val="auto"/>
          <w:szCs w:val="24"/>
          <w:highlight w:val="none"/>
        </w:rPr>
      </w:pPr>
      <w:r>
        <w:rPr>
          <w:rFonts w:hint="eastAsia" w:ascii="仿宋_GB2312" w:hAnsi="仿宋_GB2312" w:eastAsia="仿宋_GB2312" w:cs="仿宋_GB2312"/>
          <w:b/>
          <w:color w:val="auto"/>
          <w:szCs w:val="24"/>
          <w:highlight w:val="none"/>
          <w:lang w:eastAsia="zh-CN"/>
        </w:rPr>
        <w:t>朝阳区</w:t>
      </w:r>
      <w:r>
        <w:rPr>
          <w:rFonts w:hint="eastAsia" w:ascii="仿宋_GB2312" w:hAnsi="仿宋_GB2312" w:eastAsia="仿宋_GB2312" w:cs="仿宋_GB2312"/>
          <w:b/>
          <w:color w:val="auto"/>
          <w:szCs w:val="24"/>
          <w:highlight w:val="none"/>
        </w:rPr>
        <w:t>平原生态林管护单元详细情况表</w:t>
      </w:r>
    </w:p>
    <w:tbl>
      <w:tblPr>
        <w:tblStyle w:val="36"/>
        <w:tblW w:w="891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571"/>
        <w:gridCol w:w="1510"/>
        <w:gridCol w:w="860"/>
        <w:gridCol w:w="510"/>
        <w:gridCol w:w="868"/>
        <w:gridCol w:w="595"/>
        <w:gridCol w:w="595"/>
        <w:gridCol w:w="595"/>
        <w:gridCol w:w="595"/>
        <w:gridCol w:w="1"/>
        <w:gridCol w:w="221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vMerge w:val="restart"/>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序号</w:t>
            </w:r>
          </w:p>
        </w:tc>
        <w:tc>
          <w:tcPr>
            <w:tcW w:w="1510" w:type="dxa"/>
            <w:vMerge w:val="restart"/>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地块名称</w:t>
            </w:r>
          </w:p>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（地块编号）</w:t>
            </w:r>
          </w:p>
        </w:tc>
        <w:tc>
          <w:tcPr>
            <w:tcW w:w="860" w:type="dxa"/>
            <w:vMerge w:val="restart"/>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lang w:eastAsia="zh-CN"/>
              </w:rPr>
            </w:pPr>
            <w:r>
              <w:rPr>
                <w:rFonts w:hint="eastAsia" w:ascii="仿宋_GB2312" w:hAnsi="仿宋_GB2312" w:eastAsia="仿宋_GB2312" w:cs="仿宋_GB2312"/>
                <w:color w:val="auto"/>
                <w:szCs w:val="24"/>
                <w:lang w:eastAsia="zh-CN"/>
              </w:rPr>
              <w:t>图上</w:t>
            </w:r>
          </w:p>
          <w:p>
            <w:pPr>
              <w:adjustRightInd w:val="0"/>
              <w:snapToGrid w:val="0"/>
              <w:spacing w:line="240" w:lineRule="auto"/>
              <w:jc w:val="center"/>
              <w:rPr>
                <w:rFonts w:hint="eastAsia" w:ascii="仿宋_GB2312" w:hAnsi="仿宋_GB2312" w:eastAsia="仿宋_GB2312" w:cs="仿宋_GB2312"/>
                <w:color w:val="auto"/>
                <w:szCs w:val="24"/>
                <w:lang w:eastAsia="zh-CN"/>
              </w:rPr>
            </w:pPr>
            <w:r>
              <w:rPr>
                <w:rFonts w:hint="eastAsia" w:ascii="仿宋_GB2312" w:hAnsi="仿宋_GB2312" w:eastAsia="仿宋_GB2312" w:cs="仿宋_GB2312"/>
                <w:color w:val="auto"/>
                <w:szCs w:val="24"/>
                <w:lang w:eastAsia="zh-CN"/>
              </w:rPr>
              <w:t>编号</w:t>
            </w:r>
          </w:p>
        </w:tc>
        <w:tc>
          <w:tcPr>
            <w:tcW w:w="510" w:type="dxa"/>
            <w:vMerge w:val="restart"/>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等级</w:t>
            </w:r>
          </w:p>
        </w:tc>
        <w:tc>
          <w:tcPr>
            <w:tcW w:w="868" w:type="dxa"/>
            <w:vMerge w:val="restart"/>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面积</w:t>
            </w:r>
          </w:p>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（亩）</w:t>
            </w:r>
          </w:p>
        </w:tc>
        <w:tc>
          <w:tcPr>
            <w:tcW w:w="2381" w:type="dxa"/>
            <w:gridSpan w:val="5"/>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四至</w:t>
            </w:r>
          </w:p>
        </w:tc>
        <w:tc>
          <w:tcPr>
            <w:tcW w:w="2210" w:type="dxa"/>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b/>
                <w:bCs/>
                <w:color w:val="auto"/>
                <w:szCs w:val="24"/>
              </w:rPr>
            </w:pPr>
            <w:r>
              <w:rPr>
                <w:rFonts w:hint="eastAsia" w:ascii="仿宋_GB2312" w:hAnsi="仿宋_GB2312" w:eastAsia="仿宋_GB2312" w:cs="仿宋_GB2312"/>
                <w:color w:val="auto"/>
                <w:szCs w:val="24"/>
              </w:rPr>
              <w:t>林木现状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vMerge w:val="continue"/>
            <w:tcBorders>
              <w:tl2br w:val="nil"/>
              <w:tr2bl w:val="nil"/>
            </w:tcBorders>
            <w:noWrap w:val="0"/>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1510" w:type="dxa"/>
            <w:vMerge w:val="continue"/>
            <w:tcBorders>
              <w:tl2br w:val="nil"/>
              <w:tr2bl w:val="nil"/>
            </w:tcBorders>
            <w:noWrap w:val="0"/>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0" w:type="dxa"/>
            <w:vMerge w:val="continue"/>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10" w:type="dxa"/>
            <w:vMerge w:val="continue"/>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vMerge w:val="continue"/>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东</w:t>
            </w:r>
          </w:p>
        </w:tc>
        <w:tc>
          <w:tcPr>
            <w:tcW w:w="595" w:type="dxa"/>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南</w:t>
            </w:r>
          </w:p>
        </w:tc>
        <w:tc>
          <w:tcPr>
            <w:tcW w:w="595" w:type="dxa"/>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西</w:t>
            </w:r>
          </w:p>
        </w:tc>
        <w:tc>
          <w:tcPr>
            <w:tcW w:w="595" w:type="dxa"/>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北</w:t>
            </w: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b/>
                <w:bCs/>
                <w:color w:val="auto"/>
                <w:szCs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05492010001</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1084</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lang w:val="en-US" w:eastAsia="zh-CN"/>
              </w:rPr>
              <w:t>77.95</w:t>
            </w:r>
            <w:r>
              <w:rPr>
                <w:rFonts w:hint="eastAsia"/>
                <w:color w:val="auto"/>
                <w:sz w:val="22"/>
                <w:szCs w:val="22"/>
              </w:rPr>
              <w:t xml:space="preserve">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ascii="宋体" w:hAnsi="宋体" w:cs="宋体"/>
                <w:color w:val="auto"/>
                <w:sz w:val="22"/>
                <w:szCs w:val="22"/>
                <w:lang w:val="en-US" w:eastAsia="zh-CN" w:bidi="ar-SA"/>
              </w:rPr>
            </w:pPr>
            <w:r>
              <w:rPr>
                <w:rFonts w:hint="eastAsia"/>
                <w:color w:val="auto"/>
                <w:sz w:val="22"/>
                <w:szCs w:val="22"/>
              </w:rPr>
              <w:t>05492030005</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ascii="宋体" w:hAnsi="宋体"/>
                <w:color w:val="auto"/>
                <w:sz w:val="22"/>
                <w:szCs w:val="22"/>
                <w:lang w:val="en-US" w:eastAsia="zh-CN" w:bidi="ar-SA"/>
              </w:rPr>
            </w:pPr>
            <w:r>
              <w:rPr>
                <w:rFonts w:hint="eastAsia"/>
                <w:color w:val="auto"/>
                <w:sz w:val="22"/>
                <w:szCs w:val="22"/>
                <w:lang w:val="en-US" w:eastAsia="zh-CN"/>
              </w:rPr>
              <w:t>1098</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bidi="ar-SA"/>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ascii="宋体" w:hAnsi="宋体" w:cs="宋体"/>
                <w:color w:val="auto"/>
                <w:sz w:val="22"/>
                <w:szCs w:val="22"/>
                <w:lang w:val="en-US" w:eastAsia="zh-CN" w:bidi="ar-SA"/>
              </w:rPr>
            </w:pPr>
            <w:r>
              <w:rPr>
                <w:rFonts w:hint="eastAsia"/>
                <w:color w:val="auto"/>
                <w:sz w:val="22"/>
                <w:szCs w:val="22"/>
              </w:rPr>
              <w:t>4.</w:t>
            </w:r>
            <w:r>
              <w:rPr>
                <w:rFonts w:hint="eastAsia"/>
                <w:color w:val="auto"/>
                <w:sz w:val="22"/>
                <w:szCs w:val="22"/>
                <w:lang w:val="en-US" w:eastAsia="zh-CN"/>
              </w:rPr>
              <w:t>31</w:t>
            </w:r>
            <w:r>
              <w:rPr>
                <w:rFonts w:hint="eastAsia"/>
                <w:color w:val="auto"/>
                <w:sz w:val="22"/>
                <w:szCs w:val="22"/>
              </w:rPr>
              <w:t xml:space="preserve">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bidi="ar-SA"/>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bidi="ar-SA"/>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bidi="ar-SA"/>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bidi="ar-SA"/>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 w:val="24"/>
                <w:szCs w:val="24"/>
                <w:lang w:val="en-US" w:eastAsia="zh-CN" w:bidi="ar-SA"/>
              </w:rPr>
            </w:pPr>
            <w:r>
              <w:rPr>
                <w:rFonts w:hint="eastAsia" w:ascii="仿宋_GB2312" w:hAnsi="仿宋_GB2312" w:eastAsia="仿宋_GB2312" w:cs="仿宋_GB2312"/>
                <w:color w:val="auto"/>
                <w:szCs w:val="24"/>
              </w:rPr>
              <w:t>银杏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3</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05492030012</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1101</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hint="eastAsia" w:eastAsia="宋体" w:cs="宋体"/>
                <w:color w:val="auto"/>
                <w:sz w:val="22"/>
                <w:szCs w:val="22"/>
                <w:lang w:val="en-US" w:eastAsia="zh-CN"/>
              </w:rPr>
            </w:pPr>
            <w:r>
              <w:rPr>
                <w:rFonts w:hint="eastAsia" w:cs="宋体"/>
                <w:color w:val="auto"/>
                <w:sz w:val="22"/>
                <w:szCs w:val="22"/>
                <w:lang w:val="en-US" w:eastAsia="zh-CN"/>
              </w:rPr>
              <w:t>5.59</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油松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4</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05492040006</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1069</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lang w:val="en-US" w:eastAsia="zh-CN"/>
              </w:rPr>
              <w:t>3.40</w:t>
            </w:r>
            <w:r>
              <w:rPr>
                <w:rFonts w:hint="eastAsia"/>
                <w:color w:val="auto"/>
                <w:sz w:val="22"/>
                <w:szCs w:val="22"/>
              </w:rPr>
              <w:t xml:space="preserve">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侧柏、毛白杨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lang w:val="en-US" w:eastAsia="zh-CN"/>
              </w:rPr>
            </w:pPr>
            <w:r>
              <w:rPr>
                <w:rFonts w:hint="eastAsia" w:ascii="仿宋_GB2312" w:hAnsi="仿宋_GB2312" w:eastAsia="仿宋_GB2312" w:cs="仿宋_GB2312"/>
                <w:color w:val="auto"/>
                <w:szCs w:val="24"/>
                <w:lang w:val="en-US" w:eastAsia="zh-CN"/>
              </w:rPr>
              <w:t>5</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05492050005</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1050</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lang w:val="en-US" w:eastAsia="zh-CN"/>
              </w:rPr>
              <w:t>2.69</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油松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6</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05492070001</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1073</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hint="eastAsia" w:eastAsia="宋体" w:cs="宋体"/>
                <w:color w:val="auto"/>
                <w:sz w:val="22"/>
                <w:szCs w:val="22"/>
                <w:lang w:val="en-US" w:eastAsia="zh-CN"/>
              </w:rPr>
            </w:pPr>
            <w:r>
              <w:rPr>
                <w:rFonts w:hint="eastAsia"/>
                <w:color w:val="auto"/>
                <w:sz w:val="22"/>
                <w:szCs w:val="22"/>
              </w:rPr>
              <w:t xml:space="preserve">0.97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油松、侧柏、毛白杨梧桐、银杏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7</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05492070008</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1080</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0.71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8</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05492070009</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1081</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hint="eastAsia" w:eastAsia="宋体" w:cs="宋体"/>
                <w:color w:val="auto"/>
                <w:sz w:val="22"/>
                <w:szCs w:val="22"/>
                <w:lang w:val="en-US" w:eastAsia="zh-CN"/>
              </w:rPr>
            </w:pPr>
            <w:r>
              <w:rPr>
                <w:rFonts w:hint="eastAsia"/>
                <w:color w:val="auto"/>
                <w:sz w:val="22"/>
                <w:szCs w:val="22"/>
              </w:rPr>
              <w:t xml:space="preserve">4.30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黄杨、紫叶李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9</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05492070010</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1082</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1.02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黄杨、紫叶李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10</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05492070011</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1083</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0.88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黄杨、紫叶李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11</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05492080002</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1053</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1.78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紫叶李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12</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05492080003</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1054</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hint="eastAsia" w:eastAsia="宋体" w:cs="宋体"/>
                <w:color w:val="auto"/>
                <w:sz w:val="22"/>
                <w:szCs w:val="22"/>
                <w:lang w:val="en-US" w:eastAsia="zh-CN"/>
              </w:rPr>
            </w:pPr>
            <w:r>
              <w:rPr>
                <w:rFonts w:hint="eastAsia"/>
                <w:color w:val="auto"/>
                <w:sz w:val="22"/>
                <w:szCs w:val="22"/>
              </w:rPr>
              <w:t xml:space="preserve">0.68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紫叶李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13</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05492090001</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1130</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176.84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油松、侧柏、毛白杨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14</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05492090003</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1002</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hint="eastAsia" w:eastAsia="宋体" w:cs="宋体"/>
                <w:color w:val="auto"/>
                <w:sz w:val="22"/>
                <w:szCs w:val="22"/>
                <w:lang w:val="en-US" w:eastAsia="zh-CN"/>
              </w:rPr>
            </w:pPr>
            <w:r>
              <w:rPr>
                <w:rFonts w:hint="eastAsia"/>
                <w:color w:val="auto"/>
                <w:sz w:val="22"/>
                <w:szCs w:val="22"/>
              </w:rPr>
              <w:t xml:space="preserve">11.69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柳树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15</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05492090004</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1003</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hint="eastAsia" w:eastAsia="宋体" w:cs="宋体"/>
                <w:color w:val="auto"/>
                <w:sz w:val="22"/>
                <w:szCs w:val="22"/>
                <w:lang w:val="en-US" w:eastAsia="zh-CN"/>
              </w:rPr>
            </w:pPr>
            <w:r>
              <w:rPr>
                <w:rFonts w:hint="eastAsia"/>
                <w:color w:val="auto"/>
                <w:sz w:val="22"/>
                <w:szCs w:val="22"/>
              </w:rPr>
              <w:t xml:space="preserve">35.83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柳树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16</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05492090005</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1004</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15.85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柳树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17</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05492090010</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1005</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57.71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柳树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18</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05492090011</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1014</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4.03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19</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05492090017</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1020</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2.26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20</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05492090019</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1006</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4.29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柳树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21</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05492090021</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eastAsia="宋体"/>
                <w:color w:val="auto"/>
                <w:sz w:val="22"/>
                <w:szCs w:val="22"/>
                <w:lang w:val="en-US" w:eastAsia="zh-CN"/>
              </w:rPr>
              <w:t>0.41</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22</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05492090022</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1007</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30.13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23</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05492090023</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1008</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 xml:space="preserve">10.11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柳树</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24</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05492120001</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1127</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lang w:val="en-US" w:eastAsia="zh-CN"/>
              </w:rPr>
              <w:t>60.01</w:t>
            </w:r>
            <w:r>
              <w:rPr>
                <w:rFonts w:hint="eastAsia"/>
                <w:color w:val="auto"/>
                <w:sz w:val="22"/>
                <w:szCs w:val="22"/>
              </w:rPr>
              <w:t xml:space="preserve">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25</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05492120002</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1128</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lang w:val="en-US" w:eastAsia="zh-CN"/>
              </w:rPr>
              <w:t>19.75</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571"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26</w:t>
            </w:r>
          </w:p>
        </w:tc>
        <w:tc>
          <w:tcPr>
            <w:tcW w:w="1510" w:type="dxa"/>
            <w:tcBorders>
              <w:tl2br w:val="nil"/>
              <w:tr2bl w:val="nil"/>
            </w:tcBorders>
            <w:noWrap w:val="0"/>
            <w:tcMar>
              <w:top w:w="0" w:type="dxa"/>
              <w:left w:w="57" w:type="dxa"/>
              <w:bottom w:w="0" w:type="dxa"/>
              <w:right w:w="57" w:type="dxa"/>
            </w:tcMar>
            <w:vAlign w:val="center"/>
          </w:tcPr>
          <w:p>
            <w:pPr>
              <w:spacing w:line="240" w:lineRule="auto"/>
              <w:jc w:val="center"/>
              <w:rPr>
                <w:rFonts w:cs="宋体"/>
                <w:color w:val="auto"/>
                <w:sz w:val="22"/>
                <w:szCs w:val="22"/>
              </w:rPr>
            </w:pPr>
            <w:r>
              <w:rPr>
                <w:rFonts w:hint="eastAsia"/>
                <w:color w:val="auto"/>
                <w:sz w:val="22"/>
                <w:szCs w:val="22"/>
              </w:rPr>
              <w:t>05492120003</w:t>
            </w:r>
          </w:p>
        </w:tc>
        <w:tc>
          <w:tcPr>
            <w:tcW w:w="860" w:type="dxa"/>
            <w:tcBorders>
              <w:tl2br w:val="nil"/>
              <w:tr2bl w:val="nil"/>
            </w:tcBorders>
            <w:noWrap w:val="0"/>
            <w:tcMar>
              <w:top w:w="0" w:type="dxa"/>
              <w:left w:w="57" w:type="dxa"/>
              <w:bottom w:w="0" w:type="dxa"/>
              <w:right w:w="57" w:type="dxa"/>
            </w:tcMar>
            <w:vAlign w:val="center"/>
          </w:tcPr>
          <w:p>
            <w:pPr>
              <w:spacing w:line="240" w:lineRule="auto"/>
              <w:jc w:val="center"/>
              <w:rPr>
                <w:rFonts w:hint="eastAsia"/>
                <w:color w:val="auto"/>
                <w:sz w:val="22"/>
                <w:szCs w:val="22"/>
                <w:lang w:val="en-US" w:eastAsia="zh-CN"/>
              </w:rPr>
            </w:pPr>
            <w:r>
              <w:rPr>
                <w:rFonts w:hint="eastAsia"/>
                <w:color w:val="auto"/>
                <w:sz w:val="22"/>
                <w:szCs w:val="22"/>
                <w:lang w:val="en-US" w:eastAsia="zh-CN"/>
              </w:rPr>
              <w:t>1095</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868" w:type="dxa"/>
            <w:tcBorders>
              <w:tl2br w:val="nil"/>
              <w:tr2bl w:val="nil"/>
            </w:tcBorders>
            <w:noWrap w:val="0"/>
            <w:tcMar>
              <w:top w:w="0" w:type="dxa"/>
              <w:left w:w="57" w:type="dxa"/>
              <w:bottom w:w="0" w:type="dxa"/>
              <w:right w:w="57" w:type="dxa"/>
            </w:tcMar>
            <w:vAlign w:val="center"/>
          </w:tcPr>
          <w:p>
            <w:pPr>
              <w:spacing w:line="240" w:lineRule="auto"/>
              <w:jc w:val="center"/>
              <w:rPr>
                <w:rFonts w:hint="eastAsia" w:eastAsia="宋体" w:cs="宋体"/>
                <w:color w:val="auto"/>
                <w:sz w:val="22"/>
                <w:szCs w:val="22"/>
                <w:lang w:val="en-US" w:eastAsia="zh-CN"/>
              </w:rPr>
            </w:pPr>
            <w:r>
              <w:rPr>
                <w:rFonts w:hint="eastAsia"/>
                <w:color w:val="auto"/>
                <w:sz w:val="22"/>
                <w:szCs w:val="22"/>
              </w:rPr>
              <w:t xml:space="preserve">22.56 </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毛白杨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334" w:hRule="atLeast"/>
          <w:jc w:val="center"/>
        </w:trPr>
        <w:tc>
          <w:tcPr>
            <w:tcW w:w="2941" w:type="dxa"/>
            <w:gridSpan w:val="3"/>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宋体" w:hAnsi="宋体" w:eastAsia="宋体" w:cs="宋体"/>
                <w:color w:val="auto"/>
                <w:sz w:val="22"/>
                <w:szCs w:val="22"/>
              </w:rPr>
            </w:pPr>
            <w:r>
              <w:rPr>
                <w:rFonts w:hint="eastAsia" w:ascii="宋体" w:hAnsi="宋体" w:eastAsia="宋体" w:cs="宋体"/>
                <w:color w:val="auto"/>
                <w:sz w:val="22"/>
                <w:szCs w:val="22"/>
              </w:rPr>
              <w:t>合计</w:t>
            </w:r>
          </w:p>
        </w:tc>
        <w:tc>
          <w:tcPr>
            <w:tcW w:w="510"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宋体" w:hAnsi="宋体" w:eastAsia="宋体" w:cs="宋体"/>
                <w:color w:val="auto"/>
                <w:sz w:val="22"/>
                <w:szCs w:val="22"/>
              </w:rPr>
            </w:pPr>
          </w:p>
        </w:tc>
        <w:tc>
          <w:tcPr>
            <w:tcW w:w="868"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default" w:ascii="宋体" w:hAnsi="宋体" w:eastAsia="宋体" w:cs="宋体"/>
                <w:color w:val="auto"/>
                <w:sz w:val="22"/>
                <w:szCs w:val="22"/>
                <w:lang w:val="en-US" w:eastAsia="zh-CN"/>
              </w:rPr>
            </w:pPr>
            <w:r>
              <w:rPr>
                <w:rFonts w:hint="eastAsia" w:eastAsia="宋体" w:cs="宋体"/>
                <w:color w:val="auto"/>
                <w:sz w:val="22"/>
                <w:szCs w:val="22"/>
                <w:lang w:val="en-US" w:eastAsia="zh-CN"/>
              </w:rPr>
              <w:t>555.75</w:t>
            </w: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宋体" w:hAnsi="宋体" w:eastAsia="宋体" w:cs="宋体"/>
                <w:color w:val="auto"/>
                <w:sz w:val="22"/>
                <w:szCs w:val="22"/>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宋体" w:hAnsi="宋体" w:eastAsia="宋体" w:cs="宋体"/>
                <w:color w:val="auto"/>
                <w:sz w:val="22"/>
                <w:szCs w:val="22"/>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宋体" w:hAnsi="宋体" w:eastAsia="宋体" w:cs="宋体"/>
                <w:color w:val="auto"/>
                <w:sz w:val="22"/>
                <w:szCs w:val="22"/>
              </w:rPr>
            </w:pPr>
          </w:p>
        </w:tc>
        <w:tc>
          <w:tcPr>
            <w:tcW w:w="595" w:type="dxa"/>
            <w:tcBorders>
              <w:tl2br w:val="nil"/>
              <w:tr2bl w:val="nil"/>
            </w:tcBorders>
            <w:noWrap w:val="0"/>
            <w:tcMar>
              <w:top w:w="0" w:type="dxa"/>
              <w:left w:w="57" w:type="dxa"/>
              <w:bottom w:w="0" w:type="dxa"/>
              <w:right w:w="57" w:type="dxa"/>
            </w:tcMar>
            <w:vAlign w:val="center"/>
          </w:tcPr>
          <w:p>
            <w:pPr>
              <w:adjustRightInd w:val="0"/>
              <w:snapToGrid w:val="0"/>
              <w:spacing w:line="240" w:lineRule="auto"/>
              <w:jc w:val="center"/>
              <w:rPr>
                <w:rFonts w:hint="eastAsia" w:ascii="宋体" w:hAnsi="宋体" w:eastAsia="宋体" w:cs="宋体"/>
                <w:color w:val="auto"/>
                <w:sz w:val="22"/>
                <w:szCs w:val="22"/>
              </w:rPr>
            </w:pPr>
          </w:p>
        </w:tc>
        <w:tc>
          <w:tcPr>
            <w:tcW w:w="2211" w:type="dxa"/>
            <w:gridSpan w:val="2"/>
            <w:tcBorders>
              <w:tl2br w:val="nil"/>
              <w:tr2bl w:val="nil"/>
            </w:tcBorders>
            <w:noWrap w:val="0"/>
            <w:tcMar>
              <w:left w:w="57" w:type="dxa"/>
              <w:right w:w="57" w:type="dxa"/>
            </w:tcMar>
            <w:vAlign w:val="center"/>
          </w:tcPr>
          <w:p>
            <w:pPr>
              <w:adjustRightInd w:val="0"/>
              <w:snapToGrid w:val="0"/>
              <w:spacing w:line="240" w:lineRule="auto"/>
              <w:jc w:val="center"/>
              <w:rPr>
                <w:rFonts w:hint="eastAsia" w:ascii="宋体" w:hAnsi="宋体" w:eastAsia="宋体" w:cs="宋体"/>
                <w:color w:val="auto"/>
                <w:sz w:val="22"/>
                <w:szCs w:val="22"/>
              </w:rPr>
            </w:pPr>
          </w:p>
        </w:tc>
      </w:tr>
    </w:tbl>
    <w:p>
      <w:pPr>
        <w:adjustRightInd w:val="0"/>
        <w:snapToGrid w:val="0"/>
        <w:spacing w:line="360" w:lineRule="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备注：</w:t>
      </w:r>
    </w:p>
    <w:p>
      <w:pPr>
        <w:numPr>
          <w:ilvl w:val="0"/>
          <w:numId w:val="22"/>
        </w:numPr>
        <w:snapToGrid w:val="0"/>
        <w:spacing w:line="360" w:lineRule="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每个管护单元所包含的地块均详细列出；</w:t>
      </w:r>
    </w:p>
    <w:p>
      <w:pPr>
        <w:numPr>
          <w:ilvl w:val="0"/>
          <w:numId w:val="22"/>
        </w:numPr>
        <w:snapToGrid w:val="0"/>
        <w:spacing w:line="360" w:lineRule="auto"/>
        <w:rPr>
          <w:rFonts w:hint="eastAsia" w:ascii="仿宋_GB2312" w:hAnsi="仿宋_GB2312" w:eastAsia="仿宋_GB2312" w:cs="仿宋_GB2312"/>
          <w:color w:val="auto"/>
          <w:szCs w:val="24"/>
        </w:rPr>
      </w:pPr>
      <w:r>
        <w:rPr>
          <w:rFonts w:hint="eastAsia" w:ascii="仿宋_GB2312" w:hAnsi="仿宋_GB2312" w:eastAsia="仿宋_GB2312" w:cs="仿宋_GB2312"/>
          <w:color w:val="auto"/>
          <w:szCs w:val="24"/>
        </w:rPr>
        <w:t>表格可根据情况自行添加。</w:t>
      </w: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lang w:val="en-US" w:eastAsia="zh-CN"/>
        </w:rPr>
      </w:pPr>
      <w:r>
        <w:rPr>
          <w:rFonts w:hint="eastAsia"/>
          <w:b/>
          <w:color w:val="auto"/>
          <w:sz w:val="18"/>
          <w:szCs w:val="18"/>
        </w:rPr>
        <w:t>附件5</w:t>
      </w:r>
      <w:r>
        <w:rPr>
          <w:rFonts w:hint="eastAsia"/>
          <w:b/>
          <w:color w:val="auto"/>
          <w:sz w:val="18"/>
          <w:szCs w:val="18"/>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eastAsia="仿宋_GB2312"/>
          <w:color w:val="auto"/>
          <w:szCs w:val="24"/>
        </w:rPr>
      </w:pPr>
      <w:r>
        <w:rPr>
          <w:rFonts w:hint="eastAsia"/>
          <w:b/>
          <w:color w:val="auto"/>
          <w:sz w:val="18"/>
          <w:szCs w:val="18"/>
          <w:lang w:val="en-US" w:eastAsia="zh-CN"/>
        </w:rPr>
        <w:t xml:space="preserve">                           </w:t>
      </w:r>
      <w:r>
        <w:rPr>
          <w:rFonts w:hint="eastAsia"/>
          <w:color w:val="auto"/>
          <w:sz w:val="18"/>
          <w:szCs w:val="18"/>
        </w:rPr>
        <w:t xml:space="preserve"> </w:t>
      </w:r>
      <w:r>
        <w:rPr>
          <w:rFonts w:hint="eastAsia" w:ascii="仿宋_GB2312" w:eastAsia="仿宋_GB2312"/>
          <w:color w:val="auto"/>
          <w:szCs w:val="24"/>
        </w:rPr>
        <w:t>管庄乡自管绿地详细情况表</w:t>
      </w:r>
    </w:p>
    <w:tbl>
      <w:tblPr>
        <w:tblStyle w:val="36"/>
        <w:tblpPr w:leftFromText="180" w:rightFromText="180" w:vertAnchor="text" w:horzAnchor="page" w:tblpXSpec="center" w:tblpY="308"/>
        <w:tblOverlap w:val="never"/>
        <w:tblW w:w="9341" w:type="dxa"/>
        <w:jc w:val="center"/>
        <w:tblLayout w:type="fixed"/>
        <w:tblCellMar>
          <w:top w:w="0" w:type="dxa"/>
          <w:left w:w="0" w:type="dxa"/>
          <w:bottom w:w="0" w:type="dxa"/>
          <w:right w:w="0" w:type="dxa"/>
        </w:tblCellMar>
      </w:tblPr>
      <w:tblGrid>
        <w:gridCol w:w="674"/>
        <w:gridCol w:w="855"/>
        <w:gridCol w:w="776"/>
        <w:gridCol w:w="2244"/>
        <w:gridCol w:w="3196"/>
        <w:gridCol w:w="1037"/>
        <w:gridCol w:w="559"/>
      </w:tblGrid>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Style w:val="139"/>
                <w:rFonts w:hint="eastAsia" w:ascii="仿宋" w:hAnsi="仿宋" w:eastAsia="仿宋" w:cs="仿宋"/>
                <w:color w:val="auto"/>
                <w:sz w:val="22"/>
                <w:szCs w:val="22"/>
                <w:lang w:val="en-US" w:eastAsia="zh-CN" w:bidi="ar"/>
              </w:rPr>
              <w:t>序号</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Style w:val="139"/>
                <w:rFonts w:hint="eastAsia" w:ascii="仿宋" w:hAnsi="仿宋" w:eastAsia="仿宋" w:cs="仿宋"/>
                <w:color w:val="auto"/>
                <w:sz w:val="22"/>
                <w:szCs w:val="22"/>
                <w:lang w:val="en-US" w:eastAsia="zh-CN" w:bidi="ar"/>
              </w:rPr>
              <w:t>编号</w:t>
            </w:r>
          </w:p>
        </w:tc>
        <w:tc>
          <w:tcPr>
            <w:tcW w:w="77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Style w:val="139"/>
                <w:rFonts w:hint="eastAsia" w:ascii="仿宋" w:hAnsi="仿宋" w:eastAsia="仿宋" w:cs="仿宋"/>
                <w:color w:val="auto"/>
                <w:sz w:val="22"/>
                <w:szCs w:val="22"/>
                <w:lang w:val="en-US" w:eastAsia="zh-CN" w:bidi="ar"/>
              </w:rPr>
              <w:t>所在乡</w:t>
            </w:r>
          </w:p>
        </w:tc>
        <w:tc>
          <w:tcPr>
            <w:tcW w:w="22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Style w:val="139"/>
                <w:rFonts w:hint="eastAsia" w:ascii="仿宋" w:hAnsi="仿宋" w:eastAsia="仿宋" w:cs="仿宋"/>
                <w:color w:val="auto"/>
                <w:sz w:val="22"/>
                <w:szCs w:val="22"/>
                <w:lang w:val="en-US" w:eastAsia="zh-CN" w:bidi="ar"/>
              </w:rPr>
              <w:t>绿化名称</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Style w:val="139"/>
                <w:rFonts w:hint="eastAsia" w:ascii="仿宋" w:hAnsi="仿宋" w:eastAsia="仿宋" w:cs="仿宋"/>
                <w:color w:val="auto"/>
                <w:sz w:val="22"/>
                <w:szCs w:val="22"/>
                <w:lang w:val="en-US" w:eastAsia="zh-CN" w:bidi="ar"/>
              </w:rPr>
              <w:t>四至范围</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面积</w:t>
            </w:r>
            <w:r>
              <w:rPr>
                <w:rFonts w:hint="eastAsia" w:ascii="仿宋" w:hAnsi="仿宋" w:eastAsia="仿宋" w:cs="仿宋"/>
                <w:b/>
                <w:i w:val="0"/>
                <w:color w:val="auto"/>
                <w:kern w:val="0"/>
                <w:sz w:val="22"/>
                <w:szCs w:val="22"/>
                <w:u w:val="none"/>
                <w:lang w:val="en-US" w:eastAsia="zh-CN" w:bidi="ar"/>
              </w:rPr>
              <w:br w:type="textWrapping"/>
            </w:r>
            <w:r>
              <w:rPr>
                <w:rFonts w:hint="eastAsia" w:ascii="仿宋" w:hAnsi="仿宋" w:eastAsia="仿宋" w:cs="仿宋"/>
                <w:b/>
                <w:i w:val="0"/>
                <w:color w:val="auto"/>
                <w:kern w:val="0"/>
                <w:sz w:val="22"/>
                <w:szCs w:val="22"/>
                <w:u w:val="none"/>
                <w:lang w:val="en-US" w:eastAsia="zh-CN" w:bidi="ar"/>
              </w:rPr>
              <w:t>（平米）</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b/>
                <w:i w:val="0"/>
                <w:color w:val="auto"/>
                <w:sz w:val="22"/>
                <w:szCs w:val="22"/>
                <w:u w:val="none"/>
              </w:rPr>
            </w:pPr>
            <w:r>
              <w:rPr>
                <w:rFonts w:hint="eastAsia" w:ascii="仿宋" w:hAnsi="仿宋" w:eastAsia="仿宋" w:cs="仿宋"/>
                <w:b/>
                <w:i w:val="0"/>
                <w:color w:val="auto"/>
                <w:kern w:val="0"/>
                <w:sz w:val="22"/>
                <w:szCs w:val="22"/>
                <w:u w:val="none"/>
                <w:lang w:val="en-US" w:eastAsia="zh-CN" w:bidi="ar"/>
              </w:rPr>
              <w:t>备注</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咸宁候街两侧绿化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0.00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核减</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咸宁候中街两侧绿化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0.00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核减</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大咸路两侧绿化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0.00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核减</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灌渠沟两侧</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东至黑庄户沟西侧、西至咸宁侯市场东墙外、北至两广路、南至黑庄户交界路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5122.24</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政府西侧路两侧绿化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东至乡政府西墙、西至药监东墙、南至京通辅路、北至朝阳路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146.63</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gz006</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八里桥</w:t>
            </w:r>
            <w:r>
              <w:rPr>
                <w:rStyle w:val="140"/>
                <w:rFonts w:hint="eastAsia" w:ascii="仿宋" w:hAnsi="仿宋" w:eastAsia="仿宋" w:cs="仿宋"/>
                <w:color w:val="auto"/>
                <w:sz w:val="22"/>
                <w:szCs w:val="22"/>
                <w:lang w:val="en-US" w:eastAsia="zh-CN" w:bidi="ar"/>
              </w:rPr>
              <w:t>1</w:t>
            </w:r>
            <w:r>
              <w:rPr>
                <w:rStyle w:val="141"/>
                <w:rFonts w:hint="eastAsia" w:ascii="仿宋" w:hAnsi="仿宋" w:eastAsia="仿宋" w:cs="仿宋"/>
                <w:color w:val="auto"/>
                <w:sz w:val="22"/>
                <w:szCs w:val="22"/>
                <w:lang w:val="en-US" w:eastAsia="zh-CN" w:bidi="ar"/>
              </w:rPr>
              <w:t>号路两侧绿化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东至八里桥杨树林、西至八里桥垃圾房、南至京通路、北至朝阳路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578.07</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gz007</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兽药厂路北侧绿化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0.00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核减</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gz008</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司辛庄南街路两侧绿化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东至东一时区东侧路、西至双桥路东路、南至司辛庄南街路南侧、北至司辛庄南街路北侧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3524.60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gz009</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66322部队墙外绿化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西至杨闸环岛、东至通县交界、南至朝阳路南侧、北至朝阳路北侧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1112.64</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瑞祥里中心花园</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东至瑞祥路、南至瑞祥里小区、西至文化中心、北至瑞祥里小区</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6797.57</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通惠河南岸绿地</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东至普普济桥西、西至普济桥西 侧第一个红绿灯、南至管庄新村路北、北至通惠河南岸</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8855.28</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小寺路两侧绿化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东至远洋一方小区西墙、西至双桥路东侧、南至小寺路南侧、北至小寺路北侧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3411.54</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管庄中心小学路</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东至建材院西门、西至建材机厂东门、南至管庄中心小学路南侧、北至管庄中心小学路北侧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3124.78</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常营一街两侧绿化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东至常营一街路东侧，西至常营一街路西侧，南至朝阳路，北至常营交界处</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352.10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双桥东路东侧绿化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0.00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核减</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gz016</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八里桥公园</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东至八里桥1号路东与通州交界处，西至京通路北加油站东墙，南至京通辅路路牙行道树内，北至朝阳路南墙内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398597.68</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gz017</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旺角小区东北角绿地</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东至小寺村拆迁空地西，西至小寺沟东侧，南至小寺村排水沟北，北至旺角小区北</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28823.07</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gz018</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朝阳路</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东至八里桥1号路，西至杨闸清真寺西北角，南至杨闸及瑞祥里小区北墙，北至朝阳路路牙上铁艺围栏</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33261.84</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四建小区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东至管庄路、西至四建小区西墙、南至八十分路、北至柏林爱乐南侧路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1074.53</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邮局小区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919.85</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北内小区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东至管庄路、西至八十分小学、南至朝阳路北侧、北至管庄小区</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3708.00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科大北侧路</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北至科技大学、北至朝阳公元、西至管庄路、东至东十里铺路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3360.85</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司辛庄村村级路</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东至司辛庄东路、西至双桥中路、南至司辛庄路南侧、北至司辛庄路北侧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2651.02</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gz306</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西会村村级路</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东至普济桥西、西至西会村西侧路、南至西会村南侧路、北至京通辅路南侧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351.42</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gz307</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重兴寺公园</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0.00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核减</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gz308</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重兴寺公园</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left"/>
              <w:rPr>
                <w:rFonts w:hint="eastAsia" w:ascii="仿宋" w:hAnsi="仿宋" w:eastAsia="仿宋" w:cs="仿宋"/>
                <w:i w:val="0"/>
                <w:color w:val="auto"/>
                <w:sz w:val="22"/>
                <w:szCs w:val="22"/>
                <w:u w:val="none"/>
              </w:rPr>
            </w:pP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0.00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核减</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gz309</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管庄新村D区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6301.91</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gz310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东双会小区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1372.91</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gz311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管庄西里小区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1068.75</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gz312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管庄新村D区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28336.07</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gz313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管庄西里75号楼</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3606.59</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gz314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馨岛苑</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8437.45</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gz315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瑞祥里小区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66400.80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gz405</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塔营木材厂</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北至京哈铁路，南至广渠路，东至黑庄户界，西至铁路用地</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18207.66</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杨闸村南侧</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北至杨闸村项目用地，南至京通路，东至加油站，西至双桥东路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39920.78</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东会三角地</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北至京通路，南至通惠河，</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东至京通路，西至中传基地</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13023.31</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gz406</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郭家场村广渠路北侧</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北至京哈铁路，南至广渠路，</w:t>
            </w:r>
            <w:r>
              <w:rPr>
                <w:rFonts w:hint="eastAsia" w:ascii="仿宋" w:hAnsi="仿宋" w:eastAsia="仿宋" w:cs="仿宋"/>
                <w:i w:val="0"/>
                <w:color w:val="auto"/>
                <w:kern w:val="0"/>
                <w:sz w:val="22"/>
                <w:szCs w:val="22"/>
                <w:u w:val="none"/>
                <w:lang w:val="en-US" w:eastAsia="zh-CN" w:bidi="ar"/>
              </w:rPr>
              <w:br w:type="textWrapping"/>
            </w:r>
            <w:r>
              <w:rPr>
                <w:rFonts w:hint="eastAsia" w:ascii="仿宋" w:hAnsi="仿宋" w:eastAsia="仿宋" w:cs="仿宋"/>
                <w:i w:val="0"/>
                <w:color w:val="auto"/>
                <w:kern w:val="0"/>
                <w:sz w:val="22"/>
                <w:szCs w:val="22"/>
                <w:u w:val="none"/>
                <w:lang w:val="en-US" w:eastAsia="zh-CN" w:bidi="ar"/>
              </w:rPr>
              <w:t>东至通州界，西至双桥东路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45598.18</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38</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京申宝绿地</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东至围墙、南至司辛庄南街、西至双桥东路、北至京申宝4s店</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704.80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39</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建东苑东侧</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建东苑小区东门外部分绿植</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202.51</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gz407</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咸宁侯街</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东至学校西墙外、西至咸宁侯村西侧、南至两广路、北至咸宁侯机井房南侧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22452.11</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41</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gz408</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建材研究院外东侧</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东至小区外东北角、西至小区外东北角西侧、南至小区外东北角南侧、北至小区外东北角北侧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313.20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42</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gz409</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铁道桥北侧</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东至远洋新悦小区西墙外道路西侧、西至铁路桥东墙内、南至双桥路北侧、北至东一时区东南侧</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656.50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片林</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43</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gz410</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铁道桥东南侧</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南至广渠路绿化工程西墙外、北至铁路桥北侧东至双桥路西侧、西至小杨树林</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81.70</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44</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gz411</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杨闸回迁小区南区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12474.93</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45</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gz412</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杨闸回迁小区北区</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东至小区东墙内、西至小区西墙内、南至小区南墙内、北至小区北墙内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17440.82</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gz413</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双桥附中北侧绿化</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西至咸宁村、南至围墙、东至围墙、北至双桥中学</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4353.77</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片林</w:t>
            </w:r>
          </w:p>
        </w:tc>
      </w:tr>
      <w:tr>
        <w:tblPrEx>
          <w:tblCellMar>
            <w:top w:w="0" w:type="dxa"/>
            <w:left w:w="0" w:type="dxa"/>
            <w:bottom w:w="0" w:type="dxa"/>
            <w:right w:w="0" w:type="dxa"/>
          </w:tblCellMar>
        </w:tblPrEx>
        <w:trPr>
          <w:trHeight w:val="90" w:hRule="atLeast"/>
          <w:jc w:val="center"/>
        </w:trPr>
        <w:tc>
          <w:tcPr>
            <w:tcW w:w="67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47</w:t>
            </w:r>
          </w:p>
        </w:tc>
        <w:tc>
          <w:tcPr>
            <w:tcW w:w="85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gz414</w:t>
            </w:r>
          </w:p>
        </w:tc>
        <w:tc>
          <w:tcPr>
            <w:tcW w:w="7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管庄</w:t>
            </w:r>
          </w:p>
        </w:tc>
        <w:tc>
          <w:tcPr>
            <w:tcW w:w="22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双会桥东南（东会村西侧）</w:t>
            </w:r>
          </w:p>
        </w:tc>
        <w:tc>
          <w:tcPr>
            <w:tcW w:w="319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东至东会村、南东会村、西双桥东路、北东会村</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3303.85</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7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自管绿化面积合计</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795022.04</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7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自管片林面积合计</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5010.27</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r>
        <w:tblPrEx>
          <w:tblCellMar>
            <w:top w:w="0" w:type="dxa"/>
            <w:left w:w="0" w:type="dxa"/>
            <w:bottom w:w="0" w:type="dxa"/>
            <w:right w:w="0" w:type="dxa"/>
          </w:tblCellMar>
        </w:tblPrEx>
        <w:trPr>
          <w:trHeight w:val="90" w:hRule="atLeast"/>
          <w:jc w:val="center"/>
        </w:trPr>
        <w:tc>
          <w:tcPr>
            <w:tcW w:w="7745"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自管绿地面积总计</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auto"/>
                <w:sz w:val="22"/>
                <w:szCs w:val="22"/>
                <w:u w:val="none"/>
              </w:rPr>
            </w:pPr>
            <w:r>
              <w:rPr>
                <w:rFonts w:hint="eastAsia" w:ascii="仿宋" w:hAnsi="仿宋" w:eastAsia="仿宋" w:cs="仿宋"/>
                <w:i w:val="0"/>
                <w:color w:val="auto"/>
                <w:kern w:val="0"/>
                <w:sz w:val="22"/>
                <w:szCs w:val="22"/>
                <w:u w:val="none"/>
                <w:lang w:val="en-US" w:eastAsia="zh-CN" w:bidi="ar"/>
              </w:rPr>
              <w:t>800032.31</w:t>
            </w:r>
          </w:p>
        </w:tc>
        <w:tc>
          <w:tcPr>
            <w:tcW w:w="55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仿宋" w:hAnsi="仿宋" w:eastAsia="仿宋" w:cs="仿宋"/>
                <w:i w:val="0"/>
                <w:color w:val="auto"/>
                <w:sz w:val="22"/>
                <w:szCs w:val="22"/>
                <w:u w:val="none"/>
              </w:rPr>
            </w:pPr>
          </w:p>
        </w:tc>
      </w:tr>
    </w:tbl>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仿宋_GB2312" w:eastAsia="仿宋_GB2312"/>
          <w:color w:val="auto"/>
          <w:szCs w:val="24"/>
          <w:lang w:val="en-US" w:eastAsia="zh-CN"/>
        </w:rPr>
      </w:pPr>
    </w:p>
    <w:p>
      <w:pPr>
        <w:spacing w:line="440" w:lineRule="exact"/>
        <w:jc w:val="left"/>
        <w:rPr>
          <w:rFonts w:hint="eastAsia" w:eastAsia="宋体"/>
          <w:b/>
          <w:color w:val="auto"/>
          <w:sz w:val="18"/>
          <w:szCs w:val="18"/>
          <w:lang w:eastAsia="zh-CN"/>
        </w:rPr>
      </w:pPr>
      <w:r>
        <w:rPr>
          <w:rFonts w:hint="eastAsia"/>
          <w:color w:val="auto"/>
          <w:sz w:val="18"/>
          <w:szCs w:val="18"/>
          <w:lang w:eastAsia="zh-CN"/>
        </w:rPr>
        <w:t>注：</w:t>
      </w:r>
      <w:r>
        <w:rPr>
          <w:rFonts w:hint="eastAsia"/>
          <w:color w:val="auto"/>
          <w:sz w:val="18"/>
          <w:szCs w:val="18"/>
          <w:lang w:val="en-US" w:eastAsia="zh-CN"/>
        </w:rPr>
        <w:t>2021年</w:t>
      </w:r>
      <w:r>
        <w:rPr>
          <w:rFonts w:hint="eastAsia"/>
          <w:color w:val="auto"/>
          <w:sz w:val="18"/>
          <w:szCs w:val="18"/>
          <w:lang w:eastAsia="zh-CN"/>
        </w:rPr>
        <w:t>面积以财政局核定面积为准。</w:t>
      </w: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18"/>
          <w:szCs w:val="18"/>
        </w:rPr>
      </w:pPr>
    </w:p>
    <w:p>
      <w:pPr>
        <w:spacing w:line="440" w:lineRule="exact"/>
        <w:jc w:val="both"/>
        <w:rPr>
          <w:rFonts w:hint="eastAsia"/>
          <w:b/>
          <w:color w:val="auto"/>
          <w:sz w:val="36"/>
          <w:szCs w:val="36"/>
        </w:rPr>
      </w:pPr>
      <w:r>
        <w:rPr>
          <w:rFonts w:hint="eastAsia"/>
          <w:b/>
          <w:color w:val="auto"/>
          <w:sz w:val="18"/>
          <w:szCs w:val="18"/>
        </w:rPr>
        <w:t>附件6</w:t>
      </w:r>
    </w:p>
    <w:p>
      <w:pPr>
        <w:jc w:val="center"/>
        <w:rPr>
          <w:rFonts w:hint="eastAsia" w:ascii="仿宋" w:hAnsi="仿宋" w:eastAsia="仿宋" w:cs="仿宋"/>
          <w:color w:val="auto"/>
          <w:szCs w:val="24"/>
        </w:rPr>
      </w:pPr>
      <w:r>
        <w:rPr>
          <w:rFonts w:hint="eastAsia" w:ascii="仿宋" w:hAnsi="仿宋" w:eastAsia="仿宋" w:cs="仿宋"/>
          <w:color w:val="auto"/>
          <w:szCs w:val="24"/>
        </w:rPr>
        <w:t>朝阳区平原生态林、乡自管公园绿地管护地块分布图</w:t>
      </w:r>
    </w:p>
    <w:p>
      <w:pPr>
        <w:jc w:val="center"/>
        <w:rPr>
          <w:rFonts w:ascii="仿宋" w:hAnsi="仿宋" w:eastAsia="仿宋" w:cs="仿宋"/>
          <w:color w:val="auto"/>
        </w:rPr>
      </w:pPr>
      <w:r>
        <w:rPr>
          <w:rFonts w:hint="eastAsia" w:ascii="仿宋" w:hAnsi="仿宋" w:eastAsia="仿宋" w:cs="仿宋"/>
          <w:color w:val="auto"/>
        </w:rPr>
        <w:t>（签约时招标人另行提供）</w:t>
      </w:r>
    </w:p>
    <w:p>
      <w:pPr>
        <w:jc w:val="center"/>
        <w:rPr>
          <w:rFonts w:hint="eastAsia" w:ascii="仿宋" w:hAnsi="仿宋" w:eastAsia="仿宋" w:cs="仿宋"/>
          <w:color w:val="auto"/>
          <w:szCs w:val="24"/>
        </w:rPr>
      </w:pPr>
    </w:p>
    <w:p>
      <w:pPr>
        <w:jc w:val="center"/>
        <w:rPr>
          <w:rFonts w:hint="eastAsia" w:ascii="仿宋" w:hAnsi="仿宋" w:eastAsia="仿宋" w:cs="仿宋"/>
          <w:color w:val="auto"/>
          <w:szCs w:val="24"/>
        </w:rPr>
      </w:pPr>
    </w:p>
    <w:p>
      <w:pPr>
        <w:spacing w:line="440" w:lineRule="exact"/>
        <w:jc w:val="both"/>
        <w:rPr>
          <w:rFonts w:hint="eastAsia"/>
          <w:b/>
          <w:color w:val="auto"/>
          <w:sz w:val="18"/>
          <w:szCs w:val="18"/>
          <w:lang w:val="en-US" w:eastAsia="zh-CN"/>
        </w:rPr>
      </w:pPr>
      <w:r>
        <w:rPr>
          <w:rFonts w:hint="eastAsia"/>
          <w:b/>
          <w:color w:val="auto"/>
          <w:sz w:val="18"/>
          <w:szCs w:val="18"/>
          <w:lang w:eastAsia="zh-CN"/>
        </w:rPr>
        <w:t>附件</w:t>
      </w:r>
      <w:r>
        <w:rPr>
          <w:rFonts w:hint="eastAsia"/>
          <w:b/>
          <w:color w:val="auto"/>
          <w:sz w:val="18"/>
          <w:szCs w:val="18"/>
          <w:lang w:val="en-US" w:eastAsia="zh-CN"/>
        </w:rPr>
        <w:t>7</w:t>
      </w:r>
    </w:p>
    <w:p>
      <w:pPr>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农民工工资发放承诺书</w:t>
      </w:r>
    </w:p>
    <w:p>
      <w:pPr>
        <w:rPr>
          <w:rFonts w:hint="eastAsia" w:ascii="仿宋_GB2312" w:hAnsi="仿宋_GB2312" w:eastAsia="仿宋_GB2312" w:cs="仿宋_GB2312"/>
          <w:color w:val="auto"/>
          <w:sz w:val="21"/>
          <w:szCs w:val="21"/>
        </w:rPr>
      </w:pPr>
    </w:p>
    <w:p>
      <w:pPr>
        <w:spacing w:line="360" w:lineRule="auto"/>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我公司申明并保证，我公司承诺在绿化养护项目中，按月定时向农民工发放工资，保证不拖欠农民工工资。若其他原因导致出现拖欠事项或因此造成人员上访问题我公司保证立即积极解决，对拖欠工资造成不良印象的事项我公司自愿接受招标人的处罚。我公司承诺，甲方（招标人）可随时动用支付我公司的养护经费用于解决我公司拖欠农民工工资及其孳生的所有问题，我公司对此均予以承认，并放弃提出质疑和异议的权利。</w:t>
      </w:r>
    </w:p>
    <w:p>
      <w:pPr>
        <w:spacing w:line="360" w:lineRule="auto"/>
        <w:ind w:firstLine="437"/>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我公司保证上述信息的真实和准确，并愿意承担因我公司就此弄虚作假所引起的一切后果。</w:t>
      </w:r>
    </w:p>
    <w:p>
      <w:pPr>
        <w:spacing w:line="360" w:lineRule="auto"/>
        <w:ind w:firstLine="437"/>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特此承诺。</w:t>
      </w:r>
    </w:p>
    <w:p>
      <w:pPr>
        <w:ind w:firstLine="435"/>
        <w:rPr>
          <w:rFonts w:hint="eastAsia" w:ascii="仿宋_GB2312" w:hAnsi="仿宋_GB2312" w:eastAsia="仿宋_GB2312" w:cs="仿宋_GB2312"/>
          <w:color w:val="auto"/>
          <w:sz w:val="21"/>
          <w:szCs w:val="21"/>
        </w:rPr>
      </w:pPr>
    </w:p>
    <w:p>
      <w:pPr>
        <w:spacing w:line="360" w:lineRule="auto"/>
        <w:ind w:right="64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承诺人（公司）:</w:t>
      </w:r>
    </w:p>
    <w:p>
      <w:pPr>
        <w:spacing w:line="360" w:lineRule="auto"/>
        <w:ind w:right="64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法定代表人：</w:t>
      </w:r>
    </w:p>
    <w:p>
      <w:pPr>
        <w:spacing w:line="360" w:lineRule="auto"/>
        <w:ind w:right="64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                                 日期: xxxx年xx月xx日</w:t>
      </w:r>
    </w:p>
    <w:p>
      <w:pPr>
        <w:spacing w:line="360" w:lineRule="auto"/>
        <w:ind w:right="640"/>
        <w:jc w:val="center"/>
        <w:rPr>
          <w:rFonts w:hint="eastAsia" w:ascii="仿宋_GB2312" w:hAnsi="仿宋_GB2312" w:eastAsia="仿宋_GB2312" w:cs="仿宋_GB2312"/>
          <w:color w:val="auto"/>
          <w:sz w:val="21"/>
          <w:szCs w:val="21"/>
        </w:rPr>
      </w:pPr>
    </w:p>
    <w:p>
      <w:pPr>
        <w:spacing w:line="360" w:lineRule="auto"/>
        <w:ind w:firstLine="435"/>
        <w:rPr>
          <w:rFonts w:hint="eastAsia" w:ascii="仿宋_GB2312" w:hAnsi="仿宋_GB2312" w:eastAsia="仿宋_GB2312" w:cs="仿宋_GB2312"/>
          <w:color w:val="auto"/>
          <w:sz w:val="32"/>
          <w:szCs w:val="32"/>
        </w:rPr>
      </w:pPr>
    </w:p>
    <w:p>
      <w:pPr>
        <w:snapToGrid w:val="0"/>
        <w:spacing w:line="360" w:lineRule="auto"/>
        <w:rPr>
          <w:rFonts w:hint="eastAsia"/>
          <w:b/>
          <w:color w:val="auto"/>
          <w:sz w:val="18"/>
          <w:szCs w:val="18"/>
        </w:rPr>
      </w:pPr>
    </w:p>
    <w:p>
      <w:pPr>
        <w:jc w:val="center"/>
        <w:rPr>
          <w:rFonts w:hint="eastAsia" w:ascii="仿宋" w:hAnsi="仿宋" w:eastAsia="仿宋" w:cs="仿宋"/>
          <w:color w:val="auto"/>
          <w:szCs w:val="24"/>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rPr>
          <w:rFonts w:ascii="Times New Roman" w:hAnsi="Times New Roman" w:cstheme="minorBidi"/>
          <w:b/>
          <w:bCs/>
          <w:color w:val="auto"/>
          <w:kern w:val="2"/>
          <w:sz w:val="32"/>
          <w:szCs w:val="32"/>
          <w:lang w:eastAsia="zh-CN"/>
        </w:rPr>
      </w:pPr>
    </w:p>
    <w:p>
      <w:pPr>
        <w:pStyle w:val="34"/>
        <w:spacing w:before="120" w:after="120"/>
        <w:rPr>
          <w:rFonts w:ascii="Times New Roman" w:hAnsi="Times New Roman" w:eastAsia="宋体"/>
          <w:color w:val="auto"/>
          <w:lang w:eastAsia="zh-CN"/>
        </w:rPr>
      </w:pPr>
      <w:bookmarkStart w:id="430" w:name="_Toc42528025"/>
      <w:r>
        <w:rPr>
          <w:rFonts w:ascii="Times New Roman" w:hAnsi="Times New Roman" w:eastAsia="宋体"/>
          <w:color w:val="auto"/>
          <w:lang w:eastAsia="zh-CN"/>
        </w:rPr>
        <w:t>第</w:t>
      </w:r>
      <w:r>
        <w:rPr>
          <w:rFonts w:hint="eastAsia" w:ascii="Times New Roman" w:hAnsi="Times New Roman" w:eastAsia="宋体"/>
          <w:color w:val="auto"/>
          <w:lang w:eastAsia="zh-CN"/>
        </w:rPr>
        <w:t>六</w:t>
      </w:r>
      <w:r>
        <w:rPr>
          <w:rFonts w:ascii="Times New Roman" w:hAnsi="Times New Roman" w:eastAsia="宋体"/>
          <w:color w:val="auto"/>
          <w:lang w:eastAsia="zh-CN"/>
        </w:rPr>
        <w:t>章</w:t>
      </w:r>
      <w:r>
        <w:rPr>
          <w:rFonts w:ascii="Times New Roman" w:hAnsi="Times New Roman" w:eastAsia="宋体"/>
          <w:color w:val="auto"/>
          <w:lang w:eastAsia="zh-CN"/>
        </w:rPr>
        <w:tab/>
      </w:r>
      <w:r>
        <w:rPr>
          <w:rFonts w:ascii="Times New Roman" w:hAnsi="Times New Roman" w:eastAsia="宋体"/>
          <w:color w:val="auto"/>
          <w:lang w:eastAsia="zh-CN"/>
        </w:rPr>
        <w:t>投标文件格式</w:t>
      </w:r>
      <w:bookmarkEnd w:id="427"/>
      <w:bookmarkEnd w:id="428"/>
      <w:bookmarkEnd w:id="430"/>
    </w:p>
    <w:p>
      <w:pPr>
        <w:pStyle w:val="12"/>
        <w:spacing w:before="3"/>
        <w:rPr>
          <w:rFonts w:ascii="Times New Roman" w:hAnsi="Times New Roman"/>
          <w:b/>
          <w:color w:val="auto"/>
          <w:lang w:eastAsia="zh-CN"/>
        </w:rPr>
      </w:pPr>
    </w:p>
    <w:p>
      <w:pPr>
        <w:pStyle w:val="4"/>
        <w:keepNext w:val="0"/>
        <w:keepLines w:val="0"/>
        <w:rPr>
          <w:rFonts w:ascii="Times New Roman" w:hAnsi="Times New Roman"/>
          <w:b w:val="0"/>
          <w:color w:val="auto"/>
        </w:rPr>
      </w:pPr>
      <w:bookmarkStart w:id="431" w:name="_Toc522884065"/>
      <w:bookmarkStart w:id="432" w:name="_Toc519721511"/>
      <w:r>
        <w:rPr>
          <w:rFonts w:hint="eastAsia" w:ascii="Times New Roman" w:hAnsi="Times New Roman"/>
          <w:color w:val="auto"/>
        </w:rPr>
        <w:t>一、</w:t>
      </w:r>
      <w:bookmarkEnd w:id="431"/>
      <w:bookmarkEnd w:id="432"/>
      <w:r>
        <w:rPr>
          <w:rFonts w:hint="eastAsia" w:ascii="Times New Roman" w:hAnsi="Times New Roman"/>
          <w:color w:val="auto"/>
        </w:rPr>
        <w:t>资格证明文件</w:t>
      </w:r>
    </w:p>
    <w:p>
      <w:pPr>
        <w:pStyle w:val="5"/>
        <w:keepNext w:val="0"/>
        <w:keepLines w:val="0"/>
        <w:spacing w:before="240" w:beforeLines="100" w:after="240" w:afterLines="100" w:line="360" w:lineRule="auto"/>
        <w:jc w:val="center"/>
        <w:rPr>
          <w:rFonts w:ascii="Times New Roman"/>
          <w:color w:val="auto"/>
        </w:rPr>
      </w:pPr>
      <w:bookmarkStart w:id="433" w:name="_Toc522884066"/>
      <w:r>
        <w:rPr>
          <w:rFonts w:hint="eastAsia" w:ascii="Times New Roman"/>
          <w:color w:val="auto"/>
        </w:rPr>
        <w:t>目  录</w:t>
      </w:r>
      <w:bookmarkEnd w:id="433"/>
    </w:p>
    <w:p>
      <w:pPr>
        <w:pStyle w:val="12"/>
        <w:numPr>
          <w:ilvl w:val="0"/>
          <w:numId w:val="23"/>
        </w:numPr>
        <w:spacing w:line="360" w:lineRule="auto"/>
        <w:ind w:left="780" w:hanging="780" w:hangingChars="325"/>
        <w:rPr>
          <w:rFonts w:ascii="Times New Roman" w:hAnsi="Times New Roman"/>
          <w:color w:val="auto"/>
          <w:lang w:eastAsia="zh-CN"/>
        </w:rPr>
      </w:pPr>
      <w:r>
        <w:rPr>
          <w:color w:val="auto"/>
          <w:lang w:eastAsia="zh-CN"/>
        </w:rPr>
        <w:t>投标人基本情况表</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主体资格证书</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法定代表人授权书</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法定代表人身份证明</w:t>
      </w:r>
    </w:p>
    <w:p>
      <w:pPr>
        <w:pStyle w:val="12"/>
        <w:numPr>
          <w:ilvl w:val="0"/>
          <w:numId w:val="23"/>
        </w:numPr>
        <w:spacing w:line="360" w:lineRule="auto"/>
        <w:ind w:left="780" w:hanging="780" w:hangingChars="325"/>
        <w:rPr>
          <w:rFonts w:ascii="Times New Roman" w:hAnsi="Times New Roman"/>
          <w:color w:val="auto"/>
          <w:lang w:eastAsia="zh-CN"/>
        </w:rPr>
      </w:pPr>
      <w:r>
        <w:rPr>
          <w:color w:val="auto"/>
          <w:lang w:eastAsia="zh-CN"/>
        </w:rPr>
        <w:t>联合体协议书</w:t>
      </w:r>
      <w:bookmarkStart w:id="434" w:name="_Hlk13055365"/>
      <w:r>
        <w:rPr>
          <w:rFonts w:hint="eastAsia"/>
          <w:color w:val="auto"/>
          <w:lang w:eastAsia="zh-CN"/>
        </w:rPr>
        <w:t>（不适用）</w:t>
      </w:r>
    </w:p>
    <w:bookmarkEnd w:id="434"/>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投标人的资信证明</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投标保证金（担保）缴纳证明</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依法缴纳税收的记录</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社会保障资金缴纳记录</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参加政府采购活动前三年内在经营活动中没有重大违法记录的声明</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具有履行合同所必需的设备和专业技术能力的声明</w:t>
      </w:r>
    </w:p>
    <w:p>
      <w:pPr>
        <w:pStyle w:val="12"/>
        <w:numPr>
          <w:ilvl w:val="0"/>
          <w:numId w:val="23"/>
        </w:numPr>
        <w:spacing w:line="360" w:lineRule="auto"/>
        <w:ind w:left="780" w:hanging="780" w:hangingChars="325"/>
        <w:rPr>
          <w:rFonts w:ascii="Times New Roman" w:hAnsi="Times New Roman"/>
          <w:color w:val="auto"/>
          <w:lang w:eastAsia="zh-CN"/>
        </w:rPr>
      </w:pPr>
      <w:r>
        <w:rPr>
          <w:rFonts w:hint="eastAsia" w:ascii="Times New Roman" w:hAnsi="Times New Roman"/>
          <w:color w:val="auto"/>
          <w:lang w:eastAsia="zh-CN"/>
        </w:rPr>
        <w:t>其他需要提供的资料</w:t>
      </w:r>
    </w:p>
    <w:p>
      <w:pPr>
        <w:spacing w:line="362" w:lineRule="exact"/>
        <w:ind w:left="217"/>
        <w:rPr>
          <w:rFonts w:ascii="Times New Roman" w:hAnsi="Times New Roman"/>
          <w:b/>
          <w:color w:val="auto"/>
          <w:sz w:val="24"/>
          <w:szCs w:val="24"/>
          <w:lang w:eastAsia="zh-CN"/>
        </w:rPr>
      </w:pPr>
    </w:p>
    <w:p>
      <w:pPr>
        <w:spacing w:line="362" w:lineRule="exact"/>
        <w:ind w:left="217"/>
        <w:rPr>
          <w:rFonts w:ascii="Times New Roman" w:hAnsi="Times New Roman"/>
          <w:b/>
          <w:color w:val="auto"/>
          <w:sz w:val="24"/>
          <w:szCs w:val="24"/>
          <w:lang w:eastAsia="zh-CN"/>
        </w:rPr>
      </w:pPr>
    </w:p>
    <w:p>
      <w:pPr>
        <w:pStyle w:val="12"/>
        <w:spacing w:before="6"/>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rPr>
          <w:rFonts w:ascii="Times New Roman"/>
          <w:color w:val="auto"/>
          <w:szCs w:val="24"/>
        </w:rPr>
      </w:pPr>
      <w:r>
        <w:rPr>
          <w:rFonts w:hint="eastAsia" w:ascii="Times New Roman"/>
          <w:color w:val="auto"/>
          <w:spacing w:val="10"/>
          <w:szCs w:val="24"/>
        </w:rPr>
        <w:t>附件</w:t>
      </w:r>
      <w:r>
        <w:rPr>
          <w:rFonts w:ascii="Times New Roman"/>
          <w:color w:val="auto"/>
          <w:spacing w:val="10"/>
          <w:szCs w:val="24"/>
        </w:rPr>
        <w:t>1</w:t>
      </w:r>
      <w:r>
        <w:rPr>
          <w:rFonts w:hint="eastAsia" w:ascii="Times New Roman"/>
          <w:color w:val="auto"/>
          <w:spacing w:val="10"/>
          <w:szCs w:val="24"/>
        </w:rPr>
        <w:t>、</w:t>
      </w:r>
      <w:r>
        <w:rPr>
          <w:rFonts w:hint="eastAsia" w:ascii="Times New Roman"/>
          <w:color w:val="auto"/>
          <w:szCs w:val="24"/>
        </w:rPr>
        <w:t>投标人基本</w:t>
      </w:r>
      <w:r>
        <w:rPr>
          <w:rFonts w:hint="eastAsia" w:ascii="Times New Roman"/>
          <w:color w:val="auto"/>
        </w:rPr>
        <w:t>情况</w:t>
      </w:r>
      <w:r>
        <w:rPr>
          <w:rFonts w:hint="eastAsia" w:ascii="Times New Roman"/>
          <w:color w:val="auto"/>
          <w:szCs w:val="24"/>
        </w:rPr>
        <w:t>表</w:t>
      </w:r>
    </w:p>
    <w:p>
      <w:pPr>
        <w:tabs>
          <w:tab w:val="left" w:pos="1119"/>
        </w:tabs>
        <w:spacing w:before="9" w:line="297" w:lineRule="auto"/>
        <w:ind w:left="217" w:right="3"/>
        <w:jc w:val="center"/>
        <w:rPr>
          <w:rFonts w:ascii="Times New Roman" w:hAnsi="Times New Roman"/>
          <w:b/>
          <w:color w:val="auto"/>
          <w:sz w:val="32"/>
          <w:szCs w:val="32"/>
          <w:lang w:eastAsia="zh-CN"/>
        </w:rPr>
      </w:pPr>
      <w:r>
        <w:rPr>
          <w:rFonts w:hint="eastAsia" w:ascii="Times New Roman" w:hAnsi="Times New Roman"/>
          <w:b/>
          <w:color w:val="auto"/>
          <w:sz w:val="24"/>
          <w:szCs w:val="24"/>
          <w:lang w:eastAsia="zh-CN"/>
        </w:rPr>
        <w:t>投标人基本情况表</w:t>
      </w:r>
    </w:p>
    <w:tbl>
      <w:tblPr>
        <w:tblStyle w:val="3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36"/>
        <w:gridCol w:w="1134"/>
        <w:gridCol w:w="112"/>
        <w:gridCol w:w="455"/>
        <w:gridCol w:w="1134"/>
        <w:gridCol w:w="425"/>
        <w:gridCol w:w="478"/>
        <w:gridCol w:w="656"/>
        <w:gridCol w:w="547"/>
        <w:gridCol w:w="269"/>
        <w:gridCol w:w="885"/>
        <w:gridCol w:w="283"/>
        <w:gridCol w:w="120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tblHeader/>
          <w:jc w:val="center"/>
        </w:trPr>
        <w:tc>
          <w:tcPr>
            <w:tcW w:w="1636" w:type="dxa"/>
            <w:vAlign w:val="center"/>
          </w:tcPr>
          <w:p>
            <w:pPr>
              <w:jc w:val="center"/>
              <w:rPr>
                <w:rFonts w:ascii="Times New Roman" w:hAnsi="Times New Roman"/>
                <w:color w:val="auto"/>
                <w:szCs w:val="21"/>
              </w:rPr>
            </w:pPr>
            <w:r>
              <w:rPr>
                <w:rFonts w:hint="eastAsia" w:ascii="Times New Roman" w:hAnsi="Times New Roman"/>
                <w:color w:val="auto"/>
                <w:szCs w:val="21"/>
              </w:rPr>
              <w:t>投标人名称</w:t>
            </w:r>
          </w:p>
        </w:tc>
        <w:tc>
          <w:tcPr>
            <w:tcW w:w="7586" w:type="dxa"/>
            <w:gridSpan w:val="12"/>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Align w:val="center"/>
          </w:tcPr>
          <w:p>
            <w:pPr>
              <w:jc w:val="center"/>
              <w:rPr>
                <w:rFonts w:ascii="Times New Roman" w:hAnsi="Times New Roman"/>
                <w:color w:val="auto"/>
                <w:szCs w:val="21"/>
              </w:rPr>
            </w:pPr>
            <w:r>
              <w:rPr>
                <w:rFonts w:hint="eastAsia" w:ascii="Times New Roman" w:hAnsi="Times New Roman"/>
                <w:color w:val="auto"/>
                <w:szCs w:val="21"/>
              </w:rPr>
              <w:t>注册地址</w:t>
            </w:r>
          </w:p>
        </w:tc>
        <w:tc>
          <w:tcPr>
            <w:tcW w:w="3738" w:type="dxa"/>
            <w:gridSpan w:val="6"/>
            <w:vAlign w:val="center"/>
          </w:tcPr>
          <w:p>
            <w:pPr>
              <w:jc w:val="center"/>
              <w:rPr>
                <w:rFonts w:ascii="Times New Roman" w:hAnsi="Times New Roman"/>
                <w:color w:val="auto"/>
                <w:szCs w:val="21"/>
              </w:rPr>
            </w:pPr>
          </w:p>
        </w:tc>
        <w:tc>
          <w:tcPr>
            <w:tcW w:w="1203"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邮政编码</w:t>
            </w:r>
          </w:p>
        </w:tc>
        <w:tc>
          <w:tcPr>
            <w:tcW w:w="2645" w:type="dxa"/>
            <w:gridSpan w:val="4"/>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Align w:val="center"/>
          </w:tcPr>
          <w:p>
            <w:pPr>
              <w:jc w:val="center"/>
              <w:rPr>
                <w:rFonts w:ascii="Times New Roman" w:hAnsi="Times New Roman"/>
                <w:color w:val="auto"/>
                <w:szCs w:val="21"/>
              </w:rPr>
            </w:pPr>
            <w:r>
              <w:rPr>
                <w:rFonts w:hint="eastAsia" w:ascii="Times New Roman" w:hAnsi="Times New Roman"/>
                <w:color w:val="auto"/>
                <w:szCs w:val="21"/>
              </w:rPr>
              <w:t>成立时间</w:t>
            </w:r>
          </w:p>
        </w:tc>
        <w:tc>
          <w:tcPr>
            <w:tcW w:w="3738" w:type="dxa"/>
            <w:gridSpan w:val="6"/>
            <w:vAlign w:val="center"/>
          </w:tcPr>
          <w:p>
            <w:pPr>
              <w:jc w:val="center"/>
              <w:rPr>
                <w:rFonts w:ascii="Times New Roman" w:hAnsi="Times New Roman"/>
                <w:color w:val="auto"/>
                <w:szCs w:val="21"/>
              </w:rPr>
            </w:pPr>
          </w:p>
        </w:tc>
        <w:tc>
          <w:tcPr>
            <w:tcW w:w="1203"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网</w:t>
            </w:r>
            <w:r>
              <w:rPr>
                <w:rFonts w:ascii="Times New Roman" w:hAnsi="Times New Roman"/>
                <w:color w:val="auto"/>
                <w:szCs w:val="21"/>
              </w:rPr>
              <w:tab/>
            </w:r>
            <w:r>
              <w:rPr>
                <w:rFonts w:hint="eastAsia" w:ascii="Times New Roman" w:hAnsi="Times New Roman"/>
                <w:color w:val="auto"/>
                <w:szCs w:val="21"/>
              </w:rPr>
              <w:t>址</w:t>
            </w:r>
          </w:p>
        </w:tc>
        <w:tc>
          <w:tcPr>
            <w:tcW w:w="2645" w:type="dxa"/>
            <w:gridSpan w:val="4"/>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联系方式</w:t>
            </w:r>
          </w:p>
        </w:tc>
        <w:tc>
          <w:tcPr>
            <w:tcW w:w="1246"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联</w:t>
            </w:r>
            <w:r>
              <w:rPr>
                <w:rFonts w:ascii="Times New Roman" w:hAnsi="Times New Roman"/>
                <w:color w:val="auto"/>
                <w:szCs w:val="21"/>
                <w:lang w:eastAsia="zh-CN"/>
              </w:rPr>
              <w:t xml:space="preserve">  </w:t>
            </w:r>
            <w:r>
              <w:rPr>
                <w:rFonts w:hint="eastAsia" w:ascii="Times New Roman" w:hAnsi="Times New Roman"/>
                <w:color w:val="auto"/>
                <w:szCs w:val="21"/>
              </w:rPr>
              <w:t>系</w:t>
            </w:r>
            <w:r>
              <w:rPr>
                <w:rFonts w:ascii="Times New Roman" w:hAnsi="Times New Roman"/>
                <w:color w:val="auto"/>
                <w:szCs w:val="21"/>
                <w:lang w:eastAsia="zh-CN"/>
              </w:rPr>
              <w:t xml:space="preserve">  </w:t>
            </w:r>
            <w:r>
              <w:rPr>
                <w:rFonts w:hint="eastAsia" w:ascii="Times New Roman" w:hAnsi="Times New Roman"/>
                <w:color w:val="auto"/>
                <w:szCs w:val="21"/>
              </w:rPr>
              <w:t>人</w:t>
            </w:r>
          </w:p>
        </w:tc>
        <w:tc>
          <w:tcPr>
            <w:tcW w:w="2492" w:type="dxa"/>
            <w:gridSpan w:val="4"/>
            <w:vAlign w:val="center"/>
          </w:tcPr>
          <w:p>
            <w:pPr>
              <w:jc w:val="center"/>
              <w:rPr>
                <w:rFonts w:ascii="Times New Roman" w:hAnsi="Times New Roman"/>
                <w:color w:val="auto"/>
                <w:szCs w:val="21"/>
              </w:rPr>
            </w:pPr>
          </w:p>
        </w:tc>
        <w:tc>
          <w:tcPr>
            <w:tcW w:w="1203"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电</w:t>
            </w:r>
            <w:r>
              <w:rPr>
                <w:rFonts w:ascii="Times New Roman" w:hAnsi="Times New Roman"/>
                <w:color w:val="auto"/>
                <w:szCs w:val="21"/>
              </w:rPr>
              <w:tab/>
            </w:r>
            <w:r>
              <w:rPr>
                <w:rFonts w:hint="eastAsia" w:ascii="Times New Roman" w:hAnsi="Times New Roman"/>
                <w:color w:val="auto"/>
                <w:szCs w:val="21"/>
              </w:rPr>
              <w:t>话</w:t>
            </w:r>
          </w:p>
        </w:tc>
        <w:tc>
          <w:tcPr>
            <w:tcW w:w="2645" w:type="dxa"/>
            <w:gridSpan w:val="4"/>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1246"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传</w:t>
            </w:r>
            <w:r>
              <w:rPr>
                <w:rFonts w:ascii="Times New Roman" w:hAnsi="Times New Roman"/>
                <w:color w:val="auto"/>
                <w:szCs w:val="21"/>
              </w:rPr>
              <w:tab/>
            </w:r>
            <w:r>
              <w:rPr>
                <w:rFonts w:hint="eastAsia" w:ascii="Times New Roman" w:hAnsi="Times New Roman"/>
                <w:color w:val="auto"/>
                <w:szCs w:val="21"/>
              </w:rPr>
              <w:t>真</w:t>
            </w:r>
          </w:p>
        </w:tc>
        <w:tc>
          <w:tcPr>
            <w:tcW w:w="2492" w:type="dxa"/>
            <w:gridSpan w:val="4"/>
            <w:vAlign w:val="center"/>
          </w:tcPr>
          <w:p>
            <w:pPr>
              <w:jc w:val="center"/>
              <w:rPr>
                <w:rFonts w:ascii="Times New Roman" w:hAnsi="Times New Roman"/>
                <w:color w:val="auto"/>
                <w:szCs w:val="21"/>
              </w:rPr>
            </w:pPr>
          </w:p>
        </w:tc>
        <w:tc>
          <w:tcPr>
            <w:tcW w:w="1203"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邮</w:t>
            </w:r>
            <w:r>
              <w:rPr>
                <w:rFonts w:ascii="Times New Roman" w:hAnsi="Times New Roman"/>
                <w:color w:val="auto"/>
                <w:szCs w:val="21"/>
              </w:rPr>
              <w:tab/>
            </w:r>
            <w:r>
              <w:rPr>
                <w:rFonts w:hint="eastAsia" w:ascii="Times New Roman" w:hAnsi="Times New Roman"/>
                <w:color w:val="auto"/>
                <w:szCs w:val="21"/>
              </w:rPr>
              <w:t>箱</w:t>
            </w:r>
          </w:p>
        </w:tc>
        <w:tc>
          <w:tcPr>
            <w:tcW w:w="2645" w:type="dxa"/>
            <w:gridSpan w:val="4"/>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Align w:val="center"/>
          </w:tcPr>
          <w:p>
            <w:pPr>
              <w:jc w:val="center"/>
              <w:rPr>
                <w:rFonts w:ascii="Times New Roman" w:hAnsi="Times New Roman"/>
                <w:color w:val="auto"/>
                <w:szCs w:val="21"/>
              </w:rPr>
            </w:pPr>
            <w:r>
              <w:rPr>
                <w:rFonts w:hint="eastAsia" w:ascii="Times New Roman" w:hAnsi="Times New Roman"/>
                <w:color w:val="auto"/>
                <w:szCs w:val="21"/>
              </w:rPr>
              <w:t>统一社会信用代码</w:t>
            </w:r>
          </w:p>
        </w:tc>
        <w:tc>
          <w:tcPr>
            <w:tcW w:w="7586" w:type="dxa"/>
            <w:gridSpan w:val="12"/>
            <w:vAlign w:val="center"/>
          </w:tcPr>
          <w:p>
            <w:pPr>
              <w:rPr>
                <w:rFonts w:ascii="Times New Roman" w:hAnsi="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Align w:val="center"/>
          </w:tcPr>
          <w:p>
            <w:pPr>
              <w:jc w:val="center"/>
              <w:rPr>
                <w:rFonts w:ascii="Times New Roman" w:hAnsi="Times New Roman"/>
                <w:color w:val="auto"/>
              </w:rPr>
            </w:pPr>
            <w:r>
              <w:rPr>
                <w:rFonts w:hint="eastAsia" w:ascii="Times New Roman" w:hAnsi="Times New Roman"/>
                <w:color w:val="auto"/>
              </w:rPr>
              <w:t>企业性质</w:t>
            </w:r>
          </w:p>
        </w:tc>
        <w:tc>
          <w:tcPr>
            <w:tcW w:w="7586" w:type="dxa"/>
            <w:gridSpan w:val="12"/>
            <w:vAlign w:val="center"/>
          </w:tcPr>
          <w:p>
            <w:pPr>
              <w:rPr>
                <w:rFonts w:ascii="Times New Roman" w:hAnsi="Times New Roman"/>
                <w:color w:val="auto"/>
                <w:lang w:eastAsia="zh-CN"/>
              </w:rPr>
            </w:pPr>
            <w:r>
              <w:rPr>
                <w:rFonts w:hint="eastAsia" w:ascii="Times New Roman" w:hAnsi="Times New Roman"/>
                <w:color w:val="auto"/>
                <w:lang w:eastAsia="zh-CN"/>
              </w:rPr>
              <w:t>□国营企业</w:t>
            </w:r>
            <w:r>
              <w:rPr>
                <w:rFonts w:hint="eastAsia" w:ascii="Times New Roman" w:hAnsi="Times New Roman"/>
                <w:color w:val="auto"/>
                <w:szCs w:val="21"/>
                <w:lang w:eastAsia="zh-CN"/>
              </w:rPr>
              <w:t>…</w:t>
            </w:r>
            <w:r>
              <w:rPr>
                <w:rFonts w:hint="eastAsia" w:ascii="Times New Roman" w:hAnsi="Times New Roman"/>
                <w:color w:val="auto"/>
                <w:lang w:eastAsia="zh-CN"/>
              </w:rPr>
              <w:t>□民营企业</w:t>
            </w:r>
            <w:r>
              <w:rPr>
                <w:rFonts w:hint="eastAsia" w:ascii="Times New Roman" w:hAnsi="Times New Roman"/>
                <w:color w:val="auto"/>
                <w:szCs w:val="21"/>
                <w:lang w:eastAsia="zh-CN"/>
              </w:rPr>
              <w:t>…</w:t>
            </w:r>
            <w:r>
              <w:rPr>
                <w:rFonts w:hint="eastAsia" w:ascii="Times New Roman" w:hAnsi="Times New Roman"/>
                <w:color w:val="auto"/>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Align w:val="center"/>
          </w:tcPr>
          <w:p>
            <w:pPr>
              <w:jc w:val="center"/>
              <w:rPr>
                <w:rFonts w:ascii="Times New Roman" w:hAnsi="Times New Roman"/>
                <w:color w:val="auto"/>
              </w:rPr>
            </w:pPr>
            <w:r>
              <w:rPr>
                <w:rFonts w:hint="eastAsia" w:ascii="Times New Roman" w:hAnsi="Times New Roman"/>
                <w:color w:val="auto"/>
              </w:rPr>
              <w:t>注册资本金</w:t>
            </w:r>
          </w:p>
        </w:tc>
        <w:tc>
          <w:tcPr>
            <w:tcW w:w="3260" w:type="dxa"/>
            <w:gridSpan w:val="5"/>
            <w:vAlign w:val="center"/>
          </w:tcPr>
          <w:p>
            <w:pPr>
              <w:jc w:val="center"/>
              <w:rPr>
                <w:rFonts w:ascii="Times New Roman" w:hAnsi="Times New Roman"/>
                <w:color w:val="auto"/>
              </w:rPr>
            </w:pPr>
          </w:p>
        </w:tc>
        <w:tc>
          <w:tcPr>
            <w:tcW w:w="1134" w:type="dxa"/>
            <w:gridSpan w:val="2"/>
            <w:vAlign w:val="center"/>
          </w:tcPr>
          <w:p>
            <w:pPr>
              <w:jc w:val="center"/>
              <w:rPr>
                <w:rFonts w:ascii="Times New Roman" w:hAnsi="Times New Roman"/>
                <w:color w:val="auto"/>
              </w:rPr>
            </w:pPr>
            <w:r>
              <w:rPr>
                <w:rFonts w:hint="eastAsia" w:ascii="Times New Roman" w:hAnsi="Times New Roman"/>
                <w:color w:val="auto"/>
              </w:rPr>
              <w:t>总资产</w:t>
            </w:r>
          </w:p>
        </w:tc>
        <w:tc>
          <w:tcPr>
            <w:tcW w:w="3192" w:type="dxa"/>
            <w:gridSpan w:val="5"/>
            <w:vAlign w:val="center"/>
          </w:tcPr>
          <w:p>
            <w:pPr>
              <w:jc w:val="center"/>
              <w:rPr>
                <w:rFonts w:ascii="Times New Roman" w:hAnsi="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restart"/>
            <w:vAlign w:val="center"/>
          </w:tcPr>
          <w:p>
            <w:pPr>
              <w:jc w:val="center"/>
              <w:rPr>
                <w:rFonts w:ascii="Times New Roman" w:hAnsi="Times New Roman"/>
                <w:color w:val="auto"/>
              </w:rPr>
            </w:pPr>
            <w:r>
              <w:rPr>
                <w:rFonts w:hint="eastAsia" w:ascii="Times New Roman" w:hAnsi="Times New Roman"/>
                <w:color w:val="auto"/>
              </w:rPr>
              <w:t>公司股东情况</w:t>
            </w:r>
          </w:p>
        </w:tc>
        <w:tc>
          <w:tcPr>
            <w:tcW w:w="2835" w:type="dxa"/>
            <w:gridSpan w:val="4"/>
            <w:vAlign w:val="center"/>
          </w:tcPr>
          <w:p>
            <w:pPr>
              <w:jc w:val="center"/>
              <w:rPr>
                <w:rFonts w:ascii="Times New Roman" w:hAnsi="Times New Roman"/>
                <w:color w:val="auto"/>
              </w:rPr>
            </w:pPr>
            <w:r>
              <w:rPr>
                <w:rFonts w:hint="eastAsia" w:ascii="Times New Roman" w:hAnsi="Times New Roman"/>
                <w:color w:val="auto"/>
              </w:rPr>
              <w:t>股东名称</w:t>
            </w:r>
          </w:p>
        </w:tc>
        <w:tc>
          <w:tcPr>
            <w:tcW w:w="3543" w:type="dxa"/>
            <w:gridSpan w:val="7"/>
            <w:vAlign w:val="center"/>
          </w:tcPr>
          <w:p>
            <w:pPr>
              <w:jc w:val="center"/>
              <w:rPr>
                <w:rFonts w:ascii="Times New Roman" w:hAnsi="Times New Roman"/>
                <w:color w:val="auto"/>
                <w:lang w:eastAsia="zh-CN"/>
              </w:rPr>
            </w:pPr>
            <w:r>
              <w:rPr>
                <w:rFonts w:hint="eastAsia" w:ascii="Times New Roman" w:hAnsi="Times New Roman"/>
                <w:color w:val="auto"/>
                <w:szCs w:val="21"/>
                <w:lang w:eastAsia="zh-CN"/>
              </w:rPr>
              <w:t>统一社会信用代码</w:t>
            </w:r>
            <w:r>
              <w:rPr>
                <w:rFonts w:hint="eastAsia" w:ascii="Times New Roman" w:hAnsi="Times New Roman"/>
                <w:color w:val="auto"/>
                <w:lang w:eastAsia="zh-CN"/>
              </w:rPr>
              <w:t>或身份证证号</w:t>
            </w:r>
          </w:p>
        </w:tc>
        <w:tc>
          <w:tcPr>
            <w:tcW w:w="1208" w:type="dxa"/>
            <w:vAlign w:val="center"/>
          </w:tcPr>
          <w:p>
            <w:pPr>
              <w:jc w:val="center"/>
              <w:rPr>
                <w:rFonts w:ascii="Times New Roman" w:hAnsi="Times New Roman"/>
                <w:color w:val="auto"/>
              </w:rPr>
            </w:pPr>
            <w:r>
              <w:rPr>
                <w:rFonts w:hint="eastAsia" w:ascii="Times New Roman" w:hAnsi="Times New Roman"/>
                <w:color w:val="auto"/>
              </w:rPr>
              <w:t>持股比例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rPr>
            </w:pPr>
          </w:p>
        </w:tc>
        <w:tc>
          <w:tcPr>
            <w:tcW w:w="2835" w:type="dxa"/>
            <w:gridSpan w:val="4"/>
            <w:vAlign w:val="center"/>
          </w:tcPr>
          <w:p>
            <w:pPr>
              <w:jc w:val="center"/>
              <w:rPr>
                <w:rFonts w:ascii="Times New Roman" w:hAnsi="Times New Roman"/>
                <w:color w:val="auto"/>
              </w:rPr>
            </w:pPr>
          </w:p>
        </w:tc>
        <w:tc>
          <w:tcPr>
            <w:tcW w:w="3543" w:type="dxa"/>
            <w:gridSpan w:val="7"/>
            <w:vAlign w:val="center"/>
          </w:tcPr>
          <w:p>
            <w:pPr>
              <w:jc w:val="center"/>
              <w:rPr>
                <w:rFonts w:ascii="Times New Roman" w:hAnsi="Times New Roman"/>
                <w:color w:val="auto"/>
              </w:rPr>
            </w:pPr>
          </w:p>
        </w:tc>
        <w:tc>
          <w:tcPr>
            <w:tcW w:w="1208" w:type="dxa"/>
            <w:vAlign w:val="center"/>
          </w:tcPr>
          <w:p>
            <w:pPr>
              <w:jc w:val="center"/>
              <w:rPr>
                <w:rFonts w:ascii="Times New Roman" w:hAnsi="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rPr>
            </w:pPr>
          </w:p>
        </w:tc>
        <w:tc>
          <w:tcPr>
            <w:tcW w:w="2835" w:type="dxa"/>
            <w:gridSpan w:val="4"/>
            <w:vAlign w:val="center"/>
          </w:tcPr>
          <w:p>
            <w:pPr>
              <w:jc w:val="center"/>
              <w:rPr>
                <w:rFonts w:ascii="Times New Roman" w:hAnsi="Times New Roman"/>
                <w:color w:val="auto"/>
              </w:rPr>
            </w:pPr>
          </w:p>
        </w:tc>
        <w:tc>
          <w:tcPr>
            <w:tcW w:w="3543" w:type="dxa"/>
            <w:gridSpan w:val="7"/>
            <w:vAlign w:val="center"/>
          </w:tcPr>
          <w:p>
            <w:pPr>
              <w:jc w:val="center"/>
              <w:rPr>
                <w:rFonts w:ascii="Times New Roman" w:hAnsi="Times New Roman"/>
                <w:color w:val="auto"/>
              </w:rPr>
            </w:pPr>
          </w:p>
        </w:tc>
        <w:tc>
          <w:tcPr>
            <w:tcW w:w="1208" w:type="dxa"/>
            <w:vAlign w:val="center"/>
          </w:tcPr>
          <w:p>
            <w:pPr>
              <w:jc w:val="center"/>
              <w:rPr>
                <w:rFonts w:ascii="Times New Roman" w:hAnsi="Times New Roman"/>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restart"/>
            <w:vAlign w:val="center"/>
          </w:tcPr>
          <w:p>
            <w:pPr>
              <w:jc w:val="center"/>
              <w:rPr>
                <w:rFonts w:ascii="Times New Roman" w:hAnsi="Times New Roman"/>
                <w:color w:val="auto"/>
                <w:szCs w:val="21"/>
                <w:lang w:eastAsia="zh-CN"/>
              </w:rPr>
            </w:pPr>
            <w:r>
              <w:rPr>
                <w:rFonts w:hint="eastAsia" w:ascii="Times New Roman" w:hAnsi="Times New Roman"/>
                <w:color w:val="auto"/>
                <w:szCs w:val="21"/>
                <w:lang w:eastAsia="zh-CN"/>
              </w:rPr>
              <w:t>公司主要管理人员情况</w:t>
            </w:r>
          </w:p>
        </w:tc>
        <w:tc>
          <w:tcPr>
            <w:tcW w:w="1134" w:type="dxa"/>
            <w:vAlign w:val="center"/>
          </w:tcPr>
          <w:p>
            <w:pPr>
              <w:jc w:val="center"/>
              <w:rPr>
                <w:rFonts w:ascii="Times New Roman" w:hAnsi="Times New Roman"/>
                <w:color w:val="auto"/>
                <w:szCs w:val="21"/>
              </w:rPr>
            </w:pPr>
            <w:r>
              <w:rPr>
                <w:rFonts w:hint="eastAsia" w:ascii="Times New Roman" w:hAnsi="Times New Roman"/>
                <w:color w:val="auto"/>
                <w:szCs w:val="21"/>
              </w:rPr>
              <w:t>职务</w:t>
            </w:r>
          </w:p>
        </w:tc>
        <w:tc>
          <w:tcPr>
            <w:tcW w:w="1701"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姓名</w:t>
            </w:r>
          </w:p>
        </w:tc>
        <w:tc>
          <w:tcPr>
            <w:tcW w:w="2375" w:type="dxa"/>
            <w:gridSpan w:val="5"/>
            <w:vAlign w:val="center"/>
          </w:tcPr>
          <w:p>
            <w:pPr>
              <w:jc w:val="center"/>
              <w:rPr>
                <w:rFonts w:ascii="Times New Roman" w:hAnsi="Times New Roman"/>
                <w:color w:val="auto"/>
                <w:szCs w:val="21"/>
              </w:rPr>
            </w:pPr>
            <w:r>
              <w:rPr>
                <w:rFonts w:hint="eastAsia" w:ascii="Times New Roman" w:hAnsi="Times New Roman"/>
                <w:color w:val="auto"/>
                <w:szCs w:val="21"/>
              </w:rPr>
              <w:t>身份证证号</w:t>
            </w:r>
          </w:p>
        </w:tc>
        <w:tc>
          <w:tcPr>
            <w:tcW w:w="2376"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办公电话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1134" w:type="dxa"/>
            <w:vAlign w:val="center"/>
          </w:tcPr>
          <w:p>
            <w:pPr>
              <w:jc w:val="center"/>
              <w:rPr>
                <w:rFonts w:ascii="Times New Roman" w:hAnsi="Times New Roman"/>
                <w:color w:val="auto"/>
                <w:szCs w:val="21"/>
              </w:rPr>
            </w:pPr>
            <w:r>
              <w:rPr>
                <w:rFonts w:hint="eastAsia" w:ascii="Times New Roman" w:hAnsi="Times New Roman"/>
                <w:color w:val="auto"/>
                <w:szCs w:val="21"/>
              </w:rPr>
              <w:t>董事长</w:t>
            </w:r>
          </w:p>
        </w:tc>
        <w:tc>
          <w:tcPr>
            <w:tcW w:w="1701" w:type="dxa"/>
            <w:gridSpan w:val="3"/>
            <w:vAlign w:val="center"/>
          </w:tcPr>
          <w:p>
            <w:pPr>
              <w:jc w:val="center"/>
              <w:rPr>
                <w:rFonts w:ascii="Times New Roman" w:hAnsi="Times New Roman"/>
                <w:color w:val="auto"/>
                <w:szCs w:val="21"/>
              </w:rPr>
            </w:pPr>
          </w:p>
        </w:tc>
        <w:tc>
          <w:tcPr>
            <w:tcW w:w="2375" w:type="dxa"/>
            <w:gridSpan w:val="5"/>
            <w:vAlign w:val="center"/>
          </w:tcPr>
          <w:p>
            <w:pPr>
              <w:jc w:val="center"/>
              <w:rPr>
                <w:rFonts w:ascii="Times New Roman" w:hAnsi="Times New Roman"/>
                <w:color w:val="auto"/>
                <w:szCs w:val="21"/>
              </w:rPr>
            </w:pPr>
          </w:p>
        </w:tc>
        <w:tc>
          <w:tcPr>
            <w:tcW w:w="2376" w:type="dxa"/>
            <w:gridSpan w:val="3"/>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1134" w:type="dxa"/>
            <w:vAlign w:val="center"/>
          </w:tcPr>
          <w:p>
            <w:pPr>
              <w:jc w:val="center"/>
              <w:rPr>
                <w:rFonts w:ascii="Times New Roman" w:hAnsi="Times New Roman"/>
                <w:color w:val="auto"/>
                <w:szCs w:val="21"/>
              </w:rPr>
            </w:pPr>
            <w:r>
              <w:rPr>
                <w:rFonts w:hint="eastAsia" w:ascii="Times New Roman" w:hAnsi="Times New Roman"/>
                <w:color w:val="auto"/>
                <w:szCs w:val="21"/>
              </w:rPr>
              <w:t>总经理</w:t>
            </w:r>
          </w:p>
        </w:tc>
        <w:tc>
          <w:tcPr>
            <w:tcW w:w="1701" w:type="dxa"/>
            <w:gridSpan w:val="3"/>
            <w:vAlign w:val="center"/>
          </w:tcPr>
          <w:p>
            <w:pPr>
              <w:jc w:val="center"/>
              <w:rPr>
                <w:rFonts w:ascii="Times New Roman" w:hAnsi="Times New Roman"/>
                <w:color w:val="auto"/>
                <w:szCs w:val="21"/>
              </w:rPr>
            </w:pPr>
          </w:p>
        </w:tc>
        <w:tc>
          <w:tcPr>
            <w:tcW w:w="2375" w:type="dxa"/>
            <w:gridSpan w:val="5"/>
            <w:vAlign w:val="center"/>
          </w:tcPr>
          <w:p>
            <w:pPr>
              <w:jc w:val="center"/>
              <w:rPr>
                <w:rFonts w:ascii="Times New Roman" w:hAnsi="Times New Roman"/>
                <w:color w:val="auto"/>
                <w:szCs w:val="21"/>
              </w:rPr>
            </w:pPr>
          </w:p>
        </w:tc>
        <w:tc>
          <w:tcPr>
            <w:tcW w:w="2376" w:type="dxa"/>
            <w:gridSpan w:val="3"/>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1134" w:type="dxa"/>
            <w:vAlign w:val="center"/>
          </w:tcPr>
          <w:p>
            <w:pPr>
              <w:jc w:val="center"/>
              <w:rPr>
                <w:rFonts w:ascii="Times New Roman" w:hAnsi="Times New Roman"/>
                <w:color w:val="auto"/>
                <w:szCs w:val="21"/>
              </w:rPr>
            </w:pPr>
            <w:r>
              <w:rPr>
                <w:rFonts w:hint="eastAsia" w:ascii="Times New Roman" w:hAnsi="Times New Roman"/>
                <w:color w:val="auto"/>
                <w:szCs w:val="21"/>
              </w:rPr>
              <w:t>业务主管副总经理</w:t>
            </w:r>
          </w:p>
        </w:tc>
        <w:tc>
          <w:tcPr>
            <w:tcW w:w="1701" w:type="dxa"/>
            <w:gridSpan w:val="3"/>
            <w:vAlign w:val="center"/>
          </w:tcPr>
          <w:p>
            <w:pPr>
              <w:jc w:val="center"/>
              <w:rPr>
                <w:rFonts w:ascii="Times New Roman" w:hAnsi="Times New Roman"/>
                <w:color w:val="auto"/>
                <w:szCs w:val="21"/>
              </w:rPr>
            </w:pPr>
          </w:p>
        </w:tc>
        <w:tc>
          <w:tcPr>
            <w:tcW w:w="2375" w:type="dxa"/>
            <w:gridSpan w:val="5"/>
            <w:vAlign w:val="center"/>
          </w:tcPr>
          <w:p>
            <w:pPr>
              <w:jc w:val="center"/>
              <w:rPr>
                <w:rFonts w:ascii="Times New Roman" w:hAnsi="Times New Roman"/>
                <w:color w:val="auto"/>
                <w:szCs w:val="21"/>
              </w:rPr>
            </w:pPr>
          </w:p>
        </w:tc>
        <w:tc>
          <w:tcPr>
            <w:tcW w:w="2376" w:type="dxa"/>
            <w:gridSpan w:val="3"/>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1134" w:type="dxa"/>
            <w:vAlign w:val="center"/>
          </w:tcPr>
          <w:p>
            <w:pPr>
              <w:jc w:val="center"/>
              <w:rPr>
                <w:rFonts w:ascii="Times New Roman" w:hAnsi="Times New Roman"/>
                <w:color w:val="auto"/>
                <w:szCs w:val="21"/>
              </w:rPr>
            </w:pPr>
          </w:p>
        </w:tc>
        <w:tc>
          <w:tcPr>
            <w:tcW w:w="1701" w:type="dxa"/>
            <w:gridSpan w:val="3"/>
            <w:vAlign w:val="center"/>
          </w:tcPr>
          <w:p>
            <w:pPr>
              <w:jc w:val="center"/>
              <w:rPr>
                <w:rFonts w:ascii="Times New Roman" w:hAnsi="Times New Roman"/>
                <w:color w:val="auto"/>
                <w:szCs w:val="21"/>
              </w:rPr>
            </w:pPr>
          </w:p>
        </w:tc>
        <w:tc>
          <w:tcPr>
            <w:tcW w:w="2375" w:type="dxa"/>
            <w:gridSpan w:val="5"/>
            <w:vAlign w:val="center"/>
          </w:tcPr>
          <w:p>
            <w:pPr>
              <w:jc w:val="center"/>
              <w:rPr>
                <w:rFonts w:ascii="Times New Roman" w:hAnsi="Times New Roman"/>
                <w:color w:val="auto"/>
                <w:szCs w:val="21"/>
              </w:rPr>
            </w:pPr>
          </w:p>
        </w:tc>
        <w:tc>
          <w:tcPr>
            <w:tcW w:w="2376" w:type="dxa"/>
            <w:gridSpan w:val="3"/>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restart"/>
            <w:vAlign w:val="center"/>
          </w:tcPr>
          <w:p>
            <w:pPr>
              <w:jc w:val="center"/>
              <w:rPr>
                <w:rFonts w:ascii="Times New Roman" w:hAnsi="Times New Roman"/>
                <w:color w:val="auto"/>
                <w:szCs w:val="21"/>
              </w:rPr>
            </w:pPr>
            <w:r>
              <w:rPr>
                <w:rFonts w:hint="eastAsia" w:ascii="Times New Roman" w:hAnsi="Times New Roman"/>
                <w:color w:val="auto"/>
                <w:szCs w:val="21"/>
              </w:rPr>
              <w:t>公司人员情况</w:t>
            </w:r>
          </w:p>
        </w:tc>
        <w:tc>
          <w:tcPr>
            <w:tcW w:w="1134" w:type="dxa"/>
            <w:vAlign w:val="center"/>
          </w:tcPr>
          <w:p>
            <w:pPr>
              <w:jc w:val="center"/>
              <w:rPr>
                <w:rFonts w:ascii="Times New Roman" w:hAnsi="Times New Roman"/>
                <w:color w:val="auto"/>
                <w:szCs w:val="21"/>
              </w:rPr>
            </w:pPr>
            <w:r>
              <w:rPr>
                <w:rFonts w:hint="eastAsia" w:ascii="Times New Roman" w:hAnsi="Times New Roman"/>
                <w:color w:val="auto"/>
                <w:szCs w:val="21"/>
              </w:rPr>
              <w:t>总人数</w:t>
            </w:r>
          </w:p>
        </w:tc>
        <w:tc>
          <w:tcPr>
            <w:tcW w:w="1701" w:type="dxa"/>
            <w:gridSpan w:val="3"/>
            <w:vAlign w:val="center"/>
          </w:tcPr>
          <w:p>
            <w:pPr>
              <w:jc w:val="center"/>
              <w:rPr>
                <w:rFonts w:ascii="Times New Roman" w:hAnsi="Times New Roman"/>
                <w:color w:val="auto"/>
                <w:szCs w:val="21"/>
              </w:rPr>
            </w:pPr>
          </w:p>
        </w:tc>
        <w:tc>
          <w:tcPr>
            <w:tcW w:w="2375" w:type="dxa"/>
            <w:gridSpan w:val="5"/>
            <w:vAlign w:val="center"/>
          </w:tcPr>
          <w:p>
            <w:pPr>
              <w:jc w:val="center"/>
              <w:rPr>
                <w:rFonts w:ascii="Times New Roman" w:hAnsi="Times New Roman"/>
                <w:color w:val="auto"/>
                <w:szCs w:val="21"/>
              </w:rPr>
            </w:pPr>
            <w:r>
              <w:rPr>
                <w:rFonts w:hint="eastAsia" w:ascii="Times New Roman" w:hAnsi="Times New Roman"/>
                <w:color w:val="auto"/>
                <w:szCs w:val="21"/>
              </w:rPr>
              <w:t>其中：管理人员</w:t>
            </w:r>
          </w:p>
        </w:tc>
        <w:tc>
          <w:tcPr>
            <w:tcW w:w="2376" w:type="dxa"/>
            <w:gridSpan w:val="3"/>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7586" w:type="dxa"/>
            <w:gridSpan w:val="12"/>
            <w:vAlign w:val="center"/>
          </w:tcPr>
          <w:p>
            <w:pPr>
              <w:rPr>
                <w:rFonts w:ascii="Times New Roman" w:hAnsi="Times New Roman"/>
                <w:color w:val="auto"/>
                <w:szCs w:val="21"/>
                <w:lang w:eastAsia="zh-CN"/>
              </w:rPr>
            </w:pPr>
            <w:r>
              <w:rPr>
                <w:rFonts w:hint="eastAsia" w:ascii="Times New Roman" w:hAnsi="Times New Roman"/>
                <w:color w:val="auto"/>
                <w:szCs w:val="21"/>
                <w:lang w:eastAsia="zh-CN"/>
              </w:rPr>
              <w:t>其中：硕士及以上</w:t>
            </w:r>
            <w:r>
              <w:rPr>
                <w:rFonts w:ascii="Times New Roman" w:hAnsi="Times New Roman" w:cs="Times New Roman"/>
                <w:color w:val="auto"/>
                <w:sz w:val="24"/>
                <w:szCs w:val="24"/>
                <w:u w:val="single"/>
                <w:lang w:eastAsia="zh-CN"/>
              </w:rPr>
              <w:t>___</w:t>
            </w:r>
            <w:r>
              <w:rPr>
                <w:rFonts w:hint="eastAsia" w:ascii="Times New Roman" w:hAnsi="Times New Roman"/>
                <w:color w:val="auto"/>
                <w:szCs w:val="21"/>
                <w:lang w:eastAsia="zh-CN"/>
              </w:rPr>
              <w:t>人、本科</w:t>
            </w:r>
            <w:r>
              <w:rPr>
                <w:rFonts w:ascii="Times New Roman" w:hAnsi="Times New Roman" w:cs="Times New Roman"/>
                <w:color w:val="auto"/>
                <w:sz w:val="24"/>
                <w:szCs w:val="24"/>
                <w:u w:val="single"/>
                <w:lang w:eastAsia="zh-CN"/>
              </w:rPr>
              <w:t>___</w:t>
            </w:r>
            <w:r>
              <w:rPr>
                <w:rFonts w:hint="eastAsia" w:ascii="Times New Roman" w:hAnsi="Times New Roman"/>
                <w:color w:val="auto"/>
                <w:szCs w:val="21"/>
                <w:lang w:eastAsia="zh-CN"/>
              </w:rPr>
              <w:t>人、专科</w:t>
            </w:r>
            <w:r>
              <w:rPr>
                <w:rFonts w:ascii="Times New Roman" w:hAnsi="Times New Roman" w:cs="Times New Roman"/>
                <w:color w:val="auto"/>
                <w:sz w:val="24"/>
                <w:szCs w:val="24"/>
                <w:u w:val="single"/>
                <w:lang w:eastAsia="zh-CN"/>
              </w:rPr>
              <w:t>___</w:t>
            </w:r>
            <w:r>
              <w:rPr>
                <w:rFonts w:hint="eastAsia" w:ascii="Times New Roman" w:hAnsi="Times New Roman"/>
                <w:color w:val="auto"/>
                <w:szCs w:val="21"/>
                <w:lang w:eastAsia="zh-CN"/>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lang w:eastAsia="zh-CN"/>
              </w:rPr>
            </w:pPr>
          </w:p>
        </w:tc>
        <w:tc>
          <w:tcPr>
            <w:tcW w:w="7586" w:type="dxa"/>
            <w:gridSpan w:val="12"/>
            <w:vAlign w:val="center"/>
          </w:tcPr>
          <w:p>
            <w:pPr>
              <w:rPr>
                <w:rFonts w:ascii="Times New Roman" w:hAnsi="Times New Roman"/>
                <w:color w:val="auto"/>
                <w:szCs w:val="21"/>
                <w:lang w:eastAsia="zh-CN"/>
              </w:rPr>
            </w:pPr>
            <w:r>
              <w:rPr>
                <w:rFonts w:hint="eastAsia" w:ascii="Times New Roman" w:hAnsi="Times New Roman"/>
                <w:color w:val="auto"/>
                <w:szCs w:val="21"/>
                <w:lang w:eastAsia="zh-CN"/>
              </w:rPr>
              <w:t>其中：高级及以上职称</w:t>
            </w:r>
            <w:r>
              <w:rPr>
                <w:rFonts w:ascii="Times New Roman" w:hAnsi="Times New Roman" w:cs="Times New Roman"/>
                <w:color w:val="auto"/>
                <w:sz w:val="24"/>
                <w:szCs w:val="24"/>
                <w:u w:val="single"/>
                <w:lang w:eastAsia="zh-CN"/>
              </w:rPr>
              <w:t>___</w:t>
            </w:r>
            <w:r>
              <w:rPr>
                <w:rFonts w:hint="eastAsia" w:ascii="Times New Roman" w:hAnsi="Times New Roman"/>
                <w:color w:val="auto"/>
                <w:szCs w:val="21"/>
                <w:lang w:eastAsia="zh-CN"/>
              </w:rPr>
              <w:t>人、中级职称</w:t>
            </w:r>
            <w:r>
              <w:rPr>
                <w:rFonts w:ascii="Times New Roman" w:hAnsi="Times New Roman" w:cs="Times New Roman"/>
                <w:color w:val="auto"/>
                <w:sz w:val="24"/>
                <w:szCs w:val="24"/>
                <w:u w:val="single"/>
                <w:lang w:eastAsia="zh-CN"/>
              </w:rPr>
              <w:t>___</w:t>
            </w:r>
            <w:r>
              <w:rPr>
                <w:rFonts w:hint="eastAsia" w:ascii="Times New Roman" w:hAnsi="Times New Roman"/>
                <w:color w:val="auto"/>
                <w:szCs w:val="21"/>
                <w:lang w:eastAsia="zh-CN"/>
              </w:rPr>
              <w:t>人、初级职称</w:t>
            </w:r>
            <w:r>
              <w:rPr>
                <w:rFonts w:ascii="Times New Roman" w:hAnsi="Times New Roman" w:cs="Times New Roman"/>
                <w:color w:val="auto"/>
                <w:sz w:val="24"/>
                <w:szCs w:val="24"/>
                <w:u w:val="single"/>
                <w:lang w:eastAsia="zh-CN"/>
              </w:rPr>
              <w:t>___</w:t>
            </w:r>
            <w:r>
              <w:rPr>
                <w:rFonts w:hint="eastAsia" w:ascii="Times New Roman" w:hAnsi="Times New Roman"/>
                <w:color w:val="auto"/>
                <w:szCs w:val="21"/>
                <w:lang w:eastAsia="zh-CN"/>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restart"/>
            <w:vAlign w:val="center"/>
          </w:tcPr>
          <w:p>
            <w:pPr>
              <w:jc w:val="center"/>
              <w:rPr>
                <w:rFonts w:ascii="Times New Roman" w:hAnsi="Times New Roman"/>
                <w:color w:val="auto"/>
                <w:szCs w:val="21"/>
                <w:lang w:eastAsia="zh-CN"/>
              </w:rPr>
            </w:pPr>
            <w:r>
              <w:rPr>
                <w:rFonts w:hint="eastAsia" w:ascii="Times New Roman" w:hAnsi="Times New Roman"/>
                <w:color w:val="auto"/>
                <w:szCs w:val="21"/>
                <w:lang w:eastAsia="zh-CN"/>
              </w:rPr>
              <w:t>企业资质及体系认证情况</w:t>
            </w:r>
          </w:p>
        </w:tc>
        <w:tc>
          <w:tcPr>
            <w:tcW w:w="1701" w:type="dxa"/>
            <w:gridSpan w:val="3"/>
            <w:vAlign w:val="center"/>
          </w:tcPr>
          <w:p>
            <w:pPr>
              <w:jc w:val="center"/>
              <w:rPr>
                <w:rFonts w:ascii="Times New Roman" w:hAnsi="Times New Roman"/>
                <w:color w:val="auto"/>
                <w:szCs w:val="21"/>
              </w:rPr>
            </w:pPr>
            <w:r>
              <w:rPr>
                <w:rFonts w:hint="eastAsia" w:ascii="Times New Roman" w:hAnsi="Times New Roman"/>
                <w:color w:val="auto"/>
                <w:szCs w:val="21"/>
              </w:rPr>
              <w:t>名称</w:t>
            </w:r>
          </w:p>
        </w:tc>
        <w:tc>
          <w:tcPr>
            <w:tcW w:w="4394" w:type="dxa"/>
            <w:gridSpan w:val="7"/>
            <w:vAlign w:val="center"/>
          </w:tcPr>
          <w:p>
            <w:pPr>
              <w:jc w:val="center"/>
              <w:rPr>
                <w:rFonts w:ascii="Times New Roman" w:hAnsi="Times New Roman"/>
                <w:color w:val="auto"/>
                <w:szCs w:val="21"/>
              </w:rPr>
            </w:pPr>
            <w:r>
              <w:rPr>
                <w:rFonts w:hint="eastAsia" w:ascii="Times New Roman" w:hAnsi="Times New Roman"/>
                <w:color w:val="auto"/>
                <w:szCs w:val="21"/>
              </w:rPr>
              <w:t>颁发机构</w:t>
            </w:r>
          </w:p>
        </w:tc>
        <w:tc>
          <w:tcPr>
            <w:tcW w:w="1491" w:type="dxa"/>
            <w:gridSpan w:val="2"/>
            <w:vAlign w:val="center"/>
          </w:tcPr>
          <w:p>
            <w:pPr>
              <w:jc w:val="center"/>
              <w:rPr>
                <w:rFonts w:ascii="Times New Roman" w:hAnsi="Times New Roman"/>
                <w:color w:val="auto"/>
                <w:szCs w:val="21"/>
              </w:rPr>
            </w:pPr>
            <w:r>
              <w:rPr>
                <w:rFonts w:hint="eastAsia" w:ascii="Times New Roman" w:hAnsi="Times New Roman"/>
                <w:color w:val="auto"/>
                <w:szCs w:val="21"/>
              </w:rPr>
              <w:t>起止时间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1701" w:type="dxa"/>
            <w:gridSpan w:val="3"/>
            <w:vAlign w:val="center"/>
          </w:tcPr>
          <w:p>
            <w:pPr>
              <w:jc w:val="center"/>
              <w:rPr>
                <w:rFonts w:ascii="Times New Roman" w:hAnsi="Times New Roman"/>
                <w:color w:val="auto"/>
                <w:szCs w:val="21"/>
              </w:rPr>
            </w:pPr>
          </w:p>
        </w:tc>
        <w:tc>
          <w:tcPr>
            <w:tcW w:w="4394" w:type="dxa"/>
            <w:gridSpan w:val="7"/>
            <w:vAlign w:val="center"/>
          </w:tcPr>
          <w:p>
            <w:pPr>
              <w:jc w:val="center"/>
              <w:rPr>
                <w:rFonts w:ascii="Times New Roman" w:hAnsi="Times New Roman"/>
                <w:color w:val="auto"/>
                <w:szCs w:val="21"/>
              </w:rPr>
            </w:pPr>
          </w:p>
        </w:tc>
        <w:tc>
          <w:tcPr>
            <w:tcW w:w="1491" w:type="dxa"/>
            <w:gridSpan w:val="2"/>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1701" w:type="dxa"/>
            <w:gridSpan w:val="3"/>
            <w:vAlign w:val="center"/>
          </w:tcPr>
          <w:p>
            <w:pPr>
              <w:jc w:val="center"/>
              <w:rPr>
                <w:rFonts w:ascii="Times New Roman" w:hAnsi="Times New Roman"/>
                <w:color w:val="auto"/>
                <w:szCs w:val="21"/>
              </w:rPr>
            </w:pPr>
          </w:p>
        </w:tc>
        <w:tc>
          <w:tcPr>
            <w:tcW w:w="4394" w:type="dxa"/>
            <w:gridSpan w:val="7"/>
            <w:vAlign w:val="center"/>
          </w:tcPr>
          <w:p>
            <w:pPr>
              <w:jc w:val="center"/>
              <w:rPr>
                <w:rFonts w:ascii="Times New Roman" w:hAnsi="Times New Roman"/>
                <w:color w:val="auto"/>
                <w:szCs w:val="21"/>
              </w:rPr>
            </w:pPr>
          </w:p>
        </w:tc>
        <w:tc>
          <w:tcPr>
            <w:tcW w:w="1491" w:type="dxa"/>
            <w:gridSpan w:val="2"/>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9" w:hRule="atLeast"/>
          <w:jc w:val="center"/>
        </w:trPr>
        <w:tc>
          <w:tcPr>
            <w:tcW w:w="1636" w:type="dxa"/>
            <w:vMerge w:val="continue"/>
            <w:vAlign w:val="center"/>
          </w:tcPr>
          <w:p>
            <w:pPr>
              <w:jc w:val="center"/>
              <w:rPr>
                <w:rFonts w:ascii="Times New Roman" w:hAnsi="Times New Roman"/>
                <w:color w:val="auto"/>
                <w:szCs w:val="21"/>
              </w:rPr>
            </w:pPr>
          </w:p>
        </w:tc>
        <w:tc>
          <w:tcPr>
            <w:tcW w:w="1701" w:type="dxa"/>
            <w:gridSpan w:val="3"/>
            <w:vAlign w:val="center"/>
          </w:tcPr>
          <w:p>
            <w:pPr>
              <w:jc w:val="center"/>
              <w:rPr>
                <w:rFonts w:ascii="Times New Roman" w:hAnsi="Times New Roman"/>
                <w:color w:val="auto"/>
                <w:szCs w:val="21"/>
              </w:rPr>
            </w:pPr>
          </w:p>
        </w:tc>
        <w:tc>
          <w:tcPr>
            <w:tcW w:w="4394" w:type="dxa"/>
            <w:gridSpan w:val="7"/>
            <w:vAlign w:val="center"/>
          </w:tcPr>
          <w:p>
            <w:pPr>
              <w:jc w:val="center"/>
              <w:rPr>
                <w:rFonts w:ascii="Times New Roman" w:hAnsi="Times New Roman"/>
                <w:color w:val="auto"/>
                <w:szCs w:val="21"/>
              </w:rPr>
            </w:pPr>
          </w:p>
        </w:tc>
        <w:tc>
          <w:tcPr>
            <w:tcW w:w="1491" w:type="dxa"/>
            <w:gridSpan w:val="2"/>
            <w:vAlign w:val="center"/>
          </w:tcPr>
          <w:p>
            <w:pPr>
              <w:jc w:val="cente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35" w:hRule="atLeast"/>
          <w:jc w:val="center"/>
        </w:trPr>
        <w:tc>
          <w:tcPr>
            <w:tcW w:w="1636" w:type="dxa"/>
            <w:vAlign w:val="center"/>
          </w:tcPr>
          <w:p>
            <w:pPr>
              <w:jc w:val="center"/>
              <w:rPr>
                <w:rFonts w:ascii="Times New Roman" w:hAnsi="Times New Roman"/>
                <w:color w:val="auto"/>
                <w:szCs w:val="21"/>
              </w:rPr>
            </w:pPr>
            <w:r>
              <w:rPr>
                <w:rFonts w:hint="eastAsia" w:ascii="Times New Roman" w:hAnsi="Times New Roman"/>
                <w:color w:val="auto"/>
                <w:szCs w:val="21"/>
              </w:rPr>
              <w:t>经营范围</w:t>
            </w:r>
          </w:p>
        </w:tc>
        <w:tc>
          <w:tcPr>
            <w:tcW w:w="7586" w:type="dxa"/>
            <w:gridSpan w:val="12"/>
            <w:vAlign w:val="center"/>
          </w:tcPr>
          <w:p>
            <w:pPr>
              <w:rPr>
                <w:rFonts w:ascii="Times New Roman" w:hAnsi="Times New Roman"/>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46" w:hRule="atLeast"/>
          <w:jc w:val="center"/>
        </w:trPr>
        <w:tc>
          <w:tcPr>
            <w:tcW w:w="1636" w:type="dxa"/>
            <w:vAlign w:val="center"/>
          </w:tcPr>
          <w:p>
            <w:pPr>
              <w:jc w:val="center"/>
              <w:rPr>
                <w:rFonts w:ascii="Times New Roman" w:hAnsi="Times New Roman"/>
                <w:color w:val="auto"/>
                <w:szCs w:val="21"/>
                <w:lang w:eastAsia="zh-CN"/>
              </w:rPr>
            </w:pPr>
            <w:r>
              <w:rPr>
                <w:rFonts w:hint="eastAsia" w:ascii="Times New Roman" w:hAnsi="Times New Roman"/>
                <w:color w:val="auto"/>
                <w:szCs w:val="21"/>
                <w:lang w:eastAsia="zh-CN"/>
              </w:rPr>
              <w:t>下属分支机构及与投标人存在关联关系的单位情况说明</w:t>
            </w:r>
          </w:p>
        </w:tc>
        <w:tc>
          <w:tcPr>
            <w:tcW w:w="7586" w:type="dxa"/>
            <w:gridSpan w:val="12"/>
          </w:tcPr>
          <w:p>
            <w:pPr>
              <w:rPr>
                <w:rFonts w:ascii="Times New Roman" w:hAnsi="Times New Roman"/>
                <w:color w:val="auto"/>
                <w:szCs w:val="21"/>
                <w:lang w:eastAsia="zh-CN"/>
              </w:rPr>
            </w:pPr>
            <w:r>
              <w:rPr>
                <w:rFonts w:hint="eastAsia" w:ascii="Times New Roman" w:hAnsi="Times New Roman"/>
                <w:color w:val="auto"/>
                <w:szCs w:val="21"/>
                <w:lang w:eastAsia="zh-CN"/>
              </w:rPr>
              <w:t>投标人应依据自身存在的以下情形，如实披露与本单位存在关联关系的单位情况。</w:t>
            </w:r>
          </w:p>
          <w:p>
            <w:pPr>
              <w:rPr>
                <w:rFonts w:ascii="Times New Roman" w:hAnsi="Times New Roman"/>
                <w:color w:val="auto"/>
                <w:szCs w:val="21"/>
                <w:lang w:eastAsia="zh-CN"/>
              </w:rPr>
            </w:pPr>
            <w:r>
              <w:rPr>
                <w:rFonts w:ascii="Times New Roman" w:hAnsi="Times New Roman"/>
                <w:color w:val="auto"/>
                <w:szCs w:val="21"/>
                <w:lang w:eastAsia="zh-CN"/>
              </w:rPr>
              <w:t>1</w:t>
            </w:r>
            <w:r>
              <w:rPr>
                <w:rFonts w:hint="eastAsia" w:ascii="Times New Roman" w:hAnsi="Times New Roman"/>
                <w:color w:val="auto"/>
                <w:szCs w:val="21"/>
                <w:lang w:eastAsia="zh-CN"/>
              </w:rPr>
              <w:t>、下属分支机构；</w:t>
            </w:r>
          </w:p>
          <w:p>
            <w:pPr>
              <w:rPr>
                <w:rFonts w:ascii="Times New Roman" w:hAnsi="Times New Roman"/>
                <w:color w:val="auto"/>
                <w:szCs w:val="21"/>
                <w:lang w:eastAsia="zh-CN"/>
              </w:rPr>
            </w:pPr>
            <w:r>
              <w:rPr>
                <w:rFonts w:ascii="Times New Roman" w:hAnsi="Times New Roman"/>
                <w:color w:val="auto"/>
                <w:szCs w:val="21"/>
                <w:lang w:eastAsia="zh-CN"/>
              </w:rPr>
              <w:t>2</w:t>
            </w:r>
            <w:r>
              <w:rPr>
                <w:rFonts w:hint="eastAsia" w:ascii="Times New Roman" w:hAnsi="Times New Roman"/>
                <w:color w:val="auto"/>
                <w:szCs w:val="21"/>
                <w:lang w:eastAsia="zh-CN"/>
              </w:rPr>
              <w:t>、与本企业单位负责人为同一人的其他企业；</w:t>
            </w:r>
          </w:p>
          <w:p>
            <w:pPr>
              <w:rPr>
                <w:rFonts w:ascii="Times New Roman" w:hAnsi="Times New Roman"/>
                <w:color w:val="auto"/>
                <w:szCs w:val="21"/>
                <w:lang w:eastAsia="zh-CN"/>
              </w:rPr>
            </w:pPr>
            <w:r>
              <w:rPr>
                <w:rFonts w:ascii="Times New Roman" w:hAnsi="Times New Roman"/>
                <w:color w:val="auto"/>
                <w:szCs w:val="21"/>
                <w:lang w:eastAsia="zh-CN"/>
              </w:rPr>
              <w:t>3</w:t>
            </w:r>
            <w:r>
              <w:rPr>
                <w:rFonts w:hint="eastAsia" w:ascii="Times New Roman" w:hAnsi="Times New Roman"/>
                <w:color w:val="auto"/>
                <w:szCs w:val="21"/>
                <w:lang w:eastAsia="zh-CN"/>
              </w:rPr>
              <w:t>、与本企业存在控股、管理关系的其他企业；</w:t>
            </w:r>
          </w:p>
          <w:p>
            <w:pPr>
              <w:rPr>
                <w:rFonts w:hint="eastAsia" w:ascii="Times New Roman" w:hAnsi="Times New Roman" w:eastAsia="宋体"/>
                <w:color w:val="auto"/>
                <w:szCs w:val="21"/>
                <w:lang w:eastAsia="zh-CN"/>
              </w:rPr>
            </w:pPr>
            <w:r>
              <w:rPr>
                <w:rFonts w:hint="eastAsia" w:ascii="Times New Roman" w:hAnsi="Times New Roman"/>
                <w:color w:val="auto"/>
                <w:szCs w:val="21"/>
                <w:lang w:eastAsia="zh-CN"/>
              </w:rPr>
              <w:t>（</w:t>
            </w:r>
            <w:r>
              <w:rPr>
                <w:rFonts w:hint="eastAsia" w:ascii="Times New Roman" w:hAnsi="Times New Roman"/>
                <w:color w:val="auto"/>
                <w:szCs w:val="21"/>
                <w:lang w:val="en-US" w:eastAsia="zh-CN"/>
              </w:rPr>
              <w:t>招标人保留复核的权利</w:t>
            </w:r>
            <w:r>
              <w:rPr>
                <w:rFonts w:hint="eastAsia" w:ascii="Times New Roman" w:hAnsi="Times New Roman"/>
                <w:color w:val="auto"/>
                <w:szCs w:val="21"/>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87" w:hRule="atLeast"/>
          <w:jc w:val="center"/>
        </w:trPr>
        <w:tc>
          <w:tcPr>
            <w:tcW w:w="1636" w:type="dxa"/>
            <w:vAlign w:val="center"/>
          </w:tcPr>
          <w:p>
            <w:pPr>
              <w:jc w:val="center"/>
              <w:rPr>
                <w:rFonts w:ascii="Times New Roman" w:hAnsi="Times New Roman"/>
                <w:color w:val="auto"/>
                <w:szCs w:val="21"/>
              </w:rPr>
            </w:pPr>
            <w:r>
              <w:rPr>
                <w:rFonts w:hint="eastAsia" w:ascii="Times New Roman" w:hAnsi="Times New Roman"/>
                <w:color w:val="auto"/>
                <w:szCs w:val="21"/>
              </w:rPr>
              <w:t>备</w:t>
            </w:r>
            <w:r>
              <w:rPr>
                <w:rFonts w:ascii="Times New Roman" w:hAnsi="Times New Roman"/>
                <w:color w:val="auto"/>
                <w:szCs w:val="21"/>
              </w:rPr>
              <w:tab/>
            </w:r>
            <w:r>
              <w:rPr>
                <w:rFonts w:hint="eastAsia" w:ascii="Times New Roman" w:hAnsi="Times New Roman"/>
                <w:color w:val="auto"/>
                <w:szCs w:val="21"/>
              </w:rPr>
              <w:t>注</w:t>
            </w:r>
          </w:p>
        </w:tc>
        <w:tc>
          <w:tcPr>
            <w:tcW w:w="7586" w:type="dxa"/>
            <w:gridSpan w:val="12"/>
          </w:tcPr>
          <w:p>
            <w:pPr>
              <w:rPr>
                <w:rFonts w:ascii="Times New Roman" w:hAnsi="Times New Roman"/>
                <w:color w:val="auto"/>
                <w:lang w:eastAsia="zh-CN"/>
              </w:rPr>
            </w:pPr>
          </w:p>
          <w:p>
            <w:pPr>
              <w:rPr>
                <w:rFonts w:ascii="Times New Roman" w:hAnsi="Times New Roman"/>
                <w:color w:val="auto"/>
                <w:lang w:eastAsia="zh-CN"/>
              </w:rPr>
            </w:pPr>
            <w:r>
              <w:rPr>
                <w:rFonts w:hint="eastAsia" w:ascii="Times New Roman" w:hAnsi="Times New Roman"/>
                <w:color w:val="auto"/>
                <w:lang w:eastAsia="zh-CN"/>
              </w:rPr>
              <w:t>（其他投标人认为必要的内容）</w:t>
            </w:r>
          </w:p>
          <w:p>
            <w:pPr>
              <w:rPr>
                <w:rFonts w:ascii="Times New Roman" w:hAnsi="Times New Roman"/>
                <w:color w:val="auto"/>
                <w:lang w:eastAsia="zh-CN"/>
              </w:rPr>
            </w:pPr>
          </w:p>
        </w:tc>
      </w:tr>
    </w:tbl>
    <w:p>
      <w:pPr>
        <w:ind w:left="-334" w:leftChars="-152"/>
        <w:rPr>
          <w:rFonts w:ascii="Times New Roman" w:hAnsi="Times New Roman"/>
          <w:color w:val="auto"/>
          <w:sz w:val="24"/>
          <w:szCs w:val="24"/>
          <w:lang w:eastAsia="zh-CN"/>
        </w:rPr>
      </w:pPr>
      <w:r>
        <w:rPr>
          <w:rFonts w:hint="eastAsia" w:ascii="Times New Roman" w:hAnsi="Times New Roman"/>
          <w:color w:val="auto"/>
          <w:sz w:val="24"/>
          <w:szCs w:val="24"/>
          <w:lang w:eastAsia="zh-CN"/>
        </w:rPr>
        <w:t>注：</w:t>
      </w:r>
    </w:p>
    <w:p>
      <w:pPr>
        <w:pStyle w:val="51"/>
        <w:numPr>
          <w:ilvl w:val="3"/>
          <w:numId w:val="24"/>
        </w:numPr>
        <w:ind w:left="426"/>
        <w:rPr>
          <w:rFonts w:ascii="Times New Roman" w:hAnsi="Times New Roman"/>
          <w:color w:val="auto"/>
          <w:sz w:val="24"/>
          <w:szCs w:val="24"/>
          <w:lang w:eastAsia="zh-CN"/>
        </w:rPr>
      </w:pPr>
      <w:r>
        <w:rPr>
          <w:rFonts w:hint="eastAsia" w:ascii="Times New Roman" w:hAnsi="Times New Roman"/>
          <w:color w:val="auto"/>
          <w:sz w:val="24"/>
          <w:szCs w:val="24"/>
          <w:lang w:eastAsia="zh-CN"/>
        </w:rPr>
        <w:t>本表后附盖单位公章的企业资质证书及体系认证证书（如有）等的扫描件或复印件；</w:t>
      </w:r>
    </w:p>
    <w:p>
      <w:pPr>
        <w:pStyle w:val="51"/>
        <w:numPr>
          <w:ilvl w:val="3"/>
          <w:numId w:val="24"/>
        </w:numPr>
        <w:ind w:left="426"/>
        <w:rPr>
          <w:rFonts w:ascii="Times New Roman" w:hAnsi="Times New Roman"/>
          <w:color w:val="auto"/>
          <w:sz w:val="24"/>
          <w:szCs w:val="24"/>
          <w:lang w:eastAsia="zh-CN"/>
        </w:rPr>
      </w:pPr>
      <w:r>
        <w:rPr>
          <w:rFonts w:hint="eastAsia" w:ascii="Times New Roman" w:hAnsi="Times New Roman"/>
          <w:color w:val="auto"/>
          <w:sz w:val="24"/>
          <w:szCs w:val="24"/>
          <w:lang w:eastAsia="zh-CN"/>
        </w:rPr>
        <w:t>新成立的公司未能提供财务状况时需出具相应的说明。</w:t>
      </w:r>
    </w:p>
    <w:p>
      <w:pPr>
        <w:rPr>
          <w:rFonts w:ascii="Times New Roman" w:hAnsi="Times New Roman"/>
          <w:color w:val="auto"/>
          <w:lang w:eastAsia="zh-CN"/>
        </w:rPr>
      </w:pPr>
    </w:p>
    <w:p>
      <w:pPr>
        <w:rPr>
          <w:rFonts w:ascii="Times New Roman" w:hAnsi="Times New Roman"/>
          <w:color w:val="auto"/>
          <w:szCs w:val="21"/>
          <w:lang w:eastAsia="zh-CN"/>
        </w:rPr>
      </w:pPr>
    </w:p>
    <w:p>
      <w:pPr>
        <w:rPr>
          <w:rFonts w:ascii="Times New Roman" w:hAnsi="Times New Roman"/>
          <w:color w:val="auto"/>
          <w:szCs w:val="21"/>
          <w:lang w:eastAsia="zh-CN"/>
        </w:rPr>
      </w:pPr>
    </w:p>
    <w:p>
      <w:pPr>
        <w:rPr>
          <w:rFonts w:ascii="Times New Roman" w:hAnsi="Times New Roman"/>
          <w:color w:val="auto"/>
          <w:szCs w:val="21"/>
          <w:lang w:eastAsia="zh-CN"/>
        </w:rPr>
      </w:pPr>
    </w:p>
    <w:p>
      <w:pPr>
        <w:rPr>
          <w:rFonts w:ascii="Times New Roman" w:hAnsi="Times New Roman"/>
          <w:color w:val="auto"/>
          <w:szCs w:val="21"/>
          <w:lang w:eastAsia="zh-CN"/>
        </w:rPr>
      </w:pPr>
    </w:p>
    <w:p>
      <w:pPr>
        <w:rPr>
          <w:rFonts w:ascii="Times New Roman" w:hAnsi="Times New Roman"/>
          <w:color w:val="auto"/>
          <w:sz w:val="24"/>
          <w:szCs w:val="21"/>
          <w:lang w:eastAsia="zh-CN"/>
        </w:rPr>
      </w:pPr>
      <w:r>
        <w:rPr>
          <w:rFonts w:hint="eastAsia" w:ascii="Times New Roman" w:hAnsi="Times New Roman"/>
          <w:color w:val="auto"/>
          <w:sz w:val="24"/>
          <w:szCs w:val="24"/>
          <w:lang w:eastAsia="zh-CN"/>
        </w:rPr>
        <w:t>投标人：</w:t>
      </w:r>
      <w:r>
        <w:rPr>
          <w:rFonts w:ascii="Times New Roman" w:hAnsi="Times New Roman" w:cs="Times New Roman"/>
          <w:color w:val="auto"/>
          <w:sz w:val="24"/>
          <w:szCs w:val="24"/>
          <w:u w:val="single"/>
          <w:lang w:eastAsia="zh-CN"/>
        </w:rPr>
        <w:t>_______________</w:t>
      </w:r>
      <w:r>
        <w:rPr>
          <w:rFonts w:hint="eastAsia" w:ascii="Times New Roman" w:hAnsi="Times New Roman"/>
          <w:color w:val="auto"/>
          <w:sz w:val="24"/>
          <w:szCs w:val="24"/>
          <w:lang w:eastAsia="zh-CN"/>
        </w:rPr>
        <w:t>（盖章）</w:t>
      </w:r>
    </w:p>
    <w:p>
      <w:pPr>
        <w:rPr>
          <w:rFonts w:ascii="Times New Roman" w:hAnsi="Times New Roman"/>
          <w:color w:val="auto"/>
          <w:sz w:val="24"/>
          <w:szCs w:val="21"/>
          <w:lang w:eastAsia="zh-CN"/>
        </w:rPr>
      </w:pPr>
    </w:p>
    <w:p>
      <w:pPr>
        <w:rPr>
          <w:rFonts w:ascii="Times New Roman" w:hAnsi="Times New Roman"/>
          <w:color w:val="auto"/>
          <w:sz w:val="24"/>
          <w:szCs w:val="21"/>
          <w:lang w:eastAsia="zh-CN"/>
        </w:rPr>
      </w:pPr>
      <w:r>
        <w:rPr>
          <w:rFonts w:hint="eastAsia" w:ascii="Times New Roman" w:hAnsi="Times New Roman"/>
          <w:color w:val="auto"/>
          <w:sz w:val="24"/>
          <w:szCs w:val="21"/>
          <w:lang w:eastAsia="zh-CN"/>
        </w:rPr>
        <w:t>投标人法定代表人或授权代表（签字或盖章）：</w:t>
      </w:r>
    </w:p>
    <w:p>
      <w:pPr>
        <w:rPr>
          <w:rFonts w:ascii="Times New Roman" w:hAnsi="Times New Roman"/>
          <w:color w:val="auto"/>
          <w:sz w:val="24"/>
          <w:szCs w:val="21"/>
          <w:lang w:eastAsia="zh-CN"/>
        </w:rPr>
      </w:pPr>
    </w:p>
    <w:p>
      <w:pPr>
        <w:rPr>
          <w:rFonts w:ascii="Times New Roman" w:hAnsi="Times New Roman"/>
          <w:color w:val="auto"/>
          <w:sz w:val="24"/>
          <w:szCs w:val="21"/>
          <w:lang w:eastAsia="zh-CN"/>
        </w:rPr>
      </w:pPr>
      <w:r>
        <w:rPr>
          <w:rFonts w:hint="eastAsia" w:cs="微软雅黑" w:asciiTheme="minorEastAsia" w:hAnsiTheme="minorEastAsia" w:eastAsiaTheme="minorEastAsia"/>
          <w:color w:val="auto"/>
          <w:sz w:val="24"/>
          <w:szCs w:val="24"/>
          <w:lang w:eastAsia="zh-CN"/>
        </w:rPr>
        <w:t>日期：</w:t>
      </w:r>
      <w:r>
        <w:rPr>
          <w:rFonts w:ascii="Times New Roman" w:hAnsi="Times New Roman" w:cs="Times New Roman"/>
          <w:color w:val="auto"/>
          <w:sz w:val="24"/>
          <w:szCs w:val="24"/>
          <w:u w:val="single"/>
          <w:lang w:eastAsia="zh-CN"/>
        </w:rPr>
        <w:t>______</w:t>
      </w:r>
      <w:r>
        <w:rPr>
          <w:rFonts w:hint="eastAsia"/>
          <w:bCs/>
          <w:color w:val="auto"/>
          <w:lang w:eastAsia="zh-CN"/>
        </w:rPr>
        <w:t>年</w:t>
      </w:r>
      <w:r>
        <w:rPr>
          <w:rFonts w:ascii="Times New Roman" w:hAnsi="Times New Roman" w:cs="Times New Roman"/>
          <w:color w:val="auto"/>
          <w:sz w:val="24"/>
          <w:szCs w:val="24"/>
          <w:u w:val="single"/>
          <w:lang w:eastAsia="zh-CN"/>
        </w:rPr>
        <w:t>___</w:t>
      </w:r>
      <w:r>
        <w:rPr>
          <w:rFonts w:hint="eastAsia"/>
          <w:bCs/>
          <w:color w:val="auto"/>
          <w:lang w:eastAsia="zh-CN"/>
        </w:rPr>
        <w:t>月</w:t>
      </w:r>
      <w:r>
        <w:rPr>
          <w:rFonts w:ascii="Times New Roman" w:hAnsi="Times New Roman" w:cs="Times New Roman"/>
          <w:color w:val="auto"/>
          <w:sz w:val="24"/>
          <w:szCs w:val="24"/>
          <w:u w:val="single"/>
          <w:lang w:eastAsia="zh-CN"/>
        </w:rPr>
        <w:t>___</w:t>
      </w:r>
      <w:r>
        <w:rPr>
          <w:rFonts w:hint="eastAsia"/>
          <w:bCs/>
          <w:color w:val="auto"/>
          <w:lang w:eastAsia="zh-CN"/>
        </w:rPr>
        <w:t>日</w:t>
      </w:r>
    </w:p>
    <w:p>
      <w:pPr>
        <w:rPr>
          <w:rFonts w:ascii="Times New Roman" w:hAnsi="Times New Roman" w:cs="Times New Roman"/>
          <w:b/>
          <w:color w:val="auto"/>
          <w:sz w:val="24"/>
          <w:szCs w:val="20"/>
          <w:lang w:eastAsia="zh-CN"/>
        </w:rPr>
      </w:pPr>
      <w:r>
        <w:rPr>
          <w:rFonts w:ascii="Times New Roman"/>
          <w:color w:val="auto"/>
          <w:lang w:eastAsia="zh-CN"/>
        </w:rPr>
        <w:br w:type="page"/>
      </w:r>
    </w:p>
    <w:p>
      <w:pPr>
        <w:pStyle w:val="5"/>
        <w:keepNext w:val="0"/>
        <w:keepLines w:val="0"/>
        <w:rPr>
          <w:rFonts w:ascii="Times New Roman"/>
          <w:color w:val="auto"/>
        </w:rPr>
      </w:pPr>
      <w:r>
        <w:rPr>
          <w:rFonts w:hint="eastAsia" w:ascii="Times New Roman"/>
          <w:color w:val="auto"/>
        </w:rPr>
        <w:t>附件</w:t>
      </w:r>
      <w:r>
        <w:rPr>
          <w:rFonts w:ascii="Times New Roman"/>
          <w:color w:val="auto"/>
        </w:rPr>
        <w:t>2</w:t>
      </w:r>
      <w:r>
        <w:rPr>
          <w:rFonts w:hint="eastAsia" w:ascii="Times New Roman"/>
          <w:color w:val="auto"/>
        </w:rPr>
        <w:t>、主体资格证书</w:t>
      </w:r>
    </w:p>
    <w:p>
      <w:pPr>
        <w:spacing w:before="240" w:beforeLines="100" w:line="360" w:lineRule="auto"/>
        <w:ind w:firstLine="480" w:firstLineChars="200"/>
        <w:rPr>
          <w:rFonts w:ascii="Times New Roman" w:hAnsi="Times New Roman"/>
          <w:color w:val="auto"/>
          <w:sz w:val="24"/>
          <w:szCs w:val="24"/>
          <w:lang w:eastAsia="zh-CN"/>
        </w:rPr>
      </w:pPr>
      <w:r>
        <w:rPr>
          <w:rFonts w:hint="eastAsia" w:ascii="Times New Roman" w:hAnsi="Times New Roman"/>
          <w:color w:val="auto"/>
          <w:sz w:val="24"/>
          <w:szCs w:val="24"/>
          <w:lang w:eastAsia="zh-CN"/>
        </w:rPr>
        <w:t>有效的营业执照或社会团体登记证书或事业单位法人证书或其他类型主体资格证书等证明文件（复印件须加盖投标人公章），以自然人身份投标的提交自然人的身份证明。</w:t>
      </w:r>
    </w:p>
    <w:p>
      <w:pPr>
        <w:pStyle w:val="12"/>
        <w:spacing w:before="16"/>
        <w:rPr>
          <w:rFonts w:ascii="Times New Roman" w:hAnsi="Times New Roman"/>
          <w:b/>
          <w:color w:val="auto"/>
          <w:lang w:eastAsia="zh-CN"/>
        </w:rPr>
      </w:pPr>
      <w:r>
        <w:rPr>
          <w:rFonts w:ascii="Times New Roman" w:hAnsi="Times New Roman"/>
          <w:color w:val="auto"/>
          <w:lang w:eastAsia="zh-CN"/>
        </w:rPr>
        <w:br w:type="page"/>
      </w:r>
    </w:p>
    <w:p>
      <w:pPr>
        <w:pStyle w:val="5"/>
        <w:keepNext w:val="0"/>
        <w:keepLines w:val="0"/>
        <w:rPr>
          <w:rFonts w:ascii="Times New Roman"/>
          <w:color w:val="auto"/>
        </w:rPr>
      </w:pPr>
      <w:r>
        <w:rPr>
          <w:rFonts w:hint="eastAsia" w:ascii="Times New Roman"/>
          <w:color w:val="auto"/>
        </w:rPr>
        <w:t>附件</w:t>
      </w:r>
      <w:r>
        <w:rPr>
          <w:rFonts w:ascii="Times New Roman"/>
          <w:color w:val="auto"/>
        </w:rPr>
        <w:t>3</w:t>
      </w:r>
      <w:r>
        <w:rPr>
          <w:rFonts w:hint="eastAsia" w:ascii="Times New Roman"/>
          <w:color w:val="auto"/>
        </w:rPr>
        <w:t>、法定代表人授权书</w:t>
      </w:r>
    </w:p>
    <w:p>
      <w:pPr>
        <w:tabs>
          <w:tab w:val="left" w:pos="1179"/>
        </w:tabs>
        <w:spacing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（适用于委托人签署投标文件的）</w:t>
      </w:r>
    </w:p>
    <w:p>
      <w:pPr>
        <w:pStyle w:val="12"/>
        <w:spacing w:before="9"/>
        <w:rPr>
          <w:rFonts w:ascii="Times New Roman" w:hAnsi="Times New Roman"/>
          <w:b/>
          <w:color w:val="auto"/>
          <w:lang w:eastAsia="zh-CN"/>
        </w:rPr>
      </w:pPr>
    </w:p>
    <w:p>
      <w:pPr>
        <w:snapToGrid w:val="0"/>
        <w:spacing w:before="720" w:beforeLines="300" w:line="360" w:lineRule="auto"/>
        <w:jc w:val="center"/>
        <w:rPr>
          <w:rFonts w:ascii="Times New Roman" w:hAnsi="Times New Roman" w:cs="Arial"/>
          <w:b/>
          <w:color w:val="auto"/>
          <w:sz w:val="24"/>
          <w:szCs w:val="24"/>
          <w:lang w:eastAsia="zh-CN"/>
        </w:rPr>
      </w:pPr>
      <w:r>
        <w:rPr>
          <w:rFonts w:hint="eastAsia" w:ascii="Times New Roman" w:hAnsi="Times New Roman" w:cs="Arial"/>
          <w:b/>
          <w:color w:val="auto"/>
          <w:sz w:val="24"/>
          <w:szCs w:val="24"/>
          <w:lang w:eastAsia="zh-CN"/>
        </w:rPr>
        <w:t>法人授权委托书</w:t>
      </w:r>
    </w:p>
    <w:p>
      <w:pPr>
        <w:pStyle w:val="12"/>
        <w:spacing w:before="3"/>
        <w:rPr>
          <w:rFonts w:ascii="Times New Roman" w:hAnsi="Times New Roman"/>
          <w:b/>
          <w:color w:val="auto"/>
          <w:lang w:eastAsia="zh-CN"/>
        </w:rPr>
      </w:pPr>
    </w:p>
    <w:p>
      <w:pPr>
        <w:pStyle w:val="12"/>
        <w:spacing w:line="364" w:lineRule="auto"/>
        <w:ind w:right="3" w:firstLine="460" w:firstLineChars="200"/>
        <w:jc w:val="both"/>
        <w:rPr>
          <w:rFonts w:ascii="Times New Roman" w:hAnsi="Times New Roman"/>
          <w:color w:val="auto"/>
          <w:lang w:eastAsia="zh-CN"/>
        </w:rPr>
      </w:pPr>
      <w:r>
        <w:rPr>
          <w:rFonts w:hint="eastAsia" w:ascii="Times New Roman" w:hAnsi="Times New Roman"/>
          <w:color w:val="auto"/>
          <w:spacing w:val="-5"/>
          <w:lang w:eastAsia="zh-CN"/>
        </w:rPr>
        <w:t>本授权书声明：注册于</w:t>
      </w:r>
      <w:r>
        <w:rPr>
          <w:rFonts w:hint="eastAsia" w:ascii="Times New Roman" w:hAnsi="Times New Roman"/>
          <w:color w:val="auto"/>
          <w:u w:val="single"/>
          <w:lang w:eastAsia="zh-CN"/>
        </w:rPr>
        <w:t>（国家或地区的名称</w:t>
      </w:r>
      <w:r>
        <w:rPr>
          <w:rFonts w:hint="eastAsia" w:ascii="Times New Roman" w:hAnsi="Times New Roman"/>
          <w:color w:val="auto"/>
          <w:spacing w:val="-19"/>
          <w:u w:val="single"/>
          <w:lang w:eastAsia="zh-CN"/>
        </w:rPr>
        <w:t>）</w:t>
      </w:r>
      <w:r>
        <w:rPr>
          <w:rFonts w:hint="eastAsia" w:ascii="Times New Roman" w:hAnsi="Times New Roman"/>
          <w:color w:val="auto"/>
          <w:spacing w:val="-18"/>
          <w:lang w:eastAsia="zh-CN"/>
        </w:rPr>
        <w:t>的</w:t>
      </w:r>
      <w:r>
        <w:rPr>
          <w:rFonts w:hint="eastAsia" w:ascii="Times New Roman" w:hAnsi="Times New Roman"/>
          <w:color w:val="auto"/>
          <w:lang w:eastAsia="zh-CN"/>
        </w:rPr>
        <w:t>（</w:t>
      </w:r>
      <w:r>
        <w:rPr>
          <w:rFonts w:hint="eastAsia" w:ascii="Times New Roman" w:hAnsi="Times New Roman"/>
          <w:color w:val="auto"/>
          <w:u w:val="single"/>
          <w:lang w:eastAsia="zh-CN"/>
        </w:rPr>
        <w:t>公司名称</w:t>
      </w:r>
      <w:r>
        <w:rPr>
          <w:rFonts w:hint="eastAsia" w:ascii="Times New Roman" w:hAnsi="Times New Roman"/>
          <w:color w:val="auto"/>
          <w:spacing w:val="-18"/>
          <w:lang w:eastAsia="zh-CN"/>
        </w:rPr>
        <w:t>）</w:t>
      </w:r>
      <w:r>
        <w:rPr>
          <w:rFonts w:hint="eastAsia" w:ascii="Times New Roman" w:hAnsi="Times New Roman"/>
          <w:color w:val="auto"/>
          <w:lang w:eastAsia="zh-CN"/>
        </w:rPr>
        <w:t>的在下面签字或盖章</w:t>
      </w:r>
      <w:r>
        <w:rPr>
          <w:rFonts w:hint="eastAsia" w:ascii="Times New Roman" w:hAnsi="Times New Roman"/>
          <w:color w:val="auto"/>
          <w:spacing w:val="-15"/>
          <w:lang w:eastAsia="zh-CN"/>
        </w:rPr>
        <w:t>的</w:t>
      </w:r>
      <w:r>
        <w:rPr>
          <w:rFonts w:hint="eastAsia" w:ascii="Times New Roman" w:hAnsi="Times New Roman"/>
          <w:color w:val="auto"/>
          <w:lang w:eastAsia="zh-CN"/>
        </w:rPr>
        <w:t>（</w:t>
      </w:r>
      <w:r>
        <w:rPr>
          <w:rFonts w:hint="eastAsia" w:ascii="Times New Roman" w:hAnsi="Times New Roman"/>
          <w:color w:val="auto"/>
          <w:spacing w:val="-2"/>
          <w:u w:val="single"/>
          <w:lang w:eastAsia="zh-CN"/>
        </w:rPr>
        <w:t>法定代表人姓名、职务</w:t>
      </w:r>
      <w:r>
        <w:rPr>
          <w:rFonts w:hint="eastAsia" w:ascii="Times New Roman" w:hAnsi="Times New Roman"/>
          <w:color w:val="auto"/>
          <w:spacing w:val="-15"/>
          <w:lang w:eastAsia="zh-CN"/>
        </w:rPr>
        <w:t>）</w:t>
      </w:r>
      <w:r>
        <w:rPr>
          <w:rFonts w:hint="eastAsia" w:ascii="Times New Roman" w:hAnsi="Times New Roman"/>
          <w:color w:val="auto"/>
          <w:spacing w:val="-3"/>
          <w:lang w:eastAsia="zh-CN"/>
        </w:rPr>
        <w:t>代表本公司授权</w:t>
      </w:r>
      <w:r>
        <w:rPr>
          <w:rFonts w:hint="eastAsia" w:ascii="Times New Roman" w:hAnsi="Times New Roman"/>
          <w:color w:val="auto"/>
          <w:lang w:eastAsia="zh-CN"/>
        </w:rPr>
        <w:t>（</w:t>
      </w:r>
      <w:r>
        <w:rPr>
          <w:rFonts w:hint="eastAsia" w:ascii="Times New Roman" w:hAnsi="Times New Roman"/>
          <w:color w:val="auto"/>
          <w:u w:val="single"/>
          <w:lang w:eastAsia="zh-CN"/>
        </w:rPr>
        <w:t>公司名称</w:t>
      </w:r>
      <w:r>
        <w:rPr>
          <w:rFonts w:hint="eastAsia" w:ascii="Times New Roman" w:hAnsi="Times New Roman"/>
          <w:color w:val="auto"/>
          <w:spacing w:val="-15"/>
          <w:lang w:eastAsia="zh-CN"/>
        </w:rPr>
        <w:t>）</w:t>
      </w:r>
      <w:r>
        <w:rPr>
          <w:rFonts w:hint="eastAsia" w:ascii="Times New Roman" w:hAnsi="Times New Roman"/>
          <w:color w:val="auto"/>
          <w:spacing w:val="-3"/>
          <w:lang w:eastAsia="zh-CN"/>
        </w:rPr>
        <w:t>的在下面签字或盖章的</w:t>
      </w:r>
      <w:r>
        <w:rPr>
          <w:rFonts w:hint="eastAsia" w:ascii="Times New Roman" w:hAnsi="Times New Roman"/>
          <w:color w:val="auto"/>
          <w:lang w:eastAsia="zh-CN"/>
        </w:rPr>
        <w:t>（</w:t>
      </w:r>
      <w:r>
        <w:rPr>
          <w:rFonts w:hint="eastAsia" w:ascii="Times New Roman" w:hAnsi="Times New Roman"/>
          <w:color w:val="auto"/>
          <w:u w:val="single"/>
          <w:lang w:eastAsia="zh-CN"/>
        </w:rPr>
        <w:t>授</w:t>
      </w:r>
      <w:r>
        <w:rPr>
          <w:rFonts w:hint="eastAsia" w:ascii="Times New Roman" w:hAnsi="Times New Roman"/>
          <w:color w:val="auto"/>
          <w:spacing w:val="-3"/>
          <w:u w:val="single"/>
          <w:lang w:eastAsia="zh-CN"/>
        </w:rPr>
        <w:t>权代表的姓名、职务</w:t>
      </w:r>
      <w:r>
        <w:rPr>
          <w:rFonts w:hint="eastAsia" w:ascii="Times New Roman" w:hAnsi="Times New Roman"/>
          <w:color w:val="auto"/>
          <w:spacing w:val="-15"/>
          <w:lang w:eastAsia="zh-CN"/>
        </w:rPr>
        <w:t>）</w:t>
      </w:r>
      <w:r>
        <w:rPr>
          <w:rFonts w:hint="eastAsia" w:ascii="Times New Roman" w:hAnsi="Times New Roman"/>
          <w:color w:val="auto"/>
          <w:spacing w:val="-4"/>
          <w:lang w:eastAsia="zh-CN"/>
        </w:rPr>
        <w:t>为本公司的合法代理人，就</w:t>
      </w:r>
      <w:r>
        <w:rPr>
          <w:rFonts w:hint="eastAsia" w:ascii="Times New Roman" w:hAnsi="Times New Roman"/>
          <w:color w:val="auto"/>
          <w:lang w:eastAsia="zh-CN"/>
        </w:rPr>
        <w:t>（</w:t>
      </w:r>
      <w:r>
        <w:rPr>
          <w:rFonts w:hint="eastAsia" w:ascii="Times New Roman" w:hAnsi="Times New Roman"/>
          <w:color w:val="auto"/>
          <w:u w:val="single"/>
          <w:lang w:eastAsia="zh-CN"/>
        </w:rPr>
        <w:t>项目名称</w:t>
      </w:r>
      <w:r>
        <w:rPr>
          <w:rFonts w:hint="eastAsia" w:ascii="Times New Roman" w:hAnsi="Times New Roman"/>
          <w:color w:val="auto"/>
          <w:spacing w:val="-15"/>
          <w:lang w:eastAsia="zh-CN"/>
        </w:rPr>
        <w:t>）</w:t>
      </w:r>
      <w:r>
        <w:rPr>
          <w:rFonts w:hint="eastAsia" w:ascii="Times New Roman" w:hAnsi="Times New Roman"/>
          <w:color w:val="auto"/>
          <w:spacing w:val="-4"/>
          <w:lang w:eastAsia="zh-CN"/>
        </w:rPr>
        <w:t>的投标，以本公</w:t>
      </w:r>
      <w:r>
        <w:rPr>
          <w:rFonts w:hint="eastAsia" w:ascii="Times New Roman" w:hAnsi="Times New Roman"/>
          <w:color w:val="auto"/>
          <w:lang w:eastAsia="zh-CN"/>
        </w:rPr>
        <w:t>司名义处理</w:t>
      </w:r>
      <w:r>
        <w:rPr>
          <w:color w:val="auto"/>
          <w:lang w:eastAsia="zh-CN"/>
        </w:rPr>
        <w:t>一切与</w:t>
      </w:r>
      <w:r>
        <w:rPr>
          <w:rFonts w:hint="eastAsia"/>
          <w:color w:val="auto"/>
          <w:lang w:eastAsia="zh-CN"/>
        </w:rPr>
        <w:t>投标</w:t>
      </w:r>
      <w:r>
        <w:rPr>
          <w:color w:val="auto"/>
          <w:lang w:eastAsia="zh-CN"/>
        </w:rPr>
        <w:t>有关的事务</w:t>
      </w:r>
      <w:r>
        <w:rPr>
          <w:rFonts w:hint="eastAsia"/>
          <w:color w:val="auto"/>
          <w:lang w:eastAsia="zh-CN"/>
        </w:rPr>
        <w:t>，</w:t>
      </w:r>
      <w:r>
        <w:rPr>
          <w:color w:val="auto"/>
          <w:lang w:eastAsia="zh-CN"/>
        </w:rPr>
        <w:t>其法律后果由我公司承担</w:t>
      </w:r>
      <w:r>
        <w:rPr>
          <w:rFonts w:hint="eastAsia" w:ascii="Times New Roman" w:hAnsi="Times New Roman"/>
          <w:color w:val="auto"/>
          <w:lang w:eastAsia="zh-CN"/>
        </w:rPr>
        <w:t>。</w:t>
      </w:r>
    </w:p>
    <w:p>
      <w:pPr>
        <w:pStyle w:val="12"/>
        <w:rPr>
          <w:rFonts w:ascii="Times New Roman" w:hAnsi="Times New Roman"/>
          <w:color w:val="auto"/>
          <w:lang w:eastAsia="zh-CN"/>
        </w:rPr>
      </w:pPr>
    </w:p>
    <w:p>
      <w:pPr>
        <w:pStyle w:val="12"/>
        <w:spacing w:before="9"/>
        <w:rPr>
          <w:rFonts w:ascii="Times New Roman" w:hAnsi="Times New Roman"/>
          <w:color w:val="auto"/>
          <w:lang w:eastAsia="zh-CN"/>
        </w:rPr>
      </w:pPr>
    </w:p>
    <w:p>
      <w:pPr>
        <w:pStyle w:val="12"/>
        <w:tabs>
          <w:tab w:val="left" w:pos="3097"/>
          <w:tab w:val="left" w:pos="3937"/>
          <w:tab w:val="left" w:pos="4897"/>
        </w:tabs>
        <w:ind w:left="697"/>
        <w:rPr>
          <w:rFonts w:ascii="Times New Roman" w:hAnsi="Times New Roman"/>
          <w:color w:val="auto"/>
          <w:lang w:eastAsia="zh-CN"/>
        </w:rPr>
      </w:pPr>
      <w:r>
        <w:rPr>
          <w:rFonts w:hint="eastAsia" w:ascii="Times New Roman" w:hAnsi="Times New Roman"/>
          <w:color w:val="auto"/>
          <w:lang w:eastAsia="zh-CN"/>
        </w:rPr>
        <w:t>本授权书于</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r>
        <w:rPr>
          <w:rFonts w:hint="eastAsia" w:ascii="Times New Roman" w:hAnsi="Times New Roman"/>
          <w:color w:val="auto"/>
          <w:lang w:eastAsia="zh-CN"/>
        </w:rPr>
        <w:t>生效，特此声明。</w:t>
      </w: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2"/>
        <w:gridCol w:w="4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4362" w:type="dxa"/>
            <w:vAlign w:val="center"/>
          </w:tcPr>
          <w:p>
            <w:pPr>
              <w:snapToGrid w:val="0"/>
              <w:spacing w:line="360" w:lineRule="auto"/>
              <w:jc w:val="center"/>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授权代表身份证正面</w:t>
            </w:r>
          </w:p>
        </w:tc>
        <w:tc>
          <w:tcPr>
            <w:tcW w:w="4362" w:type="dxa"/>
            <w:vAlign w:val="center"/>
          </w:tcPr>
          <w:p>
            <w:pPr>
              <w:snapToGrid w:val="0"/>
              <w:spacing w:line="360" w:lineRule="auto"/>
              <w:jc w:val="center"/>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授权代表身份证背面</w:t>
            </w:r>
          </w:p>
        </w:tc>
      </w:tr>
    </w:tbl>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spacing w:before="1"/>
        <w:rPr>
          <w:rFonts w:ascii="Times New Roman" w:hAnsi="Times New Roman"/>
          <w:color w:val="auto"/>
          <w:lang w:eastAsia="zh-CN"/>
        </w:rPr>
      </w:pPr>
    </w:p>
    <w:p>
      <w:pPr>
        <w:pStyle w:val="12"/>
        <w:tabs>
          <w:tab w:val="left" w:pos="6577"/>
        </w:tabs>
        <w:rPr>
          <w:rFonts w:ascii="Times New Roman" w:hAnsi="Times New Roman"/>
          <w:color w:val="auto"/>
          <w:lang w:eastAsia="zh-CN"/>
        </w:rPr>
      </w:pPr>
      <w:r>
        <w:rPr>
          <w:rFonts w:hint="eastAsia" w:ascii="Times New Roman" w:hAnsi="Times New Roman"/>
          <w:color w:val="auto"/>
          <w:lang w:eastAsia="zh-CN"/>
        </w:rPr>
        <w:t>法定代表人签字或盖章：</w:t>
      </w:r>
      <w:r>
        <w:rPr>
          <w:rFonts w:ascii="Times New Roman" w:hAnsi="Times New Roman" w:cs="Times New Roman"/>
          <w:color w:val="auto"/>
          <w:u w:val="single"/>
          <w:lang w:eastAsia="zh-CN"/>
        </w:rPr>
        <w:t>_________</w:t>
      </w:r>
    </w:p>
    <w:p>
      <w:pPr>
        <w:pStyle w:val="12"/>
        <w:spacing w:before="5"/>
        <w:rPr>
          <w:rFonts w:ascii="Times New Roman" w:hAnsi="Times New Roman"/>
          <w:color w:val="auto"/>
          <w:lang w:eastAsia="zh-CN"/>
        </w:rPr>
      </w:pPr>
    </w:p>
    <w:p>
      <w:pPr>
        <w:pStyle w:val="12"/>
        <w:tabs>
          <w:tab w:val="left" w:pos="5617"/>
        </w:tabs>
        <w:spacing w:before="74"/>
        <w:rPr>
          <w:rFonts w:ascii="Times New Roman" w:hAnsi="Times New Roman"/>
          <w:color w:val="auto"/>
          <w:lang w:eastAsia="zh-CN"/>
        </w:rPr>
      </w:pPr>
      <w:r>
        <w:rPr>
          <w:rFonts w:hint="eastAsia" w:ascii="Times New Roman" w:hAnsi="Times New Roman"/>
          <w:color w:val="auto"/>
          <w:lang w:eastAsia="zh-CN"/>
        </w:rPr>
        <w:t>授权代表签字或盖章：</w:t>
      </w:r>
      <w:r>
        <w:rPr>
          <w:rFonts w:ascii="Times New Roman" w:hAnsi="Times New Roman" w:cs="Times New Roman"/>
          <w:color w:val="auto"/>
          <w:u w:val="single"/>
          <w:lang w:eastAsia="zh-CN"/>
        </w:rPr>
        <w:t>_________</w:t>
      </w:r>
    </w:p>
    <w:p>
      <w:pPr>
        <w:pStyle w:val="12"/>
        <w:spacing w:before="1"/>
        <w:rPr>
          <w:rFonts w:ascii="Times New Roman" w:hAnsi="Times New Roman"/>
          <w:color w:val="auto"/>
          <w:lang w:eastAsia="zh-CN"/>
        </w:rPr>
      </w:pPr>
    </w:p>
    <w:p>
      <w:pPr>
        <w:pStyle w:val="12"/>
        <w:spacing w:before="66"/>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w:t>
      </w:r>
      <w:r>
        <w:rPr>
          <w:rFonts w:hint="eastAsia" w:ascii="Times New Roman" w:hAnsi="Times New Roman"/>
          <w:color w:val="auto"/>
          <w:lang w:eastAsia="zh-CN"/>
        </w:rPr>
        <w:t>（盖章）</w:t>
      </w:r>
    </w:p>
    <w:p>
      <w:pPr>
        <w:rPr>
          <w:rFonts w:ascii="Times New Roman" w:hAnsi="Times New Roman"/>
          <w:color w:val="auto"/>
          <w:sz w:val="24"/>
          <w:szCs w:val="24"/>
          <w:lang w:eastAsia="zh-CN"/>
        </w:rPr>
      </w:pPr>
      <w:r>
        <w:rPr>
          <w:rFonts w:ascii="Times New Roman" w:hAnsi="Times New Roman"/>
          <w:color w:val="auto"/>
          <w:sz w:val="24"/>
          <w:szCs w:val="24"/>
          <w:lang w:eastAsia="zh-CN"/>
        </w:rPr>
        <w:br w:type="page"/>
      </w:r>
    </w:p>
    <w:p>
      <w:pPr>
        <w:pStyle w:val="5"/>
        <w:keepNext w:val="0"/>
        <w:keepLines w:val="0"/>
        <w:rPr>
          <w:rFonts w:ascii="Times New Roman"/>
          <w:color w:val="auto"/>
        </w:rPr>
      </w:pPr>
      <w:r>
        <w:rPr>
          <w:rFonts w:hint="eastAsia" w:ascii="Times New Roman"/>
          <w:color w:val="auto"/>
        </w:rPr>
        <w:t>附件</w:t>
      </w:r>
      <w:r>
        <w:rPr>
          <w:rFonts w:ascii="Times New Roman"/>
          <w:color w:val="auto"/>
        </w:rPr>
        <w:t>4</w:t>
      </w:r>
      <w:r>
        <w:rPr>
          <w:rFonts w:hint="eastAsia" w:ascii="Times New Roman"/>
          <w:color w:val="auto"/>
        </w:rPr>
        <w:t>、法定代表人身份证明</w:t>
      </w:r>
    </w:p>
    <w:p>
      <w:pPr>
        <w:tabs>
          <w:tab w:val="left" w:pos="1179"/>
        </w:tabs>
        <w:spacing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（适用于法定代表人签署投标文件的）</w:t>
      </w:r>
    </w:p>
    <w:p>
      <w:pPr>
        <w:snapToGrid w:val="0"/>
        <w:spacing w:before="720" w:beforeLines="300" w:line="360" w:lineRule="auto"/>
        <w:jc w:val="center"/>
        <w:rPr>
          <w:rFonts w:ascii="Times New Roman" w:hAnsi="Times New Roman" w:cs="Arial"/>
          <w:color w:val="auto"/>
          <w:sz w:val="24"/>
          <w:szCs w:val="24"/>
          <w:lang w:eastAsia="zh-CN"/>
        </w:rPr>
      </w:pPr>
      <w:r>
        <w:rPr>
          <w:rFonts w:hint="eastAsia" w:ascii="Times New Roman" w:hAnsi="Times New Roman" w:cs="Arial"/>
          <w:b/>
          <w:color w:val="auto"/>
          <w:sz w:val="24"/>
          <w:szCs w:val="24"/>
          <w:lang w:eastAsia="zh-CN"/>
        </w:rPr>
        <w:t>法定代表人身份证明</w:t>
      </w:r>
    </w:p>
    <w:p>
      <w:pPr>
        <w:snapToGrid w:val="0"/>
        <w:spacing w:before="720" w:beforeLines="300" w:line="360" w:lineRule="auto"/>
        <w:ind w:firstLine="120" w:firstLineChars="50"/>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投</w:t>
      </w:r>
      <w:r>
        <w:rPr>
          <w:rFonts w:ascii="Times New Roman" w:hAnsi="Times New Roman" w:cs="Arial"/>
          <w:color w:val="auto"/>
          <w:sz w:val="24"/>
          <w:szCs w:val="24"/>
          <w:lang w:eastAsia="zh-CN"/>
        </w:rPr>
        <w:t xml:space="preserve"> </w:t>
      </w:r>
      <w:r>
        <w:rPr>
          <w:rFonts w:hint="eastAsia" w:ascii="Times New Roman" w:hAnsi="Times New Roman" w:cs="Arial"/>
          <w:color w:val="auto"/>
          <w:sz w:val="24"/>
          <w:szCs w:val="24"/>
          <w:lang w:eastAsia="zh-CN"/>
        </w:rPr>
        <w:t>标</w:t>
      </w:r>
      <w:r>
        <w:rPr>
          <w:rFonts w:ascii="Times New Roman" w:hAnsi="Times New Roman" w:cs="Arial"/>
          <w:color w:val="auto"/>
          <w:sz w:val="24"/>
          <w:szCs w:val="24"/>
          <w:lang w:eastAsia="zh-CN"/>
        </w:rPr>
        <w:t xml:space="preserve"> </w:t>
      </w:r>
      <w:r>
        <w:rPr>
          <w:rFonts w:hint="eastAsia" w:ascii="Times New Roman" w:hAnsi="Times New Roman" w:cs="Arial"/>
          <w:color w:val="auto"/>
          <w:sz w:val="24"/>
          <w:szCs w:val="24"/>
          <w:lang w:eastAsia="zh-CN"/>
        </w:rPr>
        <w:t>人：</w:t>
      </w:r>
      <w:r>
        <w:rPr>
          <w:rFonts w:ascii="Times New Roman" w:hAnsi="Times New Roman" w:cs="Times New Roman"/>
          <w:color w:val="auto"/>
          <w:sz w:val="24"/>
          <w:szCs w:val="24"/>
          <w:u w:val="single"/>
          <w:lang w:eastAsia="zh-CN"/>
        </w:rPr>
        <w:t>_______________</w:t>
      </w:r>
    </w:p>
    <w:p>
      <w:pPr>
        <w:snapToGrid w:val="0"/>
        <w:spacing w:line="360" w:lineRule="auto"/>
        <w:ind w:firstLine="120" w:firstLineChars="50"/>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单位性质：</w:t>
      </w:r>
      <w:r>
        <w:rPr>
          <w:rFonts w:ascii="Times New Roman" w:hAnsi="Times New Roman" w:cs="Times New Roman"/>
          <w:color w:val="auto"/>
          <w:sz w:val="24"/>
          <w:szCs w:val="24"/>
          <w:u w:val="single"/>
          <w:lang w:eastAsia="zh-CN"/>
        </w:rPr>
        <w:t>_______________</w:t>
      </w:r>
    </w:p>
    <w:p>
      <w:pPr>
        <w:snapToGrid w:val="0"/>
        <w:spacing w:line="360" w:lineRule="auto"/>
        <w:ind w:firstLine="120" w:firstLineChars="50"/>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地</w:t>
      </w:r>
      <w:r>
        <w:rPr>
          <w:rFonts w:ascii="Times New Roman" w:hAnsi="Times New Roman" w:cs="Arial"/>
          <w:color w:val="auto"/>
          <w:sz w:val="24"/>
          <w:szCs w:val="24"/>
          <w:lang w:eastAsia="zh-CN"/>
        </w:rPr>
        <w:t xml:space="preserve">    </w:t>
      </w:r>
      <w:r>
        <w:rPr>
          <w:rFonts w:hint="eastAsia" w:ascii="Times New Roman" w:hAnsi="Times New Roman" w:cs="Arial"/>
          <w:color w:val="auto"/>
          <w:sz w:val="24"/>
          <w:szCs w:val="24"/>
          <w:lang w:eastAsia="zh-CN"/>
        </w:rPr>
        <w:t>址：</w:t>
      </w:r>
      <w:r>
        <w:rPr>
          <w:rFonts w:ascii="Times New Roman" w:hAnsi="Times New Roman" w:cs="Times New Roman"/>
          <w:color w:val="auto"/>
          <w:sz w:val="24"/>
          <w:szCs w:val="24"/>
          <w:u w:val="single"/>
          <w:lang w:eastAsia="zh-CN"/>
        </w:rPr>
        <w:t>__________________</w:t>
      </w:r>
    </w:p>
    <w:p>
      <w:pPr>
        <w:snapToGrid w:val="0"/>
        <w:spacing w:line="360" w:lineRule="auto"/>
        <w:ind w:firstLine="120" w:firstLineChars="50"/>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成立时间：</w:t>
      </w:r>
      <w:r>
        <w:rPr>
          <w:rFonts w:ascii="Times New Roman" w:hAnsi="Times New Roman" w:cs="Times New Roman"/>
          <w:color w:val="auto"/>
          <w:sz w:val="24"/>
          <w:szCs w:val="24"/>
          <w:u w:val="single"/>
          <w:lang w:eastAsia="zh-CN"/>
        </w:rPr>
        <w:t>______</w:t>
      </w:r>
      <w:r>
        <w:rPr>
          <w:rFonts w:hint="eastAsia"/>
          <w:bCs/>
          <w:color w:val="auto"/>
          <w:lang w:eastAsia="zh-CN"/>
        </w:rPr>
        <w:t>年</w:t>
      </w:r>
      <w:r>
        <w:rPr>
          <w:rFonts w:ascii="Times New Roman" w:hAnsi="Times New Roman" w:cs="Times New Roman"/>
          <w:color w:val="auto"/>
          <w:sz w:val="24"/>
          <w:szCs w:val="24"/>
          <w:u w:val="single"/>
          <w:lang w:eastAsia="zh-CN"/>
        </w:rPr>
        <w:t>___</w:t>
      </w:r>
      <w:r>
        <w:rPr>
          <w:rFonts w:hint="eastAsia"/>
          <w:bCs/>
          <w:color w:val="auto"/>
          <w:lang w:eastAsia="zh-CN"/>
        </w:rPr>
        <w:t>月</w:t>
      </w:r>
      <w:r>
        <w:rPr>
          <w:rFonts w:ascii="Times New Roman" w:hAnsi="Times New Roman" w:cs="Times New Roman"/>
          <w:color w:val="auto"/>
          <w:sz w:val="24"/>
          <w:szCs w:val="24"/>
          <w:u w:val="single"/>
          <w:lang w:eastAsia="zh-CN"/>
        </w:rPr>
        <w:t>___</w:t>
      </w:r>
      <w:r>
        <w:rPr>
          <w:rFonts w:hint="eastAsia"/>
          <w:bCs/>
          <w:color w:val="auto"/>
          <w:lang w:eastAsia="zh-CN"/>
        </w:rPr>
        <w:t>日</w:t>
      </w:r>
    </w:p>
    <w:p>
      <w:pPr>
        <w:snapToGrid w:val="0"/>
        <w:spacing w:line="360" w:lineRule="auto"/>
        <w:ind w:firstLine="120" w:firstLineChars="50"/>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经营期限：</w:t>
      </w:r>
      <w:r>
        <w:rPr>
          <w:rFonts w:ascii="Times New Roman" w:hAnsi="Times New Roman" w:cs="Times New Roman"/>
          <w:color w:val="auto"/>
          <w:sz w:val="24"/>
          <w:szCs w:val="24"/>
          <w:u w:val="single"/>
          <w:lang w:eastAsia="zh-CN"/>
        </w:rPr>
        <w:t>_______________</w:t>
      </w:r>
    </w:p>
    <w:p>
      <w:pPr>
        <w:snapToGrid w:val="0"/>
        <w:spacing w:line="360" w:lineRule="auto"/>
        <w:ind w:firstLine="120" w:firstLineChars="50"/>
        <w:rPr>
          <w:rFonts w:ascii="Times New Roman" w:hAnsi="Times New Roman" w:cs="Arial"/>
          <w:color w:val="auto"/>
          <w:sz w:val="24"/>
          <w:szCs w:val="24"/>
          <w:lang w:eastAsia="zh-CN"/>
        </w:rPr>
      </w:pPr>
    </w:p>
    <w:p>
      <w:pPr>
        <w:snapToGrid w:val="0"/>
        <w:spacing w:line="360" w:lineRule="auto"/>
        <w:ind w:firstLine="120" w:firstLineChars="50"/>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姓</w:t>
      </w:r>
      <w:r>
        <w:rPr>
          <w:rFonts w:ascii="Times New Roman" w:hAnsi="Times New Roman" w:cs="Arial"/>
          <w:color w:val="auto"/>
          <w:sz w:val="24"/>
          <w:szCs w:val="24"/>
          <w:lang w:eastAsia="zh-CN"/>
        </w:rPr>
        <w:t xml:space="preserve">    </w:t>
      </w:r>
      <w:r>
        <w:rPr>
          <w:rFonts w:hint="eastAsia" w:ascii="Times New Roman" w:hAnsi="Times New Roman" w:cs="Arial"/>
          <w:color w:val="auto"/>
          <w:sz w:val="24"/>
          <w:szCs w:val="24"/>
          <w:lang w:eastAsia="zh-CN"/>
        </w:rPr>
        <w:t>名：</w:t>
      </w:r>
      <w:r>
        <w:rPr>
          <w:rFonts w:ascii="Times New Roman" w:hAnsi="Times New Roman" w:cs="Times New Roman"/>
          <w:color w:val="auto"/>
          <w:sz w:val="24"/>
          <w:szCs w:val="24"/>
          <w:u w:val="single"/>
          <w:lang w:eastAsia="zh-CN"/>
        </w:rPr>
        <w:t>_________</w:t>
      </w:r>
      <w:r>
        <w:rPr>
          <w:rFonts w:hint="eastAsia" w:ascii="Times New Roman" w:hAnsi="Times New Roman" w:cs="Arial"/>
          <w:color w:val="auto"/>
          <w:sz w:val="24"/>
          <w:szCs w:val="24"/>
          <w:lang w:eastAsia="zh-CN"/>
        </w:rPr>
        <w:t>性</w:t>
      </w:r>
      <w:r>
        <w:rPr>
          <w:rFonts w:ascii="Times New Roman" w:hAnsi="Times New Roman" w:cs="Arial"/>
          <w:color w:val="auto"/>
          <w:sz w:val="24"/>
          <w:szCs w:val="24"/>
          <w:lang w:eastAsia="zh-CN"/>
        </w:rPr>
        <w:t xml:space="preserve">     </w:t>
      </w:r>
      <w:r>
        <w:rPr>
          <w:rFonts w:hint="eastAsia" w:ascii="Times New Roman" w:hAnsi="Times New Roman" w:cs="Arial"/>
          <w:color w:val="auto"/>
          <w:sz w:val="24"/>
          <w:szCs w:val="24"/>
          <w:lang w:eastAsia="zh-CN"/>
        </w:rPr>
        <w:t>别：</w:t>
      </w:r>
      <w:r>
        <w:rPr>
          <w:rFonts w:ascii="Times New Roman" w:hAnsi="Times New Roman" w:cs="Times New Roman"/>
          <w:color w:val="auto"/>
          <w:sz w:val="24"/>
          <w:szCs w:val="24"/>
          <w:u w:val="single"/>
          <w:lang w:eastAsia="zh-CN"/>
        </w:rPr>
        <w:t>______</w:t>
      </w:r>
    </w:p>
    <w:p>
      <w:pPr>
        <w:snapToGrid w:val="0"/>
        <w:spacing w:line="360" w:lineRule="auto"/>
        <w:ind w:firstLine="120" w:firstLineChars="50"/>
        <w:rPr>
          <w:rFonts w:ascii="Times New Roman" w:hAnsi="Times New Roman" w:cs="Arial"/>
          <w:color w:val="auto"/>
          <w:sz w:val="24"/>
          <w:szCs w:val="24"/>
          <w:u w:val="single"/>
          <w:lang w:eastAsia="zh-CN"/>
        </w:rPr>
      </w:pPr>
      <w:r>
        <w:rPr>
          <w:rFonts w:hint="eastAsia" w:ascii="Times New Roman" w:hAnsi="Times New Roman" w:cs="Arial"/>
          <w:color w:val="auto"/>
          <w:sz w:val="24"/>
          <w:szCs w:val="24"/>
          <w:lang w:eastAsia="zh-CN"/>
        </w:rPr>
        <w:t>年</w:t>
      </w:r>
      <w:r>
        <w:rPr>
          <w:rFonts w:ascii="Times New Roman" w:hAnsi="Times New Roman" w:cs="Arial"/>
          <w:color w:val="auto"/>
          <w:sz w:val="24"/>
          <w:szCs w:val="24"/>
          <w:lang w:eastAsia="zh-CN"/>
        </w:rPr>
        <w:t xml:space="preserve">    </w:t>
      </w:r>
      <w:r>
        <w:rPr>
          <w:rFonts w:hint="eastAsia" w:ascii="Times New Roman" w:hAnsi="Times New Roman" w:cs="Arial"/>
          <w:color w:val="auto"/>
          <w:sz w:val="24"/>
          <w:szCs w:val="24"/>
          <w:lang w:eastAsia="zh-CN"/>
        </w:rPr>
        <w:t>龄：</w:t>
      </w:r>
      <w:r>
        <w:rPr>
          <w:rFonts w:ascii="Times New Roman" w:hAnsi="Times New Roman" w:cs="Times New Roman"/>
          <w:color w:val="auto"/>
          <w:sz w:val="24"/>
          <w:szCs w:val="24"/>
          <w:u w:val="single"/>
          <w:lang w:eastAsia="zh-CN"/>
        </w:rPr>
        <w:t>_________</w:t>
      </w:r>
      <w:r>
        <w:rPr>
          <w:rFonts w:hint="eastAsia" w:ascii="Times New Roman" w:hAnsi="Times New Roman" w:cs="Arial"/>
          <w:color w:val="auto"/>
          <w:sz w:val="24"/>
          <w:szCs w:val="24"/>
          <w:lang w:eastAsia="zh-CN"/>
        </w:rPr>
        <w:t>职</w:t>
      </w:r>
      <w:r>
        <w:rPr>
          <w:rFonts w:ascii="Times New Roman" w:hAnsi="Times New Roman" w:cs="Arial"/>
          <w:color w:val="auto"/>
          <w:sz w:val="24"/>
          <w:szCs w:val="24"/>
          <w:lang w:eastAsia="zh-CN"/>
        </w:rPr>
        <w:t xml:space="preserve">     </w:t>
      </w:r>
      <w:r>
        <w:rPr>
          <w:rFonts w:hint="eastAsia" w:ascii="Times New Roman" w:hAnsi="Times New Roman" w:cs="Arial"/>
          <w:color w:val="auto"/>
          <w:sz w:val="24"/>
          <w:szCs w:val="24"/>
          <w:lang w:eastAsia="zh-CN"/>
        </w:rPr>
        <w:t>务：</w:t>
      </w:r>
      <w:r>
        <w:rPr>
          <w:rFonts w:ascii="Times New Roman" w:hAnsi="Times New Roman" w:cs="Times New Roman"/>
          <w:color w:val="auto"/>
          <w:sz w:val="24"/>
          <w:szCs w:val="24"/>
          <w:u w:val="single"/>
          <w:lang w:eastAsia="zh-CN"/>
        </w:rPr>
        <w:t>______</w:t>
      </w:r>
    </w:p>
    <w:p>
      <w:pPr>
        <w:snapToGrid w:val="0"/>
        <w:spacing w:before="480" w:beforeLines="200" w:line="360" w:lineRule="auto"/>
        <w:ind w:firstLine="120" w:firstLineChars="50"/>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系</w:t>
      </w:r>
      <w:r>
        <w:rPr>
          <w:rFonts w:ascii="Times New Roman" w:hAnsi="Times New Roman" w:cs="Times New Roman"/>
          <w:color w:val="auto"/>
          <w:sz w:val="24"/>
          <w:szCs w:val="24"/>
          <w:u w:val="single"/>
          <w:lang w:eastAsia="zh-CN"/>
        </w:rPr>
        <w:t>____________</w:t>
      </w:r>
      <w:r>
        <w:rPr>
          <w:rFonts w:hint="eastAsia" w:ascii="Times New Roman" w:hAnsi="Times New Roman" w:cs="Arial"/>
          <w:color w:val="auto"/>
          <w:sz w:val="24"/>
          <w:szCs w:val="24"/>
          <w:lang w:eastAsia="zh-CN"/>
        </w:rPr>
        <w:t>（投标人名称）的法定代表人。</w:t>
      </w:r>
    </w:p>
    <w:p>
      <w:pPr>
        <w:snapToGrid w:val="0"/>
        <w:spacing w:line="360" w:lineRule="auto"/>
        <w:ind w:firstLine="120" w:firstLineChars="50"/>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特此证明。</w:t>
      </w:r>
    </w:p>
    <w:p>
      <w:pPr>
        <w:snapToGrid w:val="0"/>
        <w:spacing w:line="360" w:lineRule="auto"/>
        <w:ind w:firstLine="120" w:firstLineChars="50"/>
        <w:rPr>
          <w:rFonts w:ascii="Times New Roman" w:hAnsi="Times New Roman" w:cs="Arial"/>
          <w:color w:val="auto"/>
          <w:sz w:val="24"/>
          <w:szCs w:val="24"/>
          <w:lang w:eastAsia="zh-CN"/>
        </w:r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62"/>
        <w:gridCol w:w="4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7" w:hRule="atLeast"/>
        </w:trPr>
        <w:tc>
          <w:tcPr>
            <w:tcW w:w="4362" w:type="dxa"/>
            <w:vAlign w:val="center"/>
          </w:tcPr>
          <w:p>
            <w:pPr>
              <w:snapToGrid w:val="0"/>
              <w:spacing w:line="360" w:lineRule="auto"/>
              <w:jc w:val="center"/>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法定代表人身份证正面</w:t>
            </w:r>
          </w:p>
        </w:tc>
        <w:tc>
          <w:tcPr>
            <w:tcW w:w="4362" w:type="dxa"/>
            <w:vAlign w:val="center"/>
          </w:tcPr>
          <w:p>
            <w:pPr>
              <w:snapToGrid w:val="0"/>
              <w:spacing w:line="360" w:lineRule="auto"/>
              <w:jc w:val="center"/>
              <w:rPr>
                <w:rFonts w:ascii="Times New Roman" w:hAnsi="Times New Roman" w:cs="Arial"/>
                <w:color w:val="auto"/>
                <w:sz w:val="24"/>
                <w:szCs w:val="24"/>
                <w:lang w:eastAsia="zh-CN"/>
              </w:rPr>
            </w:pPr>
            <w:r>
              <w:rPr>
                <w:rFonts w:hint="eastAsia" w:ascii="Times New Roman" w:hAnsi="Times New Roman" w:cs="Arial"/>
                <w:color w:val="auto"/>
                <w:sz w:val="24"/>
                <w:szCs w:val="24"/>
                <w:lang w:eastAsia="zh-CN"/>
              </w:rPr>
              <w:t>法定代表人身份证背面</w:t>
            </w:r>
          </w:p>
        </w:tc>
      </w:tr>
    </w:tbl>
    <w:p>
      <w:pPr>
        <w:snapToGrid w:val="0"/>
        <w:spacing w:line="360" w:lineRule="auto"/>
        <w:ind w:firstLine="120" w:firstLineChars="50"/>
        <w:rPr>
          <w:rFonts w:ascii="Times New Roman" w:hAnsi="Times New Roman" w:cs="Arial"/>
          <w:color w:val="auto"/>
          <w:sz w:val="24"/>
          <w:szCs w:val="24"/>
          <w:lang w:eastAsia="zh-CN"/>
        </w:rPr>
      </w:pPr>
    </w:p>
    <w:p>
      <w:pPr>
        <w:snapToGrid w:val="0"/>
        <w:spacing w:line="360" w:lineRule="auto"/>
        <w:ind w:firstLine="120" w:firstLineChars="50"/>
        <w:rPr>
          <w:rFonts w:ascii="Times New Roman" w:hAnsi="Times New Roman" w:cs="Arial"/>
          <w:color w:val="auto"/>
          <w:sz w:val="24"/>
          <w:szCs w:val="24"/>
          <w:lang w:eastAsia="zh-CN"/>
        </w:rPr>
      </w:pPr>
    </w:p>
    <w:p>
      <w:pPr>
        <w:spacing w:line="360" w:lineRule="auto"/>
        <w:jc w:val="right"/>
        <w:rPr>
          <w:rFonts w:ascii="Times New Roman" w:hAnsi="Times New Roman"/>
          <w:color w:val="auto"/>
          <w:sz w:val="24"/>
          <w:szCs w:val="24"/>
          <w:lang w:eastAsia="zh-CN"/>
        </w:rPr>
      </w:pPr>
      <w:r>
        <w:rPr>
          <w:rFonts w:hint="eastAsia" w:ascii="Times New Roman" w:hAnsi="Times New Roman"/>
          <w:color w:val="auto"/>
          <w:sz w:val="24"/>
          <w:szCs w:val="24"/>
          <w:lang w:eastAsia="zh-CN"/>
        </w:rPr>
        <w:t>投标人：</w:t>
      </w:r>
      <w:r>
        <w:rPr>
          <w:rFonts w:ascii="Times New Roman" w:hAnsi="Times New Roman" w:cs="Times New Roman"/>
          <w:color w:val="auto"/>
          <w:sz w:val="24"/>
          <w:szCs w:val="24"/>
          <w:u w:val="single"/>
          <w:lang w:eastAsia="zh-CN"/>
        </w:rPr>
        <w:t>_________</w:t>
      </w:r>
      <w:r>
        <w:rPr>
          <w:rFonts w:hint="eastAsia" w:ascii="Times New Roman" w:hAnsi="Times New Roman"/>
          <w:color w:val="auto"/>
          <w:sz w:val="24"/>
          <w:szCs w:val="24"/>
          <w:lang w:eastAsia="zh-CN"/>
        </w:rPr>
        <w:t>（盖章）</w:t>
      </w:r>
    </w:p>
    <w:p>
      <w:pPr>
        <w:pStyle w:val="10"/>
        <w:rPr>
          <w:rFonts w:ascii="Times New Roman" w:hAnsi="Times New Roman"/>
          <w:color w:val="auto"/>
          <w:sz w:val="24"/>
          <w:szCs w:val="24"/>
          <w:lang w:eastAsia="zh-CN"/>
        </w:rPr>
      </w:pPr>
    </w:p>
    <w:p>
      <w:pPr>
        <w:spacing w:line="360" w:lineRule="auto"/>
        <w:ind w:firstLine="480" w:firstLineChars="200"/>
        <w:jc w:val="right"/>
        <w:rPr>
          <w:rFonts w:ascii="Times New Roman" w:hAnsi="Times New Roman" w:cs="仿宋_GB2312"/>
          <w:bCs/>
          <w:color w:val="auto"/>
          <w:sz w:val="24"/>
          <w:szCs w:val="24"/>
          <w:lang w:eastAsia="zh-CN"/>
        </w:rPr>
      </w:pPr>
      <w:r>
        <w:rPr>
          <w:rFonts w:hint="eastAsia" w:cs="微软雅黑" w:asciiTheme="minorEastAsia" w:hAnsiTheme="minorEastAsia" w:eastAsiaTheme="minorEastAsia"/>
          <w:color w:val="auto"/>
          <w:sz w:val="24"/>
          <w:szCs w:val="24"/>
          <w:lang w:eastAsia="zh-CN"/>
        </w:rPr>
        <w:t>日期：</w:t>
      </w:r>
      <w:r>
        <w:rPr>
          <w:rFonts w:ascii="Times New Roman" w:hAnsi="Times New Roman" w:cs="Times New Roman"/>
          <w:color w:val="auto"/>
          <w:sz w:val="24"/>
          <w:szCs w:val="24"/>
          <w:u w:val="single"/>
          <w:lang w:eastAsia="zh-CN"/>
        </w:rPr>
        <w:t>______</w:t>
      </w:r>
      <w:r>
        <w:rPr>
          <w:rFonts w:hint="eastAsia"/>
          <w:bCs/>
          <w:color w:val="auto"/>
          <w:lang w:eastAsia="zh-CN"/>
        </w:rPr>
        <w:t>年</w:t>
      </w:r>
      <w:r>
        <w:rPr>
          <w:rFonts w:ascii="Times New Roman" w:hAnsi="Times New Roman" w:cs="Times New Roman"/>
          <w:color w:val="auto"/>
          <w:sz w:val="24"/>
          <w:szCs w:val="24"/>
          <w:u w:val="single"/>
          <w:lang w:eastAsia="zh-CN"/>
        </w:rPr>
        <w:t>___</w:t>
      </w:r>
      <w:r>
        <w:rPr>
          <w:rFonts w:hint="eastAsia"/>
          <w:bCs/>
          <w:color w:val="auto"/>
          <w:lang w:eastAsia="zh-CN"/>
        </w:rPr>
        <w:t>月</w:t>
      </w:r>
      <w:r>
        <w:rPr>
          <w:rFonts w:ascii="Times New Roman" w:hAnsi="Times New Roman" w:cs="Times New Roman"/>
          <w:color w:val="auto"/>
          <w:sz w:val="24"/>
          <w:szCs w:val="24"/>
          <w:u w:val="single"/>
          <w:lang w:eastAsia="zh-CN"/>
        </w:rPr>
        <w:t>___</w:t>
      </w:r>
      <w:r>
        <w:rPr>
          <w:rFonts w:hint="eastAsia"/>
          <w:bCs/>
          <w:color w:val="auto"/>
          <w:lang w:eastAsia="zh-CN"/>
        </w:rPr>
        <w:t>日</w:t>
      </w:r>
    </w:p>
    <w:p>
      <w:pPr>
        <w:pStyle w:val="12"/>
        <w:spacing w:before="5"/>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rPr>
          <w:strike/>
          <w:color w:val="auto"/>
        </w:rPr>
      </w:pPr>
      <w:r>
        <w:rPr>
          <w:rFonts w:hint="eastAsia" w:ascii="Times New Roman"/>
          <w:color w:val="auto"/>
        </w:rPr>
        <w:t>附件</w:t>
      </w:r>
      <w:r>
        <w:rPr>
          <w:rFonts w:hint="eastAsia"/>
          <w:color w:val="auto"/>
        </w:rPr>
        <w:t>5、</w:t>
      </w:r>
      <w:r>
        <w:rPr>
          <w:rFonts w:hAnsi="宋体"/>
          <w:color w:val="auto"/>
        </w:rPr>
        <w:t>联合体协议书</w:t>
      </w:r>
      <w:r>
        <w:rPr>
          <w:rFonts w:hint="eastAsia"/>
          <w:color w:val="auto"/>
        </w:rPr>
        <w:t>（不适用）</w:t>
      </w:r>
    </w:p>
    <w:p>
      <w:pPr>
        <w:spacing w:before="240" w:beforeLines="100" w:after="240" w:afterLines="100" w:line="360" w:lineRule="auto"/>
        <w:jc w:val="center"/>
        <w:rPr>
          <w:b/>
          <w:color w:val="auto"/>
          <w:sz w:val="24"/>
          <w:szCs w:val="24"/>
          <w:lang w:eastAsia="zh-CN"/>
        </w:rPr>
      </w:pPr>
      <w:r>
        <w:rPr>
          <w:b/>
          <w:color w:val="auto"/>
          <w:sz w:val="24"/>
          <w:szCs w:val="24"/>
          <w:lang w:eastAsia="zh-CN"/>
        </w:rPr>
        <w:t>联合体协议书</w:t>
      </w:r>
    </w:p>
    <w:p>
      <w:pPr>
        <w:pStyle w:val="12"/>
        <w:tabs>
          <w:tab w:val="left" w:pos="2202"/>
          <w:tab w:val="left" w:pos="6000"/>
        </w:tabs>
        <w:ind w:firstLine="592" w:firstLineChars="247"/>
        <w:rPr>
          <w:color w:val="auto"/>
          <w:lang w:eastAsia="zh-CN"/>
        </w:rPr>
      </w:pPr>
      <w:r>
        <w:rPr>
          <w:rFonts w:ascii="Times New Roman" w:hAnsi="Times New Roman" w:cs="Times New Roman"/>
          <w:color w:val="auto"/>
          <w:u w:val="single"/>
          <w:lang w:eastAsia="zh-CN"/>
        </w:rPr>
        <w:t>_______________</w:t>
      </w:r>
      <w:r>
        <w:rPr>
          <w:color w:val="auto"/>
          <w:lang w:eastAsia="zh-CN"/>
        </w:rPr>
        <w:t>（所</w:t>
      </w:r>
      <w:r>
        <w:rPr>
          <w:color w:val="auto"/>
          <w:spacing w:val="-3"/>
          <w:lang w:eastAsia="zh-CN"/>
        </w:rPr>
        <w:t>有</w:t>
      </w:r>
      <w:r>
        <w:rPr>
          <w:color w:val="auto"/>
          <w:lang w:eastAsia="zh-CN"/>
        </w:rPr>
        <w:t>成员单位名称）自愿组成</w:t>
      </w:r>
      <w:r>
        <w:rPr>
          <w:rFonts w:ascii="Times New Roman" w:hAnsi="Times New Roman" w:cs="Times New Roman"/>
          <w:color w:val="auto"/>
          <w:u w:val="single"/>
          <w:lang w:eastAsia="zh-CN"/>
        </w:rPr>
        <w:t>_________</w:t>
      </w:r>
      <w:r>
        <w:rPr>
          <w:color w:val="auto"/>
          <w:lang w:eastAsia="zh-CN"/>
        </w:rPr>
        <w:t>（联合体名称）联合体，共同参加</w:t>
      </w:r>
      <w:r>
        <w:rPr>
          <w:rFonts w:ascii="Times New Roman" w:hAnsi="Times New Roman" w:cs="Times New Roman"/>
          <w:color w:val="auto"/>
          <w:u w:val="single"/>
          <w:lang w:eastAsia="zh-CN"/>
        </w:rPr>
        <w:t>_________</w:t>
      </w:r>
      <w:r>
        <w:rPr>
          <w:color w:val="auto"/>
          <w:spacing w:val="-1"/>
          <w:lang w:eastAsia="zh-CN"/>
        </w:rPr>
        <w:t>（</w:t>
      </w:r>
      <w:r>
        <w:rPr>
          <w:color w:val="auto"/>
          <w:spacing w:val="-3"/>
          <w:lang w:eastAsia="zh-CN"/>
        </w:rPr>
        <w:t>项</w:t>
      </w:r>
      <w:r>
        <w:rPr>
          <w:color w:val="auto"/>
          <w:lang w:eastAsia="zh-CN"/>
        </w:rPr>
        <w:t>目名</w:t>
      </w:r>
      <w:r>
        <w:rPr>
          <w:color w:val="auto"/>
          <w:spacing w:val="-3"/>
          <w:lang w:eastAsia="zh-CN"/>
        </w:rPr>
        <w:t>称</w:t>
      </w:r>
      <w:r>
        <w:rPr>
          <w:color w:val="auto"/>
          <w:spacing w:val="-60"/>
          <w:lang w:eastAsia="zh-CN"/>
        </w:rPr>
        <w:t>）</w:t>
      </w:r>
      <w:r>
        <w:rPr>
          <w:color w:val="auto"/>
          <w:spacing w:val="-3"/>
          <w:lang w:eastAsia="zh-CN"/>
        </w:rPr>
        <w:t>货物采</w:t>
      </w:r>
      <w:r>
        <w:rPr>
          <w:color w:val="auto"/>
          <w:lang w:eastAsia="zh-CN"/>
        </w:rPr>
        <w:t>购</w:t>
      </w:r>
      <w:r>
        <w:rPr>
          <w:color w:val="auto"/>
          <w:spacing w:val="-3"/>
          <w:lang w:eastAsia="zh-CN"/>
        </w:rPr>
        <w:t>招</w:t>
      </w:r>
      <w:r>
        <w:rPr>
          <w:color w:val="auto"/>
          <w:lang w:eastAsia="zh-CN"/>
        </w:rPr>
        <w:t>标</w:t>
      </w:r>
      <w:r>
        <w:rPr>
          <w:color w:val="auto"/>
          <w:spacing w:val="-3"/>
          <w:lang w:eastAsia="zh-CN"/>
        </w:rPr>
        <w:t>项</w:t>
      </w:r>
      <w:r>
        <w:rPr>
          <w:color w:val="auto"/>
          <w:lang w:eastAsia="zh-CN"/>
        </w:rPr>
        <w:t>目投</w:t>
      </w:r>
      <w:r>
        <w:rPr>
          <w:color w:val="auto"/>
          <w:spacing w:val="-3"/>
          <w:lang w:eastAsia="zh-CN"/>
        </w:rPr>
        <w:t>标</w:t>
      </w:r>
      <w:r>
        <w:rPr>
          <w:color w:val="auto"/>
          <w:spacing w:val="-60"/>
          <w:lang w:eastAsia="zh-CN"/>
        </w:rPr>
        <w:t>。</w:t>
      </w:r>
      <w:r>
        <w:rPr>
          <w:color w:val="auto"/>
          <w:spacing w:val="-3"/>
          <w:lang w:eastAsia="zh-CN"/>
        </w:rPr>
        <w:t>现</w:t>
      </w:r>
      <w:r>
        <w:rPr>
          <w:color w:val="auto"/>
          <w:lang w:eastAsia="zh-CN"/>
        </w:rPr>
        <w:t>就</w:t>
      </w:r>
      <w:r>
        <w:rPr>
          <w:color w:val="auto"/>
          <w:spacing w:val="-3"/>
          <w:lang w:eastAsia="zh-CN"/>
        </w:rPr>
        <w:t>联</w:t>
      </w:r>
      <w:r>
        <w:rPr>
          <w:color w:val="auto"/>
          <w:lang w:eastAsia="zh-CN"/>
        </w:rPr>
        <w:t>合</w:t>
      </w:r>
      <w:r>
        <w:rPr>
          <w:color w:val="auto"/>
          <w:spacing w:val="-3"/>
          <w:lang w:eastAsia="zh-CN"/>
        </w:rPr>
        <w:t>体</w:t>
      </w:r>
      <w:r>
        <w:rPr>
          <w:color w:val="auto"/>
          <w:lang w:eastAsia="zh-CN"/>
        </w:rPr>
        <w:t>投</w:t>
      </w:r>
      <w:r>
        <w:rPr>
          <w:color w:val="auto"/>
          <w:spacing w:val="-3"/>
          <w:lang w:eastAsia="zh-CN"/>
        </w:rPr>
        <w:t>标</w:t>
      </w:r>
      <w:r>
        <w:rPr>
          <w:color w:val="auto"/>
          <w:lang w:eastAsia="zh-CN"/>
        </w:rPr>
        <w:t>事宜</w:t>
      </w:r>
      <w:r>
        <w:rPr>
          <w:color w:val="auto"/>
          <w:spacing w:val="-3"/>
          <w:lang w:eastAsia="zh-CN"/>
        </w:rPr>
        <w:t>订</w:t>
      </w:r>
      <w:r>
        <w:rPr>
          <w:color w:val="auto"/>
          <w:lang w:eastAsia="zh-CN"/>
        </w:rPr>
        <w:t>立</w:t>
      </w:r>
      <w:r>
        <w:rPr>
          <w:color w:val="auto"/>
          <w:spacing w:val="-3"/>
          <w:lang w:eastAsia="zh-CN"/>
        </w:rPr>
        <w:t>如下协议</w:t>
      </w:r>
      <w:r>
        <w:rPr>
          <w:color w:val="auto"/>
          <w:lang w:eastAsia="zh-CN"/>
        </w:rPr>
        <w:t>。</w:t>
      </w:r>
    </w:p>
    <w:p>
      <w:pPr>
        <w:pStyle w:val="51"/>
        <w:numPr>
          <w:ilvl w:val="0"/>
          <w:numId w:val="25"/>
        </w:numPr>
        <w:tabs>
          <w:tab w:val="left" w:pos="785"/>
          <w:tab w:val="left" w:pos="2673"/>
          <w:tab w:val="left" w:pos="5614"/>
        </w:tabs>
        <w:spacing w:before="164"/>
        <w:ind w:firstLine="420"/>
        <w:rPr>
          <w:color w:val="auto"/>
          <w:sz w:val="24"/>
          <w:szCs w:val="24"/>
          <w:lang w:eastAsia="zh-CN"/>
        </w:rPr>
      </w:pPr>
      <w:r>
        <w:rPr>
          <w:rFonts w:ascii="Times New Roman" w:hAnsi="Times New Roman" w:cs="Times New Roman"/>
          <w:color w:val="auto"/>
          <w:sz w:val="24"/>
          <w:szCs w:val="24"/>
          <w:u w:val="single"/>
          <w:lang w:eastAsia="zh-CN"/>
        </w:rPr>
        <w:t>____________</w:t>
      </w:r>
      <w:r>
        <w:rPr>
          <w:color w:val="auto"/>
          <w:spacing w:val="-3"/>
          <w:sz w:val="24"/>
          <w:szCs w:val="24"/>
          <w:lang w:eastAsia="zh-CN"/>
        </w:rPr>
        <w:t>（</w:t>
      </w:r>
      <w:r>
        <w:rPr>
          <w:color w:val="auto"/>
          <w:sz w:val="24"/>
          <w:szCs w:val="24"/>
          <w:lang w:eastAsia="zh-CN"/>
        </w:rPr>
        <w:t>某成</w:t>
      </w:r>
      <w:r>
        <w:rPr>
          <w:color w:val="auto"/>
          <w:spacing w:val="-3"/>
          <w:sz w:val="24"/>
          <w:szCs w:val="24"/>
          <w:lang w:eastAsia="zh-CN"/>
        </w:rPr>
        <w:t>员</w:t>
      </w:r>
      <w:r>
        <w:rPr>
          <w:color w:val="auto"/>
          <w:sz w:val="24"/>
          <w:szCs w:val="24"/>
          <w:lang w:eastAsia="zh-CN"/>
        </w:rPr>
        <w:t>单</w:t>
      </w:r>
      <w:r>
        <w:rPr>
          <w:color w:val="auto"/>
          <w:spacing w:val="-3"/>
          <w:sz w:val="24"/>
          <w:szCs w:val="24"/>
          <w:lang w:eastAsia="zh-CN"/>
        </w:rPr>
        <w:t>位</w:t>
      </w:r>
      <w:r>
        <w:rPr>
          <w:color w:val="auto"/>
          <w:sz w:val="24"/>
          <w:szCs w:val="24"/>
          <w:lang w:eastAsia="zh-CN"/>
        </w:rPr>
        <w:t>名</w:t>
      </w:r>
      <w:r>
        <w:rPr>
          <w:color w:val="auto"/>
          <w:spacing w:val="-3"/>
          <w:sz w:val="24"/>
          <w:szCs w:val="24"/>
          <w:lang w:eastAsia="zh-CN"/>
        </w:rPr>
        <w:t>称</w:t>
      </w:r>
      <w:r>
        <w:rPr>
          <w:color w:val="auto"/>
          <w:sz w:val="24"/>
          <w:szCs w:val="24"/>
          <w:lang w:eastAsia="zh-CN"/>
        </w:rPr>
        <w:t>）</w:t>
      </w:r>
      <w:r>
        <w:rPr>
          <w:color w:val="auto"/>
          <w:spacing w:val="-3"/>
          <w:sz w:val="24"/>
          <w:szCs w:val="24"/>
          <w:lang w:eastAsia="zh-CN"/>
        </w:rPr>
        <w:t>为</w:t>
      </w:r>
      <w:r>
        <w:rPr>
          <w:rFonts w:ascii="Times New Roman" w:hAnsi="Times New Roman" w:cs="Times New Roman"/>
          <w:color w:val="auto"/>
          <w:sz w:val="24"/>
          <w:szCs w:val="24"/>
          <w:u w:val="single"/>
          <w:lang w:eastAsia="zh-CN"/>
        </w:rPr>
        <w:t>______</w:t>
      </w:r>
      <w:r>
        <w:rPr>
          <w:color w:val="auto"/>
          <w:spacing w:val="-3"/>
          <w:sz w:val="24"/>
          <w:szCs w:val="24"/>
          <w:lang w:eastAsia="zh-CN"/>
        </w:rPr>
        <w:t>（</w:t>
      </w:r>
      <w:r>
        <w:rPr>
          <w:color w:val="auto"/>
          <w:sz w:val="24"/>
          <w:szCs w:val="24"/>
          <w:lang w:eastAsia="zh-CN"/>
        </w:rPr>
        <w:t>联</w:t>
      </w:r>
      <w:r>
        <w:rPr>
          <w:color w:val="auto"/>
          <w:spacing w:val="-3"/>
          <w:sz w:val="24"/>
          <w:szCs w:val="24"/>
          <w:lang w:eastAsia="zh-CN"/>
        </w:rPr>
        <w:t>合</w:t>
      </w:r>
      <w:r>
        <w:rPr>
          <w:color w:val="auto"/>
          <w:sz w:val="24"/>
          <w:szCs w:val="24"/>
          <w:lang w:eastAsia="zh-CN"/>
        </w:rPr>
        <w:t>体</w:t>
      </w:r>
      <w:r>
        <w:rPr>
          <w:color w:val="auto"/>
          <w:spacing w:val="-3"/>
          <w:sz w:val="24"/>
          <w:szCs w:val="24"/>
          <w:lang w:eastAsia="zh-CN"/>
        </w:rPr>
        <w:t>名</w:t>
      </w:r>
      <w:r>
        <w:rPr>
          <w:color w:val="auto"/>
          <w:sz w:val="24"/>
          <w:szCs w:val="24"/>
          <w:lang w:eastAsia="zh-CN"/>
        </w:rPr>
        <w:t>称</w:t>
      </w:r>
      <w:r>
        <w:rPr>
          <w:color w:val="auto"/>
          <w:spacing w:val="-3"/>
          <w:sz w:val="24"/>
          <w:szCs w:val="24"/>
          <w:lang w:eastAsia="zh-CN"/>
        </w:rPr>
        <w:t>）</w:t>
      </w:r>
      <w:r>
        <w:rPr>
          <w:color w:val="auto"/>
          <w:sz w:val="24"/>
          <w:szCs w:val="24"/>
          <w:lang w:eastAsia="zh-CN"/>
        </w:rPr>
        <w:t>牵</w:t>
      </w:r>
      <w:r>
        <w:rPr>
          <w:color w:val="auto"/>
          <w:spacing w:val="-3"/>
          <w:sz w:val="24"/>
          <w:szCs w:val="24"/>
          <w:lang w:eastAsia="zh-CN"/>
        </w:rPr>
        <w:t>头人</w:t>
      </w:r>
      <w:r>
        <w:rPr>
          <w:color w:val="auto"/>
          <w:sz w:val="24"/>
          <w:szCs w:val="24"/>
          <w:lang w:eastAsia="zh-CN"/>
        </w:rPr>
        <w:t>。</w:t>
      </w:r>
    </w:p>
    <w:p>
      <w:pPr>
        <w:pStyle w:val="51"/>
        <w:numPr>
          <w:ilvl w:val="0"/>
          <w:numId w:val="25"/>
        </w:numPr>
        <w:tabs>
          <w:tab w:val="left" w:pos="785"/>
        </w:tabs>
        <w:spacing w:before="148" w:line="374" w:lineRule="auto"/>
        <w:ind w:firstLine="420"/>
        <w:rPr>
          <w:color w:val="auto"/>
          <w:sz w:val="24"/>
          <w:szCs w:val="24"/>
          <w:lang w:eastAsia="zh-CN"/>
        </w:rPr>
      </w:pPr>
      <w:r>
        <w:rPr>
          <w:color w:val="auto"/>
          <w:spacing w:val="-9"/>
          <w:sz w:val="24"/>
          <w:szCs w:val="24"/>
          <w:lang w:eastAsia="zh-CN"/>
        </w:rPr>
        <w:t>联合体各成员授权牵头人代表联合体参加投标活动，签署文件，提交和接收相关的资料、</w:t>
      </w:r>
      <w:r>
        <w:rPr>
          <w:color w:val="auto"/>
          <w:spacing w:val="-8"/>
          <w:sz w:val="24"/>
          <w:szCs w:val="24"/>
          <w:lang w:eastAsia="zh-CN"/>
        </w:rPr>
        <w:t>信息及指示，进行合同谈判活动，负责合同实施阶段的组织和协调工作，以及处理与本招标项</w:t>
      </w:r>
      <w:r>
        <w:rPr>
          <w:color w:val="auto"/>
          <w:spacing w:val="-5"/>
          <w:sz w:val="24"/>
          <w:szCs w:val="24"/>
          <w:lang w:eastAsia="zh-CN"/>
        </w:rPr>
        <w:t>目有关的一切事宜。</w:t>
      </w:r>
    </w:p>
    <w:p>
      <w:pPr>
        <w:pStyle w:val="51"/>
        <w:numPr>
          <w:ilvl w:val="0"/>
          <w:numId w:val="25"/>
        </w:numPr>
        <w:tabs>
          <w:tab w:val="left" w:pos="785"/>
        </w:tabs>
        <w:spacing w:before="46" w:line="374" w:lineRule="auto"/>
        <w:ind w:firstLine="420"/>
        <w:rPr>
          <w:color w:val="auto"/>
          <w:sz w:val="24"/>
          <w:szCs w:val="24"/>
          <w:lang w:eastAsia="zh-CN"/>
        </w:rPr>
      </w:pPr>
      <w:r>
        <w:rPr>
          <w:color w:val="auto"/>
          <w:spacing w:val="-4"/>
          <w:sz w:val="24"/>
          <w:szCs w:val="24"/>
          <w:lang w:eastAsia="zh-CN"/>
        </w:rPr>
        <w:t xml:space="preserve">联合体牵头人在本项目中签署的一切文件和处理的一切事宜，联合体各成员均予以承认。联合体各成员将严格按照招标文件、投标文件和合同的要求全面履行义务，并向采购人承担连 </w:t>
      </w:r>
      <w:r>
        <w:rPr>
          <w:color w:val="auto"/>
          <w:spacing w:val="-3"/>
          <w:sz w:val="24"/>
          <w:szCs w:val="24"/>
          <w:lang w:eastAsia="zh-CN"/>
        </w:rPr>
        <w:t>带责任。</w:t>
      </w:r>
    </w:p>
    <w:p>
      <w:pPr>
        <w:pStyle w:val="51"/>
        <w:numPr>
          <w:ilvl w:val="0"/>
          <w:numId w:val="25"/>
        </w:numPr>
        <w:tabs>
          <w:tab w:val="left" w:pos="785"/>
          <w:tab w:val="left" w:pos="8741"/>
        </w:tabs>
        <w:spacing w:before="46"/>
        <w:ind w:firstLine="420"/>
        <w:rPr>
          <w:color w:val="auto"/>
          <w:sz w:val="24"/>
          <w:szCs w:val="24"/>
          <w:lang w:eastAsia="zh-CN"/>
        </w:rPr>
      </w:pPr>
      <w:r>
        <w:rPr>
          <w:color w:val="auto"/>
          <w:spacing w:val="-3"/>
          <w:sz w:val="24"/>
          <w:szCs w:val="24"/>
          <w:lang w:eastAsia="zh-CN"/>
        </w:rPr>
        <w:t>联</w:t>
      </w:r>
      <w:r>
        <w:rPr>
          <w:color w:val="auto"/>
          <w:sz w:val="24"/>
          <w:szCs w:val="24"/>
          <w:lang w:eastAsia="zh-CN"/>
        </w:rPr>
        <w:t>合</w:t>
      </w:r>
      <w:r>
        <w:rPr>
          <w:color w:val="auto"/>
          <w:spacing w:val="-3"/>
          <w:sz w:val="24"/>
          <w:szCs w:val="24"/>
          <w:lang w:eastAsia="zh-CN"/>
        </w:rPr>
        <w:t>体</w:t>
      </w:r>
      <w:r>
        <w:rPr>
          <w:color w:val="auto"/>
          <w:sz w:val="24"/>
          <w:szCs w:val="24"/>
          <w:lang w:eastAsia="zh-CN"/>
        </w:rPr>
        <w:t>各</w:t>
      </w:r>
      <w:r>
        <w:rPr>
          <w:color w:val="auto"/>
          <w:spacing w:val="-3"/>
          <w:sz w:val="24"/>
          <w:szCs w:val="24"/>
          <w:lang w:eastAsia="zh-CN"/>
        </w:rPr>
        <w:t>成</w:t>
      </w:r>
      <w:r>
        <w:rPr>
          <w:color w:val="auto"/>
          <w:sz w:val="24"/>
          <w:szCs w:val="24"/>
          <w:lang w:eastAsia="zh-CN"/>
        </w:rPr>
        <w:t>员</w:t>
      </w:r>
      <w:r>
        <w:rPr>
          <w:color w:val="auto"/>
          <w:spacing w:val="-3"/>
          <w:sz w:val="24"/>
          <w:szCs w:val="24"/>
          <w:lang w:eastAsia="zh-CN"/>
        </w:rPr>
        <w:t>单</w:t>
      </w:r>
      <w:r>
        <w:rPr>
          <w:color w:val="auto"/>
          <w:sz w:val="24"/>
          <w:szCs w:val="24"/>
          <w:lang w:eastAsia="zh-CN"/>
        </w:rPr>
        <w:t>位</w:t>
      </w:r>
      <w:r>
        <w:rPr>
          <w:color w:val="auto"/>
          <w:spacing w:val="-3"/>
          <w:sz w:val="24"/>
          <w:szCs w:val="24"/>
          <w:lang w:eastAsia="zh-CN"/>
        </w:rPr>
        <w:t>内部</w:t>
      </w:r>
      <w:r>
        <w:rPr>
          <w:color w:val="auto"/>
          <w:sz w:val="24"/>
          <w:szCs w:val="24"/>
          <w:lang w:eastAsia="zh-CN"/>
        </w:rPr>
        <w:t>的职</w:t>
      </w:r>
      <w:r>
        <w:rPr>
          <w:color w:val="auto"/>
          <w:spacing w:val="-3"/>
          <w:sz w:val="24"/>
          <w:szCs w:val="24"/>
          <w:lang w:eastAsia="zh-CN"/>
        </w:rPr>
        <w:t>责</w:t>
      </w:r>
      <w:r>
        <w:rPr>
          <w:color w:val="auto"/>
          <w:sz w:val="24"/>
          <w:szCs w:val="24"/>
          <w:lang w:eastAsia="zh-CN"/>
        </w:rPr>
        <w:t>分</w:t>
      </w:r>
      <w:r>
        <w:rPr>
          <w:color w:val="auto"/>
          <w:spacing w:val="-3"/>
          <w:sz w:val="24"/>
          <w:szCs w:val="24"/>
          <w:lang w:eastAsia="zh-CN"/>
        </w:rPr>
        <w:t>工</w:t>
      </w:r>
      <w:r>
        <w:rPr>
          <w:color w:val="auto"/>
          <w:sz w:val="24"/>
          <w:szCs w:val="24"/>
          <w:lang w:eastAsia="zh-CN"/>
        </w:rPr>
        <w:t>如</w:t>
      </w:r>
      <w:r>
        <w:rPr>
          <w:color w:val="auto"/>
          <w:spacing w:val="-3"/>
          <w:sz w:val="24"/>
          <w:szCs w:val="24"/>
          <w:lang w:eastAsia="zh-CN"/>
        </w:rPr>
        <w:t>下</w:t>
      </w:r>
      <w:r>
        <w:rPr>
          <w:color w:val="auto"/>
          <w:spacing w:val="-25"/>
          <w:sz w:val="24"/>
          <w:szCs w:val="24"/>
          <w:lang w:eastAsia="zh-CN"/>
        </w:rPr>
        <w:t>：</w:t>
      </w:r>
      <w:r>
        <w:rPr>
          <w:rFonts w:ascii="Times New Roman" w:hAnsi="Times New Roman" w:cs="Times New Roman"/>
          <w:color w:val="auto"/>
          <w:sz w:val="24"/>
          <w:szCs w:val="24"/>
          <w:u w:val="single"/>
          <w:lang w:eastAsia="zh-CN"/>
        </w:rPr>
        <w:t>_____________________</w:t>
      </w:r>
      <w:r>
        <w:rPr>
          <w:color w:val="auto"/>
          <w:sz w:val="24"/>
          <w:szCs w:val="24"/>
          <w:lang w:eastAsia="zh-CN"/>
        </w:rPr>
        <w:t>。</w:t>
      </w:r>
    </w:p>
    <w:p>
      <w:pPr>
        <w:pStyle w:val="51"/>
        <w:numPr>
          <w:ilvl w:val="0"/>
          <w:numId w:val="25"/>
        </w:numPr>
        <w:tabs>
          <w:tab w:val="left" w:pos="785"/>
        </w:tabs>
        <w:spacing w:before="151" w:line="362" w:lineRule="auto"/>
        <w:ind w:firstLine="420"/>
        <w:rPr>
          <w:color w:val="auto"/>
          <w:sz w:val="24"/>
          <w:szCs w:val="24"/>
          <w:lang w:eastAsia="zh-CN"/>
        </w:rPr>
      </w:pPr>
      <w:r>
        <w:rPr>
          <w:color w:val="auto"/>
          <w:spacing w:val="-4"/>
          <w:sz w:val="24"/>
          <w:szCs w:val="24"/>
          <w:lang w:eastAsia="zh-CN"/>
        </w:rPr>
        <w:t>本协议书自所有成员单位法定代表人</w:t>
      </w:r>
      <w:r>
        <w:rPr>
          <w:color w:val="auto"/>
          <w:spacing w:val="-3"/>
          <w:sz w:val="24"/>
          <w:szCs w:val="24"/>
          <w:lang w:eastAsia="zh-CN"/>
        </w:rPr>
        <w:t>（单位负责人</w:t>
      </w:r>
      <w:r>
        <w:rPr>
          <w:color w:val="auto"/>
          <w:spacing w:val="-13"/>
          <w:sz w:val="24"/>
          <w:szCs w:val="24"/>
          <w:lang w:eastAsia="zh-CN"/>
        </w:rPr>
        <w:t>）</w:t>
      </w:r>
      <w:r>
        <w:rPr>
          <w:color w:val="auto"/>
          <w:spacing w:val="-3"/>
          <w:sz w:val="24"/>
          <w:szCs w:val="24"/>
          <w:lang w:eastAsia="zh-CN"/>
        </w:rPr>
        <w:t>或其授权代表签字或盖公章之日起生效，合同履行完毕后自动失效。</w:t>
      </w:r>
    </w:p>
    <w:p>
      <w:pPr>
        <w:pStyle w:val="51"/>
        <w:numPr>
          <w:ilvl w:val="0"/>
          <w:numId w:val="25"/>
        </w:numPr>
        <w:tabs>
          <w:tab w:val="left" w:pos="785"/>
          <w:tab w:val="left" w:pos="2464"/>
        </w:tabs>
        <w:spacing w:before="57"/>
        <w:ind w:firstLine="420"/>
        <w:rPr>
          <w:color w:val="auto"/>
          <w:sz w:val="24"/>
          <w:szCs w:val="24"/>
          <w:lang w:eastAsia="zh-CN"/>
        </w:rPr>
      </w:pPr>
      <w:r>
        <w:rPr>
          <w:color w:val="auto"/>
          <w:spacing w:val="-3"/>
          <w:sz w:val="24"/>
          <w:szCs w:val="24"/>
          <w:lang w:eastAsia="zh-CN"/>
        </w:rPr>
        <w:t>本</w:t>
      </w:r>
      <w:r>
        <w:rPr>
          <w:color w:val="auto"/>
          <w:sz w:val="24"/>
          <w:szCs w:val="24"/>
          <w:lang w:eastAsia="zh-CN"/>
        </w:rPr>
        <w:t>协</w:t>
      </w:r>
      <w:r>
        <w:rPr>
          <w:color w:val="auto"/>
          <w:spacing w:val="-3"/>
          <w:sz w:val="24"/>
          <w:szCs w:val="24"/>
          <w:lang w:eastAsia="zh-CN"/>
        </w:rPr>
        <w:t>议</w:t>
      </w:r>
      <w:r>
        <w:rPr>
          <w:color w:val="auto"/>
          <w:sz w:val="24"/>
          <w:szCs w:val="24"/>
          <w:lang w:eastAsia="zh-CN"/>
        </w:rPr>
        <w:t>书</w:t>
      </w:r>
      <w:r>
        <w:rPr>
          <w:color w:val="auto"/>
          <w:spacing w:val="-3"/>
          <w:sz w:val="24"/>
          <w:szCs w:val="24"/>
          <w:lang w:eastAsia="zh-CN"/>
        </w:rPr>
        <w:t>一</w:t>
      </w:r>
      <w:r>
        <w:rPr>
          <w:color w:val="auto"/>
          <w:sz w:val="24"/>
          <w:szCs w:val="24"/>
          <w:lang w:eastAsia="zh-CN"/>
        </w:rPr>
        <w:t>式</w:t>
      </w:r>
      <w:r>
        <w:rPr>
          <w:rFonts w:ascii="Times New Roman" w:hAnsi="Times New Roman" w:cs="Times New Roman"/>
          <w:color w:val="auto"/>
          <w:sz w:val="24"/>
          <w:szCs w:val="24"/>
          <w:u w:val="single"/>
          <w:lang w:eastAsia="zh-CN"/>
        </w:rPr>
        <w:t>___</w:t>
      </w:r>
      <w:r>
        <w:rPr>
          <w:color w:val="auto"/>
          <w:spacing w:val="-3"/>
          <w:sz w:val="24"/>
          <w:szCs w:val="24"/>
          <w:lang w:eastAsia="zh-CN"/>
        </w:rPr>
        <w:t>份，</w:t>
      </w:r>
      <w:r>
        <w:rPr>
          <w:color w:val="auto"/>
          <w:sz w:val="24"/>
          <w:szCs w:val="24"/>
          <w:lang w:eastAsia="zh-CN"/>
        </w:rPr>
        <w:t>联合</w:t>
      </w:r>
      <w:r>
        <w:rPr>
          <w:color w:val="auto"/>
          <w:spacing w:val="-3"/>
          <w:sz w:val="24"/>
          <w:szCs w:val="24"/>
          <w:lang w:eastAsia="zh-CN"/>
        </w:rPr>
        <w:t>体</w:t>
      </w:r>
      <w:r>
        <w:rPr>
          <w:color w:val="auto"/>
          <w:sz w:val="24"/>
          <w:szCs w:val="24"/>
          <w:lang w:eastAsia="zh-CN"/>
        </w:rPr>
        <w:t>成</w:t>
      </w:r>
      <w:r>
        <w:rPr>
          <w:color w:val="auto"/>
          <w:spacing w:val="-3"/>
          <w:sz w:val="24"/>
          <w:szCs w:val="24"/>
          <w:lang w:eastAsia="zh-CN"/>
        </w:rPr>
        <w:t>员</w:t>
      </w:r>
      <w:r>
        <w:rPr>
          <w:color w:val="auto"/>
          <w:sz w:val="24"/>
          <w:szCs w:val="24"/>
          <w:lang w:eastAsia="zh-CN"/>
        </w:rPr>
        <w:t>和</w:t>
      </w:r>
      <w:r>
        <w:rPr>
          <w:color w:val="auto"/>
          <w:spacing w:val="-3"/>
          <w:sz w:val="24"/>
          <w:szCs w:val="24"/>
          <w:lang w:eastAsia="zh-CN"/>
        </w:rPr>
        <w:t>采购人</w:t>
      </w:r>
      <w:r>
        <w:rPr>
          <w:color w:val="auto"/>
          <w:sz w:val="24"/>
          <w:szCs w:val="24"/>
          <w:lang w:eastAsia="zh-CN"/>
        </w:rPr>
        <w:t>各</w:t>
      </w:r>
      <w:r>
        <w:rPr>
          <w:color w:val="auto"/>
          <w:spacing w:val="-3"/>
          <w:sz w:val="24"/>
          <w:szCs w:val="24"/>
          <w:lang w:eastAsia="zh-CN"/>
        </w:rPr>
        <w:t>执</w:t>
      </w:r>
      <w:r>
        <w:rPr>
          <w:color w:val="auto"/>
          <w:sz w:val="24"/>
          <w:szCs w:val="24"/>
          <w:lang w:eastAsia="zh-CN"/>
        </w:rPr>
        <w:t>一份。</w:t>
      </w:r>
    </w:p>
    <w:p>
      <w:pPr>
        <w:pStyle w:val="12"/>
        <w:spacing w:before="3"/>
        <w:rPr>
          <w:color w:val="auto"/>
          <w:lang w:eastAsia="zh-CN"/>
        </w:rPr>
      </w:pPr>
    </w:p>
    <w:p>
      <w:pPr>
        <w:pStyle w:val="12"/>
        <w:spacing w:before="37" w:line="384" w:lineRule="auto"/>
        <w:ind w:left="100" w:firstLine="419"/>
        <w:rPr>
          <w:color w:val="auto"/>
          <w:lang w:eastAsia="zh-CN"/>
        </w:rPr>
      </w:pPr>
      <w:r>
        <w:rPr>
          <w:color w:val="auto"/>
          <w:lang w:eastAsia="zh-CN"/>
        </w:rPr>
        <w:t>注：本协议书由法定代表人（单位负责人）</w:t>
      </w:r>
      <w:r>
        <w:rPr>
          <w:rFonts w:hint="eastAsia"/>
          <w:color w:val="auto"/>
          <w:lang w:eastAsia="zh-CN"/>
        </w:rPr>
        <w:t>签字或盖章</w:t>
      </w:r>
      <w:r>
        <w:rPr>
          <w:color w:val="auto"/>
          <w:lang w:eastAsia="zh-CN"/>
        </w:rPr>
        <w:t>的，应附法定代表人（单位负责人）身份证明；由授权代表</w:t>
      </w:r>
      <w:r>
        <w:rPr>
          <w:rFonts w:hint="eastAsia"/>
          <w:color w:val="auto"/>
          <w:lang w:eastAsia="zh-CN"/>
        </w:rPr>
        <w:t>签字或盖章</w:t>
      </w:r>
      <w:r>
        <w:rPr>
          <w:color w:val="auto"/>
          <w:lang w:eastAsia="zh-CN"/>
        </w:rPr>
        <w:t>的，应附授权委托书。</w:t>
      </w:r>
    </w:p>
    <w:p>
      <w:pPr>
        <w:pStyle w:val="12"/>
        <w:spacing w:before="8"/>
        <w:rPr>
          <w:color w:val="auto"/>
          <w:lang w:eastAsia="zh-CN"/>
        </w:rPr>
      </w:pPr>
    </w:p>
    <w:p>
      <w:pPr>
        <w:pStyle w:val="12"/>
        <w:tabs>
          <w:tab w:val="left" w:pos="2420"/>
          <w:tab w:val="left" w:pos="7241"/>
        </w:tabs>
        <w:spacing w:before="1"/>
        <w:ind w:left="1980" w:leftChars="900" w:firstLine="0" w:firstLineChars="0"/>
        <w:rPr>
          <w:color w:val="auto"/>
          <w:lang w:eastAsia="zh-CN"/>
        </w:rPr>
      </w:pPr>
      <w:r>
        <w:rPr>
          <w:color w:val="auto"/>
          <w:lang w:eastAsia="zh-CN"/>
        </w:rPr>
        <w:t>联合</w:t>
      </w:r>
      <w:r>
        <w:rPr>
          <w:color w:val="auto"/>
          <w:spacing w:val="-3"/>
          <w:lang w:eastAsia="zh-CN"/>
        </w:rPr>
        <w:t>体</w:t>
      </w:r>
      <w:r>
        <w:rPr>
          <w:color w:val="auto"/>
          <w:lang w:eastAsia="zh-CN"/>
        </w:rPr>
        <w:t>牵</w:t>
      </w:r>
      <w:r>
        <w:rPr>
          <w:color w:val="auto"/>
          <w:spacing w:val="-3"/>
          <w:lang w:eastAsia="zh-CN"/>
        </w:rPr>
        <w:t>头</w:t>
      </w:r>
      <w:r>
        <w:rPr>
          <w:color w:val="auto"/>
          <w:lang w:eastAsia="zh-CN"/>
        </w:rPr>
        <w:t>人</w:t>
      </w:r>
      <w:r>
        <w:rPr>
          <w:color w:val="auto"/>
          <w:spacing w:val="-3"/>
          <w:lang w:eastAsia="zh-CN"/>
        </w:rPr>
        <w:t>名</w:t>
      </w:r>
      <w:r>
        <w:rPr>
          <w:color w:val="auto"/>
          <w:lang w:eastAsia="zh-CN"/>
        </w:rPr>
        <w:t>称</w:t>
      </w:r>
      <w:r>
        <w:rPr>
          <w:color w:val="auto"/>
          <w:spacing w:val="-3"/>
          <w:lang w:eastAsia="zh-CN"/>
        </w:rPr>
        <w:t>：</w:t>
      </w:r>
      <w:r>
        <w:rPr>
          <w:rFonts w:ascii="Times New Roman" w:hAnsi="Times New Roman" w:cs="Times New Roman"/>
          <w:color w:val="auto"/>
          <w:u w:val="single"/>
          <w:lang w:eastAsia="zh-CN"/>
        </w:rPr>
        <w:t>_____________________</w:t>
      </w:r>
      <w:r>
        <w:rPr>
          <w:color w:val="auto"/>
          <w:lang w:eastAsia="zh-CN"/>
        </w:rPr>
        <w:t>（盖</w:t>
      </w:r>
      <w:r>
        <w:rPr>
          <w:color w:val="auto"/>
          <w:spacing w:val="-3"/>
          <w:lang w:eastAsia="zh-CN"/>
        </w:rPr>
        <w:t>公章</w:t>
      </w:r>
      <w:r>
        <w:rPr>
          <w:color w:val="auto"/>
          <w:lang w:eastAsia="zh-CN"/>
        </w:rPr>
        <w:t>）</w:t>
      </w:r>
    </w:p>
    <w:p>
      <w:pPr>
        <w:pStyle w:val="12"/>
        <w:tabs>
          <w:tab w:val="left" w:pos="2420"/>
        </w:tabs>
        <w:spacing w:before="4"/>
        <w:ind w:left="1980" w:leftChars="900" w:firstLine="0" w:firstLineChars="0"/>
        <w:rPr>
          <w:color w:val="auto"/>
          <w:lang w:eastAsia="zh-CN"/>
        </w:rPr>
      </w:pPr>
    </w:p>
    <w:p>
      <w:pPr>
        <w:pStyle w:val="12"/>
        <w:tabs>
          <w:tab w:val="left" w:pos="2420"/>
          <w:tab w:val="left" w:pos="7661"/>
        </w:tabs>
        <w:spacing w:before="43"/>
        <w:ind w:left="1980" w:leftChars="900" w:firstLine="0" w:firstLineChars="0"/>
        <w:rPr>
          <w:color w:val="auto"/>
          <w:lang w:eastAsia="zh-CN"/>
        </w:rPr>
      </w:pPr>
      <w:r>
        <w:rPr>
          <w:color w:val="auto"/>
          <w:lang w:eastAsia="zh-CN"/>
        </w:rPr>
        <w:t>法定</w:t>
      </w:r>
      <w:r>
        <w:rPr>
          <w:color w:val="auto"/>
          <w:spacing w:val="-3"/>
          <w:lang w:eastAsia="zh-CN"/>
        </w:rPr>
        <w:t>代</w:t>
      </w:r>
      <w:r>
        <w:rPr>
          <w:color w:val="auto"/>
          <w:lang w:eastAsia="zh-CN"/>
        </w:rPr>
        <w:t>表</w:t>
      </w:r>
      <w:r>
        <w:rPr>
          <w:color w:val="auto"/>
          <w:spacing w:val="-3"/>
          <w:lang w:eastAsia="zh-CN"/>
        </w:rPr>
        <w:t>人</w:t>
      </w:r>
      <w:r>
        <w:rPr>
          <w:color w:val="auto"/>
          <w:lang w:eastAsia="zh-CN"/>
        </w:rPr>
        <w:t>（</w:t>
      </w:r>
      <w:r>
        <w:rPr>
          <w:color w:val="auto"/>
          <w:spacing w:val="-3"/>
          <w:lang w:eastAsia="zh-CN"/>
        </w:rPr>
        <w:t>单</w:t>
      </w:r>
      <w:r>
        <w:rPr>
          <w:color w:val="auto"/>
          <w:lang w:eastAsia="zh-CN"/>
        </w:rPr>
        <w:t>位</w:t>
      </w:r>
      <w:r>
        <w:rPr>
          <w:color w:val="auto"/>
          <w:spacing w:val="-3"/>
          <w:lang w:eastAsia="zh-CN"/>
        </w:rPr>
        <w:t>负</w:t>
      </w:r>
      <w:r>
        <w:rPr>
          <w:color w:val="auto"/>
          <w:lang w:eastAsia="zh-CN"/>
        </w:rPr>
        <w:t>责</w:t>
      </w:r>
      <w:r>
        <w:rPr>
          <w:color w:val="auto"/>
          <w:spacing w:val="-3"/>
          <w:lang w:eastAsia="zh-CN"/>
        </w:rPr>
        <w:t>人</w:t>
      </w:r>
      <w:r>
        <w:rPr>
          <w:color w:val="auto"/>
          <w:lang w:eastAsia="zh-CN"/>
        </w:rPr>
        <w:t>）或</w:t>
      </w:r>
      <w:r>
        <w:rPr>
          <w:color w:val="auto"/>
          <w:spacing w:val="-3"/>
          <w:lang w:eastAsia="zh-CN"/>
        </w:rPr>
        <w:t>其</w:t>
      </w:r>
      <w:r>
        <w:rPr>
          <w:color w:val="auto"/>
          <w:lang w:eastAsia="zh-CN"/>
        </w:rPr>
        <w:t>授权代表</w:t>
      </w:r>
      <w:r>
        <w:rPr>
          <w:color w:val="auto"/>
          <w:spacing w:val="-3"/>
          <w:lang w:eastAsia="zh-CN"/>
        </w:rPr>
        <w:t>：</w:t>
      </w:r>
      <w:r>
        <w:rPr>
          <w:rFonts w:ascii="Times New Roman" w:hAnsi="Times New Roman" w:cs="Times New Roman"/>
          <w:color w:val="auto"/>
          <w:u w:val="single"/>
          <w:lang w:eastAsia="zh-CN"/>
        </w:rPr>
        <w:t>___</w:t>
      </w:r>
      <w:r>
        <w:rPr>
          <w:color w:val="auto"/>
          <w:lang w:eastAsia="zh-CN"/>
        </w:rPr>
        <w:t>（</w:t>
      </w:r>
      <w:r>
        <w:rPr>
          <w:rFonts w:hint="eastAsia"/>
          <w:color w:val="auto"/>
          <w:lang w:eastAsia="zh-CN"/>
        </w:rPr>
        <w:t>签字或盖章</w:t>
      </w:r>
      <w:r>
        <w:rPr>
          <w:color w:val="auto"/>
          <w:lang w:eastAsia="zh-CN"/>
        </w:rPr>
        <w:t>）</w:t>
      </w:r>
    </w:p>
    <w:p>
      <w:pPr>
        <w:pStyle w:val="12"/>
        <w:tabs>
          <w:tab w:val="left" w:pos="2420"/>
        </w:tabs>
        <w:ind w:left="1980" w:leftChars="900" w:firstLine="0" w:firstLineChars="0"/>
        <w:rPr>
          <w:color w:val="auto"/>
          <w:lang w:eastAsia="zh-CN"/>
        </w:rPr>
      </w:pPr>
    </w:p>
    <w:p>
      <w:pPr>
        <w:pStyle w:val="12"/>
        <w:tabs>
          <w:tab w:val="left" w:pos="2420"/>
          <w:tab w:val="left" w:pos="7241"/>
        </w:tabs>
        <w:spacing w:before="43"/>
        <w:ind w:left="1980" w:leftChars="900" w:firstLine="0" w:firstLineChars="0"/>
        <w:rPr>
          <w:color w:val="auto"/>
          <w:lang w:eastAsia="zh-CN"/>
        </w:rPr>
      </w:pPr>
      <w:r>
        <w:rPr>
          <w:color w:val="auto"/>
          <w:lang w:eastAsia="zh-CN"/>
        </w:rPr>
        <w:t>联合</w:t>
      </w:r>
      <w:r>
        <w:rPr>
          <w:color w:val="auto"/>
          <w:spacing w:val="-3"/>
          <w:lang w:eastAsia="zh-CN"/>
        </w:rPr>
        <w:t>体</w:t>
      </w:r>
      <w:r>
        <w:rPr>
          <w:color w:val="auto"/>
          <w:lang w:eastAsia="zh-CN"/>
        </w:rPr>
        <w:t>成</w:t>
      </w:r>
      <w:r>
        <w:rPr>
          <w:color w:val="auto"/>
          <w:spacing w:val="-3"/>
          <w:lang w:eastAsia="zh-CN"/>
        </w:rPr>
        <w:t>员</w:t>
      </w:r>
      <w:r>
        <w:rPr>
          <w:color w:val="auto"/>
          <w:lang w:eastAsia="zh-CN"/>
        </w:rPr>
        <w:t>名</w:t>
      </w:r>
      <w:r>
        <w:rPr>
          <w:color w:val="auto"/>
          <w:spacing w:val="-3"/>
          <w:lang w:eastAsia="zh-CN"/>
        </w:rPr>
        <w:t>称</w:t>
      </w:r>
      <w:r>
        <w:rPr>
          <w:color w:val="auto"/>
          <w:lang w:eastAsia="zh-CN"/>
        </w:rPr>
        <w:t>：</w:t>
      </w:r>
      <w:r>
        <w:rPr>
          <w:rFonts w:ascii="Times New Roman" w:hAnsi="Times New Roman" w:cs="Times New Roman"/>
          <w:color w:val="auto"/>
          <w:u w:val="single"/>
          <w:lang w:eastAsia="zh-CN"/>
        </w:rPr>
        <w:t>_____________________</w:t>
      </w:r>
      <w:r>
        <w:rPr>
          <w:color w:val="auto"/>
          <w:lang w:eastAsia="zh-CN"/>
        </w:rPr>
        <w:t>（盖</w:t>
      </w:r>
      <w:r>
        <w:rPr>
          <w:color w:val="auto"/>
          <w:spacing w:val="-3"/>
          <w:lang w:eastAsia="zh-CN"/>
        </w:rPr>
        <w:t>公章</w:t>
      </w:r>
      <w:r>
        <w:rPr>
          <w:color w:val="auto"/>
          <w:lang w:eastAsia="zh-CN"/>
        </w:rPr>
        <w:t>）</w:t>
      </w:r>
    </w:p>
    <w:p>
      <w:pPr>
        <w:pStyle w:val="12"/>
        <w:tabs>
          <w:tab w:val="left" w:pos="2420"/>
        </w:tabs>
        <w:spacing w:before="3"/>
        <w:ind w:left="1980" w:leftChars="900" w:firstLine="0" w:firstLineChars="0"/>
        <w:rPr>
          <w:color w:val="auto"/>
          <w:lang w:eastAsia="zh-CN"/>
        </w:rPr>
      </w:pPr>
    </w:p>
    <w:p>
      <w:pPr>
        <w:pStyle w:val="12"/>
        <w:tabs>
          <w:tab w:val="left" w:pos="2420"/>
          <w:tab w:val="left" w:pos="7658"/>
        </w:tabs>
        <w:spacing w:before="43"/>
        <w:ind w:left="1980" w:leftChars="900" w:firstLine="0" w:firstLineChars="0"/>
        <w:rPr>
          <w:color w:val="auto"/>
          <w:lang w:eastAsia="zh-CN"/>
        </w:rPr>
      </w:pPr>
      <w:r>
        <w:rPr>
          <w:color w:val="auto"/>
          <w:lang w:eastAsia="zh-CN"/>
        </w:rPr>
        <w:t>法定</w:t>
      </w:r>
      <w:r>
        <w:rPr>
          <w:color w:val="auto"/>
          <w:spacing w:val="-3"/>
          <w:lang w:eastAsia="zh-CN"/>
        </w:rPr>
        <w:t>代</w:t>
      </w:r>
      <w:r>
        <w:rPr>
          <w:color w:val="auto"/>
          <w:lang w:eastAsia="zh-CN"/>
        </w:rPr>
        <w:t>表</w:t>
      </w:r>
      <w:r>
        <w:rPr>
          <w:color w:val="auto"/>
          <w:spacing w:val="-3"/>
          <w:lang w:eastAsia="zh-CN"/>
        </w:rPr>
        <w:t>人</w:t>
      </w:r>
      <w:r>
        <w:rPr>
          <w:color w:val="auto"/>
          <w:lang w:eastAsia="zh-CN"/>
        </w:rPr>
        <w:t>（</w:t>
      </w:r>
      <w:r>
        <w:rPr>
          <w:color w:val="auto"/>
          <w:spacing w:val="-3"/>
          <w:lang w:eastAsia="zh-CN"/>
        </w:rPr>
        <w:t>单</w:t>
      </w:r>
      <w:r>
        <w:rPr>
          <w:color w:val="auto"/>
          <w:lang w:eastAsia="zh-CN"/>
        </w:rPr>
        <w:t>位</w:t>
      </w:r>
      <w:r>
        <w:rPr>
          <w:color w:val="auto"/>
          <w:spacing w:val="-3"/>
          <w:lang w:eastAsia="zh-CN"/>
        </w:rPr>
        <w:t>负</w:t>
      </w:r>
      <w:r>
        <w:rPr>
          <w:color w:val="auto"/>
          <w:lang w:eastAsia="zh-CN"/>
        </w:rPr>
        <w:t>责</w:t>
      </w:r>
      <w:r>
        <w:rPr>
          <w:color w:val="auto"/>
          <w:spacing w:val="-3"/>
          <w:lang w:eastAsia="zh-CN"/>
        </w:rPr>
        <w:t>人</w:t>
      </w:r>
      <w:r>
        <w:rPr>
          <w:color w:val="auto"/>
          <w:lang w:eastAsia="zh-CN"/>
        </w:rPr>
        <w:t>）或</w:t>
      </w:r>
      <w:r>
        <w:rPr>
          <w:color w:val="auto"/>
          <w:spacing w:val="-3"/>
          <w:lang w:eastAsia="zh-CN"/>
        </w:rPr>
        <w:t>其</w:t>
      </w:r>
      <w:r>
        <w:rPr>
          <w:color w:val="auto"/>
          <w:lang w:eastAsia="zh-CN"/>
        </w:rPr>
        <w:t>授权代表</w:t>
      </w:r>
      <w:r>
        <w:rPr>
          <w:color w:val="auto"/>
          <w:spacing w:val="-3"/>
          <w:lang w:eastAsia="zh-CN"/>
        </w:rPr>
        <w:t>：</w:t>
      </w:r>
      <w:r>
        <w:rPr>
          <w:rFonts w:ascii="Times New Roman" w:hAnsi="Times New Roman" w:cs="Times New Roman"/>
          <w:color w:val="auto"/>
          <w:u w:val="single"/>
          <w:lang w:eastAsia="zh-CN"/>
        </w:rPr>
        <w:t>___</w:t>
      </w:r>
      <w:r>
        <w:rPr>
          <w:color w:val="auto"/>
          <w:spacing w:val="-3"/>
          <w:lang w:eastAsia="zh-CN"/>
        </w:rPr>
        <w:t>（</w:t>
      </w:r>
      <w:r>
        <w:rPr>
          <w:rFonts w:hint="eastAsia"/>
          <w:color w:val="auto"/>
          <w:lang w:eastAsia="zh-CN"/>
        </w:rPr>
        <w:t>签字或盖章</w:t>
      </w:r>
      <w:r>
        <w:rPr>
          <w:color w:val="auto"/>
          <w:lang w:eastAsia="zh-CN"/>
        </w:rPr>
        <w:t>）</w:t>
      </w:r>
    </w:p>
    <w:p>
      <w:pPr>
        <w:pStyle w:val="12"/>
        <w:spacing w:before="12"/>
        <w:rPr>
          <w:color w:val="auto"/>
          <w:lang w:eastAsia="zh-CN"/>
        </w:rPr>
      </w:pPr>
    </w:p>
    <w:p>
      <w:pPr>
        <w:ind w:left="2510"/>
        <w:rPr>
          <w:i/>
          <w:color w:val="auto"/>
          <w:sz w:val="24"/>
          <w:szCs w:val="24"/>
          <w:lang w:eastAsia="zh-CN"/>
        </w:rPr>
      </w:pPr>
      <w:r>
        <w:rPr>
          <w:i/>
          <w:color w:val="auto"/>
          <w:w w:val="115"/>
          <w:sz w:val="24"/>
          <w:szCs w:val="24"/>
          <w:lang w:eastAsia="zh-CN"/>
        </w:rPr>
        <w:t>……</w:t>
      </w:r>
    </w:p>
    <w:p>
      <w:pPr>
        <w:pStyle w:val="12"/>
        <w:tabs>
          <w:tab w:val="left" w:pos="4538"/>
          <w:tab w:val="left" w:pos="5484"/>
          <w:tab w:val="left" w:pos="6427"/>
        </w:tabs>
        <w:spacing w:before="148"/>
        <w:ind w:left="3801"/>
        <w:rPr>
          <w:b/>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rPr>
          <w:rFonts w:ascii="Times New Roman" w:hAnsi="Times New Roman" w:cs="Times New Roman"/>
          <w:b/>
          <w:color w:val="auto"/>
          <w:sz w:val="24"/>
          <w:szCs w:val="24"/>
          <w:lang w:eastAsia="zh-CN"/>
        </w:rPr>
      </w:pPr>
    </w:p>
    <w:p>
      <w:pPr>
        <w:pStyle w:val="5"/>
        <w:keepNext w:val="0"/>
        <w:keepLines w:val="0"/>
        <w:spacing w:before="0" w:after="0" w:line="360" w:lineRule="auto"/>
        <w:rPr>
          <w:color w:val="auto"/>
        </w:rPr>
      </w:pPr>
      <w:r>
        <w:rPr>
          <w:rFonts w:ascii="Times New Roman"/>
          <w:color w:val="auto"/>
          <w:szCs w:val="24"/>
        </w:rPr>
        <w:br w:type="page"/>
      </w:r>
      <w:r>
        <w:rPr>
          <w:rFonts w:hint="eastAsia"/>
          <w:color w:val="auto"/>
        </w:rPr>
        <w:t>附件6、投标人的资信证明</w:t>
      </w:r>
    </w:p>
    <w:p>
      <w:pPr>
        <w:pStyle w:val="12"/>
        <w:spacing w:before="14"/>
        <w:rPr>
          <w:rFonts w:ascii="Times New Roman" w:hAnsi="Times New Roman"/>
          <w:b/>
          <w:color w:val="auto"/>
          <w:lang w:eastAsia="zh-CN"/>
        </w:rPr>
      </w:pPr>
    </w:p>
    <w:p>
      <w:pPr>
        <w:pStyle w:val="12"/>
        <w:spacing w:line="364" w:lineRule="auto"/>
        <w:ind w:right="3" w:firstLine="430"/>
        <w:jc w:val="both"/>
        <w:rPr>
          <w:rFonts w:ascii="Times New Roman" w:hAnsi="Times New Roman"/>
          <w:color w:val="auto"/>
          <w:lang w:eastAsia="zh-CN"/>
        </w:rPr>
      </w:pPr>
      <w:r>
        <w:rPr>
          <w:rFonts w:hint="eastAsia" w:ascii="Times New Roman" w:hAnsi="Times New Roman"/>
          <w:color w:val="auto"/>
          <w:spacing w:val="1"/>
          <w:lang w:eastAsia="zh-CN"/>
        </w:rPr>
        <w:t>按“投标人须知”前附表提供规定年份的会计师事务所出具的</w:t>
      </w:r>
      <w:r>
        <w:rPr>
          <w:rFonts w:hint="eastAsia" w:ascii="Times New Roman" w:hAnsi="Times New Roman"/>
          <w:color w:val="auto"/>
          <w:lang w:eastAsia="zh-CN"/>
        </w:rPr>
        <w:t>年度财务审计报告（须包括审计报告正文、资产负债表、利润表（或损益表）和现金流量表）（复印件须加盖投标人公章</w:t>
      </w:r>
      <w:r>
        <w:rPr>
          <w:rFonts w:hint="eastAsia" w:ascii="Times New Roman" w:hAnsi="Times New Roman"/>
          <w:color w:val="auto"/>
          <w:spacing w:val="-93"/>
          <w:lang w:eastAsia="zh-CN"/>
        </w:rPr>
        <w:t>）</w:t>
      </w:r>
      <w:r>
        <w:rPr>
          <w:rFonts w:hint="eastAsia" w:ascii="Times New Roman" w:hAnsi="Times New Roman"/>
          <w:color w:val="auto"/>
          <w:lang w:eastAsia="zh-CN"/>
        </w:rPr>
        <w:t>（成立不足一年的提交银行验资证明），事业单位或其他类型主体如提供由主管单位批准的最近一年的年度财务报表应附说明材料</w:t>
      </w:r>
      <w:r>
        <w:rPr>
          <w:rFonts w:hint="eastAsia" w:ascii="Times New Roman" w:hAnsi="Times New Roman"/>
          <w:color w:val="auto"/>
          <w:spacing w:val="-16"/>
          <w:lang w:eastAsia="zh-CN"/>
        </w:rPr>
        <w:t>；或提供银行出具的有效资信证明</w:t>
      </w:r>
      <w:r>
        <w:rPr>
          <w:rFonts w:hint="eastAsia" w:ascii="Times New Roman" w:hAnsi="Times New Roman"/>
          <w:color w:val="auto"/>
          <w:spacing w:val="-28"/>
          <w:lang w:eastAsia="zh-CN"/>
        </w:rPr>
        <w:t>；或依据《北京市财政局关于开展政府采购信用担保试点工作的通知》的规定提交的投标担保保函（复印件须加盖投标人公章）。</w:t>
      </w:r>
    </w:p>
    <w:p>
      <w:pPr>
        <w:rPr>
          <w:rFonts w:ascii="Times New Roman" w:hAnsi="Times New Roman"/>
          <w:b/>
          <w:color w:val="auto"/>
          <w:sz w:val="24"/>
          <w:szCs w:val="24"/>
          <w:lang w:eastAsia="zh-CN"/>
        </w:rPr>
      </w:pPr>
      <w:r>
        <w:rPr>
          <w:rFonts w:hint="eastAsia" w:ascii="Times New Roman" w:hAnsi="Times New Roman"/>
          <w:b/>
          <w:color w:val="auto"/>
          <w:sz w:val="24"/>
          <w:szCs w:val="24"/>
          <w:lang w:eastAsia="zh-CN"/>
        </w:rPr>
        <w:t>说明：</w:t>
      </w:r>
    </w:p>
    <w:p>
      <w:pPr>
        <w:pStyle w:val="12"/>
        <w:spacing w:before="105" w:line="360" w:lineRule="auto"/>
        <w:ind w:right="6"/>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spacing w:val="-98"/>
          <w:lang w:eastAsia="zh-CN"/>
        </w:rPr>
        <w:t>）</w:t>
      </w:r>
      <w:r>
        <w:rPr>
          <w:rFonts w:hint="eastAsia" w:ascii="Times New Roman" w:hAnsi="Times New Roman"/>
          <w:color w:val="auto"/>
          <w:lang w:eastAsia="zh-CN"/>
        </w:rPr>
        <w:t>银行资信证明是指投标人参加本次政府采购活动近一年内银行出具的资信证明，且无收受人和项目的限制，但开具银行有限制规定的除外；</w:t>
      </w:r>
    </w:p>
    <w:p>
      <w:pPr>
        <w:pStyle w:val="12"/>
        <w:spacing w:line="360" w:lineRule="auto"/>
        <w:ind w:right="6"/>
        <w:rPr>
          <w:rFonts w:ascii="Times New Roman" w:hAnsi="Times New Roman"/>
          <w:color w:val="auto"/>
          <w:lang w:eastAsia="zh-CN"/>
        </w:rPr>
      </w:pPr>
      <w:r>
        <w:rPr>
          <w:rFonts w:ascii="Times New Roman" w:hAnsi="Times New Roman"/>
          <w:color w:val="auto"/>
          <w:spacing w:val="-24"/>
          <w:lang w:eastAsia="zh-CN"/>
        </w:rPr>
        <w:t>2</w:t>
      </w:r>
      <w:r>
        <w:rPr>
          <w:rFonts w:hint="eastAsia" w:ascii="Times New Roman" w:hAnsi="Times New Roman"/>
          <w:color w:val="auto"/>
          <w:spacing w:val="-24"/>
          <w:lang w:eastAsia="zh-CN"/>
        </w:rPr>
        <w:t>）</w:t>
      </w:r>
      <w:r>
        <w:rPr>
          <w:rFonts w:hint="eastAsia" w:ascii="Times New Roman" w:hAnsi="Times New Roman"/>
          <w:color w:val="auto"/>
          <w:spacing w:val="-3"/>
          <w:lang w:eastAsia="zh-CN"/>
        </w:rPr>
        <w:t>银行资信证明的开具银行明确规定背面有声明的，须提供资信证明背面；</w:t>
      </w:r>
    </w:p>
    <w:p>
      <w:pPr>
        <w:spacing w:line="360" w:lineRule="auto"/>
        <w:ind w:right="6"/>
        <w:rPr>
          <w:rFonts w:ascii="Times New Roman" w:hAnsi="Times New Roman"/>
          <w:b/>
          <w:color w:val="auto"/>
          <w:sz w:val="24"/>
          <w:szCs w:val="24"/>
          <w:lang w:eastAsia="zh-CN"/>
        </w:rPr>
      </w:pPr>
      <w:r>
        <w:rPr>
          <w:rFonts w:ascii="Times New Roman" w:hAnsi="Times New Roman"/>
          <w:color w:val="auto"/>
          <w:sz w:val="24"/>
          <w:szCs w:val="24"/>
          <w:lang w:eastAsia="zh-CN"/>
        </w:rPr>
        <w:t>3</w:t>
      </w:r>
      <w:r>
        <w:rPr>
          <w:rFonts w:hint="eastAsia" w:ascii="Times New Roman" w:hAnsi="Times New Roman"/>
          <w:color w:val="auto"/>
          <w:sz w:val="24"/>
          <w:szCs w:val="24"/>
          <w:lang w:eastAsia="zh-CN"/>
        </w:rPr>
        <w:t>）银行资信证明的开具银行明确规定</w:t>
      </w:r>
      <w:r>
        <w:rPr>
          <w:rFonts w:hint="eastAsia" w:ascii="Times New Roman" w:hAnsi="Times New Roman"/>
          <w:b/>
          <w:color w:val="auto"/>
          <w:sz w:val="24"/>
          <w:szCs w:val="24"/>
          <w:lang w:eastAsia="zh-CN"/>
        </w:rPr>
        <w:t>复印无效的，投标人须提供原件；</w:t>
      </w:r>
    </w:p>
    <w:p>
      <w:pPr>
        <w:pStyle w:val="12"/>
        <w:tabs>
          <w:tab w:val="left" w:pos="8505"/>
        </w:tabs>
        <w:spacing w:before="103" w:line="360" w:lineRule="auto"/>
        <w:ind w:right="6"/>
        <w:rPr>
          <w:rFonts w:ascii="Times New Roman" w:hAnsi="Times New Roman"/>
          <w:color w:val="auto"/>
          <w:spacing w:val="-2"/>
          <w:lang w:eastAsia="zh-CN"/>
        </w:rPr>
      </w:pPr>
      <w:r>
        <w:rPr>
          <w:rFonts w:ascii="Times New Roman" w:hAnsi="Times New Roman"/>
          <w:color w:val="auto"/>
          <w:spacing w:val="-24"/>
          <w:lang w:eastAsia="zh-CN"/>
        </w:rPr>
        <w:t>4</w:t>
      </w:r>
      <w:r>
        <w:rPr>
          <w:rFonts w:hint="eastAsia" w:ascii="Times New Roman" w:hAnsi="Times New Roman"/>
          <w:color w:val="auto"/>
          <w:spacing w:val="-24"/>
          <w:lang w:eastAsia="zh-CN"/>
        </w:rPr>
        <w:t>）</w:t>
      </w:r>
      <w:r>
        <w:rPr>
          <w:rFonts w:hint="eastAsia" w:ascii="Times New Roman" w:hAnsi="Times New Roman"/>
          <w:color w:val="auto"/>
          <w:spacing w:val="-2"/>
          <w:lang w:eastAsia="zh-CN"/>
        </w:rPr>
        <w:t>银行资信证明应能说明该投标人与银行之间业务往来正常，企业信誉良好等；</w:t>
      </w:r>
    </w:p>
    <w:p>
      <w:pPr>
        <w:pStyle w:val="12"/>
        <w:spacing w:before="103" w:line="360" w:lineRule="auto"/>
        <w:ind w:right="6"/>
        <w:rPr>
          <w:rFonts w:ascii="Times New Roman" w:hAnsi="Times New Roman"/>
          <w:b/>
          <w:bCs/>
          <w:color w:val="auto"/>
          <w:lang w:eastAsia="zh-CN"/>
        </w:rPr>
      </w:pPr>
      <w:r>
        <w:rPr>
          <w:rFonts w:ascii="Times New Roman" w:hAnsi="Times New Roman"/>
          <w:b/>
          <w:bCs/>
          <w:color w:val="auto"/>
          <w:spacing w:val="-2"/>
          <w:lang w:eastAsia="zh-CN"/>
        </w:rPr>
        <w:t>5</w:t>
      </w:r>
      <w:r>
        <w:rPr>
          <w:rFonts w:hint="eastAsia" w:ascii="Times New Roman" w:hAnsi="Times New Roman"/>
          <w:b/>
          <w:bCs/>
          <w:color w:val="auto"/>
          <w:spacing w:val="-2"/>
          <w:lang w:eastAsia="zh-CN"/>
        </w:rPr>
        <w:t>）银行出具的存款证明不能替代银行资信证明，存款证明无效。</w:t>
      </w:r>
    </w:p>
    <w:p>
      <w:pPr>
        <w:rPr>
          <w:rFonts w:ascii="Times New Roman" w:hAnsi="Times New Roman"/>
          <w:color w:val="auto"/>
          <w:sz w:val="24"/>
          <w:szCs w:val="24"/>
          <w:lang w:eastAsia="zh-CN"/>
        </w:rPr>
      </w:pPr>
      <w:r>
        <w:rPr>
          <w:rFonts w:ascii="Times New Roman" w:hAnsi="Times New Roman"/>
          <w:color w:val="auto"/>
          <w:sz w:val="24"/>
          <w:szCs w:val="24"/>
          <w:lang w:eastAsia="zh-CN"/>
        </w:rPr>
        <w:br w:type="page"/>
      </w:r>
    </w:p>
    <w:p>
      <w:pPr>
        <w:pStyle w:val="5"/>
        <w:keepNext w:val="0"/>
        <w:keepLines w:val="0"/>
        <w:rPr>
          <w:rFonts w:ascii="Times New Roman"/>
          <w:color w:val="auto"/>
        </w:rPr>
      </w:pPr>
      <w:r>
        <w:rPr>
          <w:rFonts w:hint="eastAsia" w:ascii="Times New Roman"/>
          <w:color w:val="auto"/>
        </w:rPr>
        <w:t>附件</w:t>
      </w:r>
      <w:r>
        <w:rPr>
          <w:rFonts w:ascii="Times New Roman"/>
          <w:color w:val="auto"/>
        </w:rPr>
        <w:t>7</w:t>
      </w:r>
      <w:r>
        <w:rPr>
          <w:rFonts w:hint="eastAsia" w:ascii="Times New Roman"/>
          <w:color w:val="auto"/>
        </w:rPr>
        <w:t>、投标保证金（担保）证明</w:t>
      </w:r>
    </w:p>
    <w:p>
      <w:pPr>
        <w:pStyle w:val="52"/>
        <w:snapToGrid w:val="0"/>
        <w:spacing w:before="240" w:beforeLines="100" w:line="360" w:lineRule="auto"/>
        <w:ind w:firstLine="480" w:firstLineChars="200"/>
        <w:jc w:val="both"/>
        <w:rPr>
          <w:rFonts w:ascii="Times New Roman" w:hAnsi="Times New Roman"/>
          <w:color w:val="auto"/>
          <w:sz w:val="24"/>
          <w:szCs w:val="24"/>
          <w:lang w:eastAsia="zh-CN"/>
        </w:rPr>
      </w:pPr>
      <w:r>
        <w:rPr>
          <w:rFonts w:hint="eastAsia" w:ascii="Times New Roman" w:hAnsi="Times New Roman"/>
          <w:color w:val="auto"/>
          <w:sz w:val="24"/>
          <w:szCs w:val="24"/>
          <w:lang w:eastAsia="zh-CN"/>
        </w:rPr>
        <w:t>提供支票或电汇（或网上银行支付）凭证的复印件或投标担保保函原件（后附</w:t>
      </w:r>
      <w:r>
        <w:rPr>
          <w:rFonts w:hint="eastAsia" w:ascii="Times New Roman" w:hAnsi="Times New Roman"/>
          <w:color w:val="auto"/>
          <w:sz w:val="24"/>
          <w:szCs w:val="24"/>
          <w:lang w:val="en-US" w:eastAsia="zh-CN"/>
        </w:rPr>
        <w:t>参考</w:t>
      </w:r>
      <w:r>
        <w:rPr>
          <w:rFonts w:hint="eastAsia" w:ascii="Times New Roman" w:hAnsi="Times New Roman"/>
          <w:color w:val="auto"/>
          <w:sz w:val="24"/>
          <w:szCs w:val="24"/>
          <w:lang w:eastAsia="zh-CN"/>
        </w:rPr>
        <w:t>格式）。</w:t>
      </w:r>
    </w:p>
    <w:p>
      <w:pPr>
        <w:spacing w:before="9"/>
        <w:ind w:left="2928"/>
        <w:rPr>
          <w:rFonts w:ascii="Times New Roman" w:hAnsi="Times New Roman"/>
          <w:color w:val="auto"/>
          <w:sz w:val="24"/>
          <w:szCs w:val="24"/>
          <w:lang w:eastAsia="zh-CN"/>
        </w:rPr>
      </w:pPr>
    </w:p>
    <w:p>
      <w:pPr>
        <w:spacing w:before="9"/>
        <w:jc w:val="center"/>
        <w:rPr>
          <w:rFonts w:hint="default" w:ascii="Times New Roman" w:hAnsi="Times New Roman"/>
          <w:b/>
          <w:color w:val="auto"/>
          <w:sz w:val="24"/>
          <w:szCs w:val="24"/>
          <w:lang w:val="en-US" w:eastAsia="zh-CN"/>
        </w:rPr>
      </w:pPr>
      <w:r>
        <w:rPr>
          <w:rFonts w:ascii="Times New Roman" w:hAnsi="Times New Roman"/>
          <w:color w:val="auto"/>
          <w:sz w:val="24"/>
          <w:szCs w:val="24"/>
          <w:lang w:eastAsia="zh-CN"/>
        </w:rPr>
        <w:br w:type="page"/>
      </w:r>
      <w:r>
        <w:rPr>
          <w:rFonts w:hint="eastAsia" w:ascii="Times New Roman" w:hAnsi="Times New Roman"/>
          <w:b/>
          <w:color w:val="auto"/>
          <w:sz w:val="24"/>
          <w:szCs w:val="24"/>
          <w:lang w:eastAsia="zh-CN"/>
        </w:rPr>
        <w:t>政府采购投标担保函（</w:t>
      </w:r>
      <w:r>
        <w:rPr>
          <w:rFonts w:hint="eastAsia" w:ascii="Times New Roman" w:hAnsi="Times New Roman"/>
          <w:b/>
          <w:color w:val="auto"/>
          <w:sz w:val="24"/>
          <w:szCs w:val="24"/>
          <w:lang w:val="en-US" w:eastAsia="zh-CN"/>
        </w:rPr>
        <w:t>格式仅供参考</w:t>
      </w:r>
      <w:r>
        <w:rPr>
          <w:rFonts w:hint="eastAsia" w:ascii="Times New Roman" w:hAnsi="Times New Roman"/>
          <w:b/>
          <w:color w:val="auto"/>
          <w:sz w:val="24"/>
          <w:szCs w:val="24"/>
          <w:lang w:eastAsia="zh-CN"/>
        </w:rPr>
        <w:t>）</w:t>
      </w:r>
    </w:p>
    <w:p>
      <w:pPr>
        <w:pStyle w:val="12"/>
        <w:spacing w:before="105"/>
        <w:ind w:left="4537"/>
        <w:rPr>
          <w:rFonts w:ascii="Times New Roman" w:hAnsi="Times New Roman"/>
          <w:color w:val="auto"/>
          <w:lang w:eastAsia="zh-CN"/>
        </w:rPr>
      </w:pPr>
      <w:r>
        <w:rPr>
          <w:rFonts w:hint="eastAsia" w:ascii="Times New Roman" w:hAnsi="Times New Roman"/>
          <w:color w:val="auto"/>
          <w:lang w:eastAsia="zh-CN"/>
        </w:rPr>
        <w:t>编号：</w:t>
      </w:r>
    </w:p>
    <w:p>
      <w:pPr>
        <w:pStyle w:val="12"/>
        <w:tabs>
          <w:tab w:val="left" w:pos="3457"/>
        </w:tabs>
        <w:spacing w:before="240" w:beforeLines="100" w:line="360" w:lineRule="auto"/>
        <w:ind w:firstLine="480" w:firstLineChars="200"/>
        <w:rPr>
          <w:rFonts w:ascii="Times New Roman" w:hAnsi="Times New Roman"/>
          <w:color w:val="auto"/>
          <w:lang w:eastAsia="zh-CN"/>
        </w:rPr>
      </w:pPr>
      <w:r>
        <w:rPr>
          <w:rFonts w:ascii="Times New Roman" w:hAnsi="Times New Roman" w:cs="Times New Roman"/>
          <w:color w:val="auto"/>
          <w:u w:val="single"/>
          <w:lang w:eastAsia="zh-CN"/>
        </w:rPr>
        <w:t>____________</w:t>
      </w:r>
      <w:r>
        <w:rPr>
          <w:rFonts w:hint="eastAsia" w:ascii="Times New Roman" w:hAnsi="Times New Roman"/>
          <w:color w:val="auto"/>
          <w:lang w:eastAsia="zh-CN"/>
        </w:rPr>
        <w:t>（采购人或采购代理机构</w:t>
      </w:r>
      <w:r>
        <w:rPr>
          <w:rFonts w:hint="eastAsia" w:ascii="Times New Roman" w:hAnsi="Times New Roman"/>
          <w:color w:val="auto"/>
          <w:spacing w:val="-120"/>
          <w:lang w:eastAsia="zh-CN"/>
        </w:rPr>
        <w:t>）</w:t>
      </w:r>
      <w:r>
        <w:rPr>
          <w:rFonts w:hint="eastAsia" w:ascii="Times New Roman" w:hAnsi="Times New Roman"/>
          <w:color w:val="auto"/>
          <w:lang w:eastAsia="zh-CN"/>
        </w:rPr>
        <w:t>：</w:t>
      </w:r>
    </w:p>
    <w:p>
      <w:pPr>
        <w:pStyle w:val="12"/>
        <w:tabs>
          <w:tab w:val="left" w:pos="2857"/>
          <w:tab w:val="left" w:pos="3937"/>
          <w:tab w:val="left" w:pos="8529"/>
        </w:tabs>
        <w:spacing w:line="360" w:lineRule="auto"/>
        <w:ind w:firstLine="480"/>
        <w:jc w:val="both"/>
        <w:rPr>
          <w:rFonts w:ascii="Times New Roman" w:hAnsi="Times New Roman"/>
          <w:color w:val="auto"/>
          <w:lang w:eastAsia="zh-CN"/>
        </w:rPr>
      </w:pPr>
      <w:r>
        <w:rPr>
          <w:rFonts w:hint="eastAsia" w:ascii="Times New Roman" w:hAnsi="Times New Roman"/>
          <w:color w:val="auto"/>
          <w:lang w:eastAsia="zh-CN"/>
        </w:rPr>
        <w:t>鉴于</w:t>
      </w:r>
      <w:r>
        <w:rPr>
          <w:rFonts w:ascii="Times New Roman" w:hAnsi="Times New Roman" w:cs="Times New Roman"/>
          <w:color w:val="auto"/>
          <w:u w:val="single"/>
          <w:lang w:eastAsia="zh-CN"/>
        </w:rPr>
        <w:t>_________</w:t>
      </w:r>
      <w:r>
        <w:rPr>
          <w:rFonts w:hint="eastAsia" w:ascii="Times New Roman" w:hAnsi="Times New Roman"/>
          <w:color w:val="auto"/>
          <w:lang w:eastAsia="zh-CN"/>
        </w:rPr>
        <w:t>（以下简称“投标人”）拟参加编号为</w:t>
      </w:r>
      <w:r>
        <w:rPr>
          <w:rFonts w:ascii="Times New Roman" w:hAnsi="Times New Roman" w:cs="Times New Roman"/>
          <w:color w:val="auto"/>
          <w:u w:val="single"/>
          <w:lang w:eastAsia="zh-CN"/>
        </w:rPr>
        <w:t>______</w:t>
      </w:r>
      <w:r>
        <w:rPr>
          <w:rFonts w:ascii="Times New Roman" w:hAnsi="Times New Roman"/>
          <w:color w:val="auto"/>
          <w:u w:val="single"/>
          <w:lang w:eastAsia="zh-CN"/>
        </w:rPr>
        <w:t xml:space="preserve"> </w:t>
      </w:r>
      <w:r>
        <w:rPr>
          <w:rFonts w:hint="eastAsia" w:ascii="Times New Roman" w:hAnsi="Times New Roman"/>
          <w:color w:val="auto"/>
          <w:lang w:eastAsia="zh-CN"/>
        </w:rPr>
        <w:t>的</w:t>
      </w:r>
      <w:r>
        <w:rPr>
          <w:rFonts w:ascii="Times New Roman" w:hAnsi="Times New Roman" w:cs="Times New Roman"/>
          <w:color w:val="auto"/>
          <w:u w:val="single"/>
          <w:lang w:eastAsia="zh-CN"/>
        </w:rPr>
        <w:t>______</w:t>
      </w:r>
      <w:r>
        <w:rPr>
          <w:rFonts w:hint="eastAsia" w:ascii="Times New Roman" w:hAnsi="Times New Roman"/>
          <w:color w:val="auto"/>
          <w:lang w:eastAsia="zh-CN"/>
        </w:rPr>
        <w:t>项目（以下简称</w:t>
      </w:r>
      <w:r>
        <w:rPr>
          <w:rFonts w:ascii="Times New Roman" w:hAnsi="Times New Roman"/>
          <w:color w:val="auto"/>
          <w:lang w:eastAsia="zh-CN"/>
        </w:rPr>
        <w:t>“</w:t>
      </w:r>
      <w:r>
        <w:rPr>
          <w:rFonts w:hint="eastAsia" w:ascii="Times New Roman" w:hAnsi="Times New Roman"/>
          <w:color w:val="auto"/>
          <w:lang w:eastAsia="zh-CN"/>
        </w:rPr>
        <w:t>本项目</w:t>
      </w:r>
      <w:r>
        <w:rPr>
          <w:rFonts w:ascii="Times New Roman" w:hAnsi="Times New Roman"/>
          <w:color w:val="auto"/>
          <w:lang w:eastAsia="zh-CN"/>
        </w:rPr>
        <w:t>”</w:t>
      </w:r>
      <w:r>
        <w:rPr>
          <w:rFonts w:hint="eastAsia" w:ascii="Times New Roman" w:hAnsi="Times New Roman"/>
          <w:color w:val="auto"/>
          <w:lang w:eastAsia="zh-CN"/>
        </w:rPr>
        <w:t>）投标，根据本项目招标文件</w:t>
      </w:r>
      <w:r>
        <w:rPr>
          <w:rFonts w:hint="eastAsia" w:ascii="Times New Roman" w:hAnsi="Times New Roman"/>
          <w:color w:val="auto"/>
          <w:spacing w:val="-44"/>
          <w:lang w:eastAsia="zh-CN"/>
        </w:rPr>
        <w:t>，</w:t>
      </w:r>
      <w:r>
        <w:rPr>
          <w:rFonts w:hint="eastAsia" w:ascii="Times New Roman" w:hAnsi="Times New Roman"/>
          <w:color w:val="auto"/>
          <w:lang w:eastAsia="zh-CN"/>
        </w:rPr>
        <w:t>供应商参加投标时应向你交纳投标保证金</w:t>
      </w:r>
      <w:r>
        <w:rPr>
          <w:rFonts w:hint="eastAsia" w:ascii="Times New Roman" w:hAnsi="Times New Roman"/>
          <w:color w:val="auto"/>
          <w:spacing w:val="-44"/>
          <w:lang w:eastAsia="zh-CN"/>
        </w:rPr>
        <w:t>，</w:t>
      </w:r>
      <w:r>
        <w:rPr>
          <w:rFonts w:hint="eastAsia" w:ascii="Times New Roman" w:hAnsi="Times New Roman"/>
          <w:color w:val="auto"/>
          <w:lang w:eastAsia="zh-CN"/>
        </w:rPr>
        <w:t>且可以投标担保函的形式交纳投标保证金</w:t>
      </w:r>
      <w:r>
        <w:rPr>
          <w:rFonts w:hint="eastAsia" w:ascii="Times New Roman" w:hAnsi="Times New Roman"/>
          <w:color w:val="auto"/>
          <w:spacing w:val="-44"/>
          <w:lang w:eastAsia="zh-CN"/>
        </w:rPr>
        <w:t>。</w:t>
      </w:r>
      <w:r>
        <w:rPr>
          <w:rFonts w:hint="eastAsia" w:ascii="Times New Roman" w:hAnsi="Times New Roman"/>
          <w:color w:val="auto"/>
          <w:lang w:eastAsia="zh-CN"/>
        </w:rPr>
        <w:t>应供应商的申请</w:t>
      </w:r>
      <w:r>
        <w:rPr>
          <w:rFonts w:hint="eastAsia" w:ascii="Times New Roman" w:hAnsi="Times New Roman"/>
          <w:color w:val="auto"/>
          <w:spacing w:val="-44"/>
          <w:lang w:eastAsia="zh-CN"/>
        </w:rPr>
        <w:t>，</w:t>
      </w:r>
      <w:r>
        <w:rPr>
          <w:rFonts w:hint="eastAsia" w:ascii="Times New Roman" w:hAnsi="Times New Roman"/>
          <w:color w:val="auto"/>
          <w:lang w:eastAsia="zh-CN"/>
        </w:rPr>
        <w:t>我方以保证的方式向你方提供如下投标保证金担保：</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一、保证责任的情形及保证金额</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（一）在投标人出现下列情形之一时，我方承担保证责任：</w:t>
      </w:r>
    </w:p>
    <w:p>
      <w:pPr>
        <w:pStyle w:val="12"/>
        <w:spacing w:line="360" w:lineRule="auto"/>
        <w:ind w:firstLine="48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、中标后投标人无正当理由不与采购人或者采购代理机构签订《政府采购合同》；</w:t>
      </w:r>
    </w:p>
    <w:p>
      <w:pPr>
        <w:pStyle w:val="12"/>
        <w:spacing w:line="360" w:lineRule="auto"/>
        <w:ind w:firstLine="48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、招标文件规定的投标人应当缴纳保证金的其他情形。</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（二）我方承担保证责任的最高金额为人民币</w:t>
      </w:r>
      <w:r>
        <w:rPr>
          <w:rFonts w:ascii="Times New Roman" w:hAnsi="Times New Roman" w:cs="Times New Roman"/>
          <w:color w:val="auto"/>
          <w:u w:val="single"/>
          <w:lang w:eastAsia="zh-CN"/>
        </w:rPr>
        <w:t>______</w:t>
      </w:r>
      <w:r>
        <w:rPr>
          <w:rFonts w:hint="eastAsia" w:ascii="Times New Roman" w:hAnsi="Times New Roman"/>
          <w:color w:val="auto"/>
          <w:lang w:eastAsia="zh-CN"/>
        </w:rPr>
        <w:t>元（大写：</w:t>
      </w:r>
      <w:r>
        <w:rPr>
          <w:rFonts w:ascii="Times New Roman" w:hAnsi="Times New Roman" w:cs="Times New Roman"/>
          <w:color w:val="auto"/>
          <w:u w:val="single"/>
          <w:lang w:eastAsia="zh-CN"/>
        </w:rPr>
        <w:t>______</w:t>
      </w:r>
      <w:r>
        <w:rPr>
          <w:rFonts w:hint="eastAsia" w:ascii="Times New Roman" w:hAnsi="Times New Roman"/>
          <w:color w:val="auto"/>
          <w:lang w:eastAsia="zh-CN"/>
        </w:rPr>
        <w:t>），即本项目的投标保证金金额。</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二、保证的方式及保证期间</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我方保证的方式为：连带责任保证</w:t>
      </w:r>
    </w:p>
    <w:p>
      <w:pPr>
        <w:pStyle w:val="12"/>
        <w:tabs>
          <w:tab w:val="left" w:pos="5737"/>
        </w:tabs>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我方的保证期间为：自本保函生效之日起</w:t>
      </w:r>
      <w:r>
        <w:rPr>
          <w:rFonts w:ascii="Times New Roman" w:hAnsi="Times New Roman" w:cs="Times New Roman"/>
          <w:color w:val="auto"/>
          <w:u w:val="single"/>
          <w:lang w:eastAsia="zh-CN"/>
        </w:rPr>
        <w:t>___</w:t>
      </w:r>
      <w:r>
        <w:rPr>
          <w:rFonts w:hint="eastAsia" w:ascii="Times New Roman" w:hAnsi="Times New Roman"/>
          <w:color w:val="auto"/>
          <w:lang w:eastAsia="zh-CN"/>
        </w:rPr>
        <w:t>个月止。</w:t>
      </w:r>
    </w:p>
    <w:p>
      <w:pPr>
        <w:pStyle w:val="12"/>
        <w:tabs>
          <w:tab w:val="left" w:pos="5737"/>
        </w:tabs>
        <w:spacing w:line="360" w:lineRule="auto"/>
        <w:rPr>
          <w:rFonts w:ascii="Times New Roman" w:hAnsi="Times New Roman"/>
          <w:color w:val="auto"/>
          <w:lang w:eastAsia="zh-CN"/>
        </w:rPr>
      </w:pPr>
      <w:r>
        <w:rPr>
          <w:rFonts w:hint="eastAsia" w:ascii="Times New Roman" w:hAnsi="Times New Roman"/>
          <w:color w:val="auto"/>
          <w:lang w:eastAsia="zh-CN"/>
        </w:rPr>
        <w:t>三、承担保证责任的程序</w:t>
      </w:r>
    </w:p>
    <w:p>
      <w:pPr>
        <w:pStyle w:val="12"/>
        <w:spacing w:line="360" w:lineRule="auto"/>
        <w:ind w:firstLine="480"/>
        <w:jc w:val="both"/>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、你方要求我方承担保证责任的，应在本保函保证期间内向我方发出书面</w:t>
      </w:r>
      <w:r>
        <w:rPr>
          <w:rFonts w:hint="eastAsia" w:ascii="Times New Roman" w:hAnsi="Times New Roman"/>
          <w:color w:val="auto"/>
          <w:spacing w:val="-8"/>
          <w:lang w:eastAsia="zh-CN"/>
        </w:rPr>
        <w:t>索赔通知。索赔通知应写明要求索赔的金额，支付款项应到达的账号，并附有证明投标人发生我方应承担保证责任情形的事实材料。</w:t>
      </w:r>
    </w:p>
    <w:p>
      <w:pPr>
        <w:pStyle w:val="12"/>
        <w:spacing w:line="360" w:lineRule="auto"/>
        <w:ind w:firstLine="480"/>
        <w:jc w:val="both"/>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spacing w:val="-9"/>
          <w:lang w:eastAsia="zh-CN"/>
        </w:rPr>
        <w:t>、我方在收到索赔通知及相关证明材料后，在</w:t>
      </w:r>
      <w:r>
        <w:rPr>
          <w:rFonts w:ascii="Times New Roman" w:hAnsi="Times New Roman"/>
          <w:color w:val="auto"/>
          <w:spacing w:val="-9"/>
          <w:lang w:eastAsia="zh-CN"/>
        </w:rPr>
        <w:t xml:space="preserve">  </w:t>
      </w:r>
      <w:r>
        <w:rPr>
          <w:rFonts w:hint="eastAsia" w:ascii="Times New Roman" w:hAnsi="Times New Roman"/>
          <w:color w:val="auto"/>
          <w:spacing w:val="-9"/>
          <w:lang w:eastAsia="zh-CN"/>
        </w:rPr>
        <w:t>个工作日内进行审查，符合应承担保证责任情形的，我方应按照你方的要求代投标人向你方支付投标保证金。</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四、保证责任的终止</w:t>
      </w:r>
    </w:p>
    <w:p>
      <w:pPr>
        <w:pStyle w:val="12"/>
        <w:spacing w:line="360" w:lineRule="auto"/>
        <w:ind w:firstLine="48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、保证期间届满你方未向我方书面主张保证责任的，自保证期间届满次日起，我方保证责任自动终止。</w:t>
      </w:r>
    </w:p>
    <w:p>
      <w:pPr>
        <w:pStyle w:val="12"/>
        <w:spacing w:line="360" w:lineRule="auto"/>
        <w:ind w:firstLine="48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、我方按照本保函向你方履行了保证责任后，自我方向你方支付款项（支付款项从我方账户划出）之日起，保证责任终止。</w:t>
      </w:r>
    </w:p>
    <w:p>
      <w:pPr>
        <w:pStyle w:val="12"/>
        <w:spacing w:line="360" w:lineRule="auto"/>
        <w:ind w:firstLine="480"/>
        <w:rPr>
          <w:rFonts w:ascii="Times New Roman" w:hAnsi="Times New Roman"/>
          <w:color w:val="auto"/>
          <w:lang w:eastAsia="zh-CN"/>
        </w:rPr>
      </w:pPr>
      <w:r>
        <w:rPr>
          <w:rFonts w:ascii="Times New Roman" w:hAnsi="Times New Roman"/>
          <w:color w:val="auto"/>
          <w:lang w:eastAsia="zh-CN"/>
        </w:rPr>
        <w:t>3</w:t>
      </w:r>
      <w:r>
        <w:rPr>
          <w:rFonts w:hint="eastAsia" w:ascii="Times New Roman" w:hAnsi="Times New Roman"/>
          <w:color w:val="auto"/>
          <w:lang w:eastAsia="zh-CN"/>
        </w:rPr>
        <w:t>、按照法律法规的规定或出现我方保证责任终止的其他情形的，我方在本保函下的保证责任亦终止。</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五、免责条款</w:t>
      </w:r>
    </w:p>
    <w:p>
      <w:pPr>
        <w:pStyle w:val="12"/>
        <w:spacing w:line="360" w:lineRule="auto"/>
        <w:ind w:firstLine="48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、依照法律规定或你方与投标人的另行约定，全部或部分免除投标人保证金义务时，我方亦免除相应的保证责任。</w:t>
      </w:r>
    </w:p>
    <w:p>
      <w:pPr>
        <w:pStyle w:val="12"/>
        <w:spacing w:line="360" w:lineRule="auto"/>
        <w:ind w:firstLine="48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、因你方原因导致投标人发生本保函第一条第（一）款约定情形的，我方不承担保证责任。</w:t>
      </w:r>
    </w:p>
    <w:p>
      <w:pPr>
        <w:pStyle w:val="12"/>
        <w:spacing w:line="360" w:lineRule="auto"/>
        <w:ind w:firstLine="480"/>
        <w:rPr>
          <w:rFonts w:ascii="Times New Roman" w:hAnsi="Times New Roman"/>
          <w:color w:val="auto"/>
          <w:lang w:eastAsia="zh-CN"/>
        </w:rPr>
      </w:pPr>
      <w:r>
        <w:rPr>
          <w:rFonts w:ascii="Times New Roman" w:hAnsi="Times New Roman"/>
          <w:color w:val="auto"/>
          <w:lang w:eastAsia="zh-CN"/>
        </w:rPr>
        <w:t>3</w:t>
      </w:r>
      <w:r>
        <w:rPr>
          <w:rFonts w:hint="eastAsia" w:ascii="Times New Roman" w:hAnsi="Times New Roman"/>
          <w:color w:val="auto"/>
          <w:lang w:eastAsia="zh-CN"/>
        </w:rPr>
        <w:t>、因不可抗力造成投标人发生本保函第一条约定情形的，我方不承担保证责任。</w:t>
      </w:r>
    </w:p>
    <w:p>
      <w:pPr>
        <w:pStyle w:val="12"/>
        <w:spacing w:line="360" w:lineRule="auto"/>
        <w:ind w:firstLine="480"/>
        <w:jc w:val="both"/>
        <w:rPr>
          <w:rFonts w:ascii="Times New Roman" w:hAnsi="Times New Roman"/>
          <w:color w:val="auto"/>
          <w:lang w:eastAsia="zh-CN"/>
        </w:rPr>
      </w:pPr>
      <w:r>
        <w:rPr>
          <w:rFonts w:ascii="Times New Roman" w:hAnsi="Times New Roman"/>
          <w:color w:val="auto"/>
          <w:lang w:eastAsia="zh-CN"/>
        </w:rPr>
        <w:t>4</w:t>
      </w:r>
      <w:r>
        <w:rPr>
          <w:rFonts w:hint="eastAsia" w:ascii="Times New Roman" w:hAnsi="Times New Roman"/>
          <w:color w:val="auto"/>
          <w:lang w:eastAsia="zh-CN"/>
        </w:rPr>
        <w:t>、你方或其他有权机关对招标文件进行任何澄清或修改，加重我方保证责</w:t>
      </w:r>
      <w:r>
        <w:rPr>
          <w:rFonts w:hint="eastAsia" w:ascii="Times New Roman" w:hAnsi="Times New Roman"/>
          <w:color w:val="auto"/>
          <w:spacing w:val="-10"/>
          <w:lang w:eastAsia="zh-CN"/>
        </w:rPr>
        <w:t>任的，我方对加重部分不承担保证责任，但该澄清或修改经我方事先书面同意的除外。</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六、争议的解决</w:t>
      </w:r>
    </w:p>
    <w:p>
      <w:pPr>
        <w:pStyle w:val="12"/>
        <w:tabs>
          <w:tab w:val="left" w:pos="3457"/>
        </w:tabs>
        <w:spacing w:line="360" w:lineRule="auto"/>
        <w:ind w:firstLine="480"/>
        <w:rPr>
          <w:rFonts w:ascii="Times New Roman" w:hAnsi="Times New Roman"/>
          <w:color w:val="auto"/>
          <w:lang w:eastAsia="zh-CN"/>
        </w:rPr>
      </w:pPr>
      <w:r>
        <w:rPr>
          <w:rFonts w:hint="eastAsia" w:ascii="Times New Roman" w:hAnsi="Times New Roman"/>
          <w:color w:val="auto"/>
          <w:lang w:eastAsia="zh-CN"/>
        </w:rPr>
        <w:t>因本保函发生的纠纷</w:t>
      </w:r>
      <w:r>
        <w:rPr>
          <w:rFonts w:hint="eastAsia" w:ascii="Times New Roman" w:hAnsi="Times New Roman"/>
          <w:color w:val="auto"/>
          <w:spacing w:val="-29"/>
          <w:lang w:eastAsia="zh-CN"/>
        </w:rPr>
        <w:t>，</w:t>
      </w:r>
      <w:r>
        <w:rPr>
          <w:rFonts w:hint="eastAsia" w:ascii="Times New Roman" w:hAnsi="Times New Roman"/>
          <w:color w:val="auto"/>
          <w:lang w:eastAsia="zh-CN"/>
        </w:rPr>
        <w:t>由你我双方协商解决</w:t>
      </w:r>
      <w:r>
        <w:rPr>
          <w:rFonts w:hint="eastAsia" w:ascii="Times New Roman" w:hAnsi="Times New Roman"/>
          <w:color w:val="auto"/>
          <w:spacing w:val="-29"/>
          <w:lang w:eastAsia="zh-CN"/>
        </w:rPr>
        <w:t>，</w:t>
      </w:r>
      <w:r>
        <w:rPr>
          <w:rFonts w:hint="eastAsia" w:ascii="Times New Roman" w:hAnsi="Times New Roman"/>
          <w:color w:val="auto"/>
          <w:lang w:eastAsia="zh-CN"/>
        </w:rPr>
        <w:t>协商不成的</w:t>
      </w:r>
      <w:r>
        <w:rPr>
          <w:rFonts w:hint="eastAsia" w:ascii="Times New Roman" w:hAnsi="Times New Roman"/>
          <w:color w:val="auto"/>
          <w:spacing w:val="-29"/>
          <w:lang w:eastAsia="zh-CN"/>
        </w:rPr>
        <w:t>，</w:t>
      </w:r>
      <w:r>
        <w:rPr>
          <w:rFonts w:hint="eastAsia" w:ascii="Times New Roman" w:hAnsi="Times New Roman"/>
          <w:color w:val="auto"/>
          <w:lang w:eastAsia="zh-CN"/>
        </w:rPr>
        <w:t>通过诉讼程序解决，诉讼管辖地法院为</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法院。</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七、保函的生效</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本保函自我方加盖公章之日起生效。</w:t>
      </w:r>
    </w:p>
    <w:p>
      <w:pPr>
        <w:pStyle w:val="12"/>
        <w:spacing w:before="159"/>
        <w:rPr>
          <w:rFonts w:ascii="Times New Roman" w:hAnsi="Times New Roman"/>
          <w:color w:val="auto"/>
          <w:lang w:eastAsia="zh-CN"/>
        </w:rPr>
      </w:pPr>
    </w:p>
    <w:p>
      <w:pPr>
        <w:pStyle w:val="12"/>
        <w:spacing w:before="159"/>
        <w:rPr>
          <w:rFonts w:ascii="Times New Roman" w:hAnsi="Times New Roman"/>
          <w:color w:val="auto"/>
          <w:lang w:eastAsia="zh-CN"/>
        </w:rPr>
      </w:pPr>
    </w:p>
    <w:p>
      <w:pPr>
        <w:pStyle w:val="12"/>
        <w:tabs>
          <w:tab w:val="left" w:pos="5257"/>
          <w:tab w:val="left" w:pos="6097"/>
        </w:tabs>
        <w:ind w:left="4417"/>
        <w:rPr>
          <w:rFonts w:ascii="Times New Roman" w:hAnsi="Times New Roman"/>
          <w:color w:val="auto"/>
          <w:lang w:eastAsia="zh-CN"/>
        </w:rPr>
      </w:pPr>
      <w:r>
        <w:rPr>
          <w:rFonts w:hint="eastAsia" w:ascii="Times New Roman" w:hAnsi="Times New Roman"/>
          <w:color w:val="auto"/>
          <w:lang w:eastAsia="zh-CN"/>
        </w:rPr>
        <w:t>保证人（公章）</w:t>
      </w:r>
    </w:p>
    <w:p>
      <w:pPr>
        <w:pStyle w:val="12"/>
        <w:rPr>
          <w:rFonts w:ascii="Times New Roman" w:hAnsi="Times New Roman"/>
          <w:color w:val="auto"/>
          <w:lang w:eastAsia="zh-CN"/>
        </w:rPr>
      </w:pPr>
    </w:p>
    <w:p>
      <w:pPr>
        <w:pStyle w:val="12"/>
        <w:spacing w:before="10"/>
        <w:rPr>
          <w:rFonts w:ascii="Times New Roman" w:hAnsi="Times New Roman"/>
          <w:color w:val="auto"/>
          <w:lang w:eastAsia="zh-CN"/>
        </w:rPr>
      </w:pPr>
    </w:p>
    <w:p>
      <w:pPr>
        <w:pStyle w:val="12"/>
        <w:tabs>
          <w:tab w:val="left" w:pos="5257"/>
          <w:tab w:val="left" w:pos="6097"/>
        </w:tabs>
        <w:ind w:left="4417" w:firstLine="240" w:firstLineChars="100"/>
        <w:rPr>
          <w:rFonts w:ascii="Times New Roman" w:hAnsi="Times New Roman"/>
          <w:color w:val="auto"/>
          <w:lang w:eastAsia="zh-CN"/>
        </w:rPr>
      </w:pP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spacing w:before="9"/>
        <w:ind w:left="217"/>
        <w:rPr>
          <w:rFonts w:ascii="Times New Roman" w:hAnsi="Times New Roman"/>
          <w:b/>
          <w:color w:val="auto"/>
          <w:sz w:val="24"/>
          <w:szCs w:val="24"/>
          <w:lang w:eastAsia="zh-CN"/>
        </w:rPr>
      </w:pPr>
    </w:p>
    <w:p>
      <w:pPr>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rPr>
          <w:rFonts w:ascii="Times New Roman"/>
          <w:color w:val="auto"/>
        </w:rPr>
      </w:pPr>
      <w:r>
        <w:rPr>
          <w:rFonts w:hint="eastAsia" w:ascii="Times New Roman"/>
          <w:color w:val="auto"/>
        </w:rPr>
        <w:t>附件</w:t>
      </w:r>
      <w:r>
        <w:rPr>
          <w:rFonts w:ascii="Times New Roman"/>
          <w:color w:val="auto"/>
        </w:rPr>
        <w:t>8</w:t>
      </w:r>
      <w:r>
        <w:rPr>
          <w:rFonts w:hint="eastAsia" w:ascii="Times New Roman"/>
          <w:color w:val="auto"/>
        </w:rPr>
        <w:t>、依法缴纳税收的记录</w:t>
      </w:r>
    </w:p>
    <w:p>
      <w:pPr>
        <w:pStyle w:val="12"/>
        <w:spacing w:before="15"/>
        <w:rPr>
          <w:rFonts w:ascii="Times New Roman" w:hAnsi="Times New Roman"/>
          <w:b/>
          <w:color w:val="auto"/>
          <w:lang w:eastAsia="zh-CN"/>
        </w:rPr>
      </w:pP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投标人须提供依法缴纳税收的良好记录【提供投标截止日期前六个月内的任意一个月增值税或营业税或所得税的纳税有效凭据（按月纳税）或参加本次政府采购活动上年度纳税的有效凭据（按年度纳税）或相关部门出具的无纳税记录的有关证明文件（复印件须加盖投标人公章，规定期限内无纳税记录的单位应出具相关说明）】，依法免税的应提供依法免税的相关证明文件。</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（复印件须加盖投标人公章）</w:t>
      </w:r>
    </w:p>
    <w:p>
      <w:pPr>
        <w:pStyle w:val="12"/>
        <w:spacing w:before="5"/>
        <w:rPr>
          <w:rFonts w:ascii="Times New Roman" w:hAnsi="Times New Roman"/>
          <w:color w:val="auto"/>
          <w:lang w:eastAsia="zh-CN"/>
        </w:rPr>
      </w:pPr>
    </w:p>
    <w:p>
      <w:pPr>
        <w:pStyle w:val="12"/>
        <w:spacing w:before="5"/>
        <w:rPr>
          <w:rFonts w:ascii="Times New Roman" w:hAnsi="Times New Roman"/>
          <w:color w:val="auto"/>
          <w:lang w:eastAsia="zh-CN"/>
        </w:rPr>
      </w:pPr>
    </w:p>
    <w:p>
      <w:pPr>
        <w:pStyle w:val="12"/>
        <w:spacing w:before="5"/>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rPr>
          <w:rFonts w:ascii="Times New Roman"/>
          <w:color w:val="auto"/>
        </w:rPr>
      </w:pPr>
      <w:r>
        <w:rPr>
          <w:rFonts w:hint="eastAsia" w:ascii="Times New Roman"/>
          <w:color w:val="auto"/>
        </w:rPr>
        <w:t>附件</w:t>
      </w:r>
      <w:r>
        <w:rPr>
          <w:rFonts w:ascii="Times New Roman"/>
          <w:color w:val="auto"/>
        </w:rPr>
        <w:t>9</w:t>
      </w:r>
      <w:r>
        <w:rPr>
          <w:rFonts w:hint="eastAsia" w:ascii="Times New Roman"/>
          <w:color w:val="auto"/>
        </w:rPr>
        <w:t>、社会保障资金缴纳记录</w:t>
      </w:r>
    </w:p>
    <w:p>
      <w:pPr>
        <w:pStyle w:val="12"/>
        <w:spacing w:before="15"/>
        <w:rPr>
          <w:rFonts w:ascii="Times New Roman" w:hAnsi="Times New Roman"/>
          <w:b/>
          <w:color w:val="auto"/>
          <w:lang w:eastAsia="zh-CN"/>
        </w:rPr>
      </w:pPr>
    </w:p>
    <w:p>
      <w:pPr>
        <w:spacing w:line="360" w:lineRule="auto"/>
        <w:ind w:firstLine="480" w:firstLineChars="200"/>
        <w:rPr>
          <w:rFonts w:ascii="Times New Roman" w:hAnsi="Times New Roman"/>
          <w:color w:val="auto"/>
          <w:sz w:val="24"/>
          <w:szCs w:val="24"/>
          <w:lang w:eastAsia="zh-CN"/>
        </w:rPr>
      </w:pPr>
      <w:r>
        <w:rPr>
          <w:rFonts w:hint="eastAsia" w:ascii="Times New Roman" w:hAnsi="Times New Roman"/>
          <w:color w:val="auto"/>
          <w:sz w:val="24"/>
          <w:szCs w:val="24"/>
          <w:lang w:eastAsia="zh-CN"/>
        </w:rPr>
        <w:t>投标人须提供参加本次政府采购活动近半年内任意一个月的缴纳社会保障资金的入账票据凭证（按月缴纳）或提供参加本次政府采购活动上年度缴纳社会保障资金的入账票据凭证（按年度缴纳）或相关部门出具的有效证明文件或社保证明，依法免缴的应提供依法免缴的相关证明文件（复印件须加盖投标人公章）</w:t>
      </w:r>
    </w:p>
    <w:p>
      <w:pPr>
        <w:pStyle w:val="12"/>
        <w:spacing w:line="364" w:lineRule="auto"/>
        <w:ind w:left="217" w:right="671" w:firstLine="480"/>
        <w:rPr>
          <w:rFonts w:ascii="Times New Roman" w:hAnsi="Times New Roman"/>
          <w:color w:val="auto"/>
          <w:lang w:eastAsia="zh-CN"/>
        </w:rPr>
      </w:pPr>
    </w:p>
    <w:p>
      <w:pPr>
        <w:pStyle w:val="12"/>
        <w:spacing w:before="6"/>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rPr>
          <w:rFonts w:ascii="Times New Roman"/>
          <w:color w:val="auto"/>
        </w:rPr>
      </w:pPr>
      <w:r>
        <w:rPr>
          <w:rFonts w:hint="eastAsia" w:ascii="Times New Roman"/>
          <w:color w:val="auto"/>
        </w:rPr>
        <w:t>附件</w:t>
      </w:r>
      <w:r>
        <w:rPr>
          <w:rFonts w:ascii="Times New Roman"/>
          <w:color w:val="auto"/>
        </w:rPr>
        <w:t>10</w:t>
      </w:r>
      <w:r>
        <w:rPr>
          <w:rFonts w:hint="eastAsia" w:ascii="Times New Roman"/>
          <w:color w:val="auto"/>
        </w:rPr>
        <w:t>、参加政府采购活动前三年内，在经营活动中没有重大违法记录的声明</w:t>
      </w:r>
    </w:p>
    <w:p>
      <w:pPr>
        <w:spacing w:before="97"/>
        <w:ind w:left="217"/>
        <w:rPr>
          <w:rFonts w:ascii="Times New Roman" w:hAnsi="Times New Roman"/>
          <w:b/>
          <w:color w:val="auto"/>
          <w:sz w:val="24"/>
          <w:szCs w:val="24"/>
          <w:lang w:eastAsia="zh-CN"/>
        </w:rPr>
      </w:pPr>
    </w:p>
    <w:p>
      <w:pPr>
        <w:pStyle w:val="12"/>
        <w:spacing w:line="360" w:lineRule="auto"/>
        <w:rPr>
          <w:rFonts w:ascii="Times New Roman" w:hAnsi="Times New Roman"/>
          <w:b/>
          <w:color w:val="auto"/>
          <w:lang w:eastAsia="zh-CN"/>
        </w:rPr>
      </w:pPr>
      <w:r>
        <w:rPr>
          <w:rFonts w:hint="eastAsia" w:ascii="Times New Roman" w:hAnsi="Times New Roman"/>
          <w:b/>
          <w:color w:val="auto"/>
          <w:lang w:eastAsia="zh-CN"/>
        </w:rPr>
        <w:t>注：</w:t>
      </w:r>
      <w:r>
        <w:rPr>
          <w:rFonts w:hint="eastAsia" w:ascii="Times New Roman" w:hAnsi="Times New Roman"/>
          <w:color w:val="auto"/>
          <w:lang w:eastAsia="zh-CN"/>
        </w:rPr>
        <w:t>重大违法记录，是指供应商因违法经营受到刑事处罚或者责令停产停业、吊销许可证或者执照、较大数额罚款等行政处罚</w:t>
      </w:r>
    </w:p>
    <w:p>
      <w:pPr>
        <w:spacing w:before="720" w:beforeLines="300" w:after="480" w:afterLines="200"/>
        <w:jc w:val="center"/>
        <w:rPr>
          <w:rFonts w:ascii="Times New Roman" w:hAnsi="Times New Roman"/>
          <w:b/>
          <w:color w:val="auto"/>
          <w:sz w:val="32"/>
          <w:szCs w:val="32"/>
          <w:lang w:eastAsia="zh-CN"/>
        </w:rPr>
      </w:pPr>
      <w:r>
        <w:rPr>
          <w:rFonts w:hint="eastAsia" w:ascii="Times New Roman" w:hAnsi="Times New Roman"/>
          <w:b/>
          <w:color w:val="auto"/>
          <w:sz w:val="32"/>
          <w:szCs w:val="32"/>
          <w:lang w:eastAsia="zh-CN"/>
        </w:rPr>
        <w:t>声明</w:t>
      </w:r>
    </w:p>
    <w:p>
      <w:pPr>
        <w:spacing w:line="360" w:lineRule="auto"/>
        <w:ind w:firstLine="482" w:firstLineChars="200"/>
        <w:rPr>
          <w:rFonts w:ascii="Times New Roman" w:hAnsi="Times New Roman"/>
          <w:b/>
          <w:color w:val="auto"/>
          <w:sz w:val="24"/>
          <w:szCs w:val="24"/>
          <w:lang w:eastAsia="zh-CN"/>
        </w:rPr>
      </w:pPr>
      <w:r>
        <w:rPr>
          <w:rFonts w:hint="eastAsia" w:ascii="Times New Roman" w:hAnsi="Times New Roman"/>
          <w:b/>
          <w:color w:val="auto"/>
          <w:sz w:val="24"/>
          <w:szCs w:val="24"/>
          <w:lang w:eastAsia="zh-CN"/>
        </w:rPr>
        <w:t>声明：注册于</w:t>
      </w:r>
      <w:r>
        <w:rPr>
          <w:rFonts w:ascii="Times New Roman" w:hAnsi="Times New Roman" w:cs="Times New Roman"/>
          <w:color w:val="auto"/>
          <w:sz w:val="24"/>
          <w:szCs w:val="24"/>
          <w:u w:val="single"/>
          <w:lang w:eastAsia="zh-CN"/>
        </w:rPr>
        <w:t>______</w:t>
      </w:r>
      <w:r>
        <w:rPr>
          <w:rFonts w:hint="eastAsia" w:ascii="Times New Roman" w:hAnsi="Times New Roman"/>
          <w:b/>
          <w:color w:val="auto"/>
          <w:sz w:val="24"/>
          <w:szCs w:val="24"/>
          <w:lang w:eastAsia="zh-CN"/>
        </w:rPr>
        <w:t>（国家或地区的名称）的</w:t>
      </w:r>
      <w:r>
        <w:rPr>
          <w:rFonts w:ascii="Times New Roman" w:hAnsi="Times New Roman" w:cs="Times New Roman"/>
          <w:color w:val="auto"/>
          <w:sz w:val="24"/>
          <w:szCs w:val="24"/>
          <w:u w:val="single"/>
          <w:lang w:eastAsia="zh-CN"/>
        </w:rPr>
        <w:t>_______________</w:t>
      </w:r>
      <w:r>
        <w:rPr>
          <w:rFonts w:hint="eastAsia" w:ascii="Times New Roman" w:hAnsi="Times New Roman"/>
          <w:b/>
          <w:color w:val="auto"/>
          <w:sz w:val="24"/>
          <w:szCs w:val="24"/>
          <w:lang w:eastAsia="zh-CN"/>
        </w:rPr>
        <w:t>（公司名称）的在下面签字或盖章的代表人代表本公司郑重声明：</w:t>
      </w:r>
    </w:p>
    <w:p>
      <w:pPr>
        <w:spacing w:before="360" w:beforeLines="150" w:line="360" w:lineRule="auto"/>
        <w:ind w:firstLine="482" w:firstLineChars="200"/>
        <w:rPr>
          <w:rFonts w:ascii="Times New Roman" w:hAnsi="Times New Roman"/>
          <w:b/>
          <w:color w:val="auto"/>
          <w:sz w:val="24"/>
          <w:szCs w:val="24"/>
          <w:lang w:eastAsia="zh-CN"/>
        </w:rPr>
      </w:pPr>
      <w:r>
        <w:rPr>
          <w:rFonts w:hint="eastAsia" w:ascii="Times New Roman" w:hAnsi="Times New Roman"/>
          <w:b/>
          <w:color w:val="auto"/>
          <w:sz w:val="24"/>
          <w:szCs w:val="24"/>
          <w:lang w:eastAsia="zh-CN"/>
        </w:rPr>
        <w:t>我公司在参加本次政府采购活动前三年内，在经营活动中没有重大违法记录（</w:t>
      </w:r>
      <w:r>
        <w:rPr>
          <w:rFonts w:hint="eastAsia" w:ascii="Times New Roman" w:hAnsi="Times New Roman"/>
          <w:color w:val="auto"/>
          <w:sz w:val="24"/>
          <w:szCs w:val="24"/>
          <w:lang w:eastAsia="zh-CN"/>
        </w:rPr>
        <w:t>没有受到刑事处罚或者责令停产停业、吊销许可证或者执照、较大数额罚款等行政处罚</w:t>
      </w:r>
      <w:r>
        <w:rPr>
          <w:rFonts w:hint="eastAsia" w:ascii="Times New Roman" w:hAnsi="Times New Roman"/>
          <w:b/>
          <w:color w:val="auto"/>
          <w:sz w:val="24"/>
          <w:szCs w:val="24"/>
          <w:lang w:eastAsia="zh-CN"/>
        </w:rPr>
        <w:t>）。</w:t>
      </w: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spacing w:before="8"/>
        <w:rPr>
          <w:rFonts w:ascii="Times New Roman" w:hAnsi="Times New Roman"/>
          <w:b/>
          <w:color w:val="auto"/>
          <w:lang w:eastAsia="zh-CN"/>
        </w:rPr>
      </w:pP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（盖章）</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投标人法定代表人或授权代表（签字或盖章）：</w:t>
      </w:r>
    </w:p>
    <w:p>
      <w:pPr>
        <w:pStyle w:val="12"/>
        <w:spacing w:line="360" w:lineRule="auto"/>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12"/>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rPr>
          <w:rFonts w:ascii="Times New Roman"/>
          <w:color w:val="auto"/>
        </w:rPr>
      </w:pPr>
      <w:r>
        <w:rPr>
          <w:rFonts w:hint="eastAsia" w:ascii="Times New Roman"/>
          <w:color w:val="auto"/>
        </w:rPr>
        <w:t>附件</w:t>
      </w:r>
      <w:r>
        <w:rPr>
          <w:rFonts w:ascii="Times New Roman"/>
          <w:color w:val="auto"/>
        </w:rPr>
        <w:t>11</w:t>
      </w:r>
      <w:r>
        <w:rPr>
          <w:rFonts w:hint="eastAsia" w:ascii="Times New Roman"/>
          <w:color w:val="auto"/>
        </w:rPr>
        <w:t>、具有履行合同所必需的设备和专业技术能力的声明</w:t>
      </w:r>
    </w:p>
    <w:p>
      <w:pPr>
        <w:spacing w:line="254" w:lineRule="auto"/>
        <w:ind w:left="217" w:right="668" w:firstLine="482"/>
        <w:rPr>
          <w:rFonts w:ascii="Times New Roman" w:hAnsi="Times New Roman"/>
          <w:b/>
          <w:color w:val="auto"/>
          <w:sz w:val="24"/>
          <w:szCs w:val="24"/>
          <w:lang w:eastAsia="zh-CN"/>
        </w:rPr>
      </w:pPr>
      <w:r>
        <w:rPr>
          <w:rFonts w:hint="eastAsia" w:ascii="Times New Roman" w:hAnsi="Times New Roman"/>
          <w:b/>
          <w:color w:val="auto"/>
          <w:sz w:val="24"/>
          <w:szCs w:val="24"/>
          <w:lang w:eastAsia="zh-CN"/>
        </w:rPr>
        <w:t>（自行编制）</w:t>
      </w: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spacing w:before="8"/>
        <w:rPr>
          <w:rFonts w:ascii="Times New Roman" w:hAnsi="Times New Roman"/>
          <w:b/>
          <w:color w:val="auto"/>
          <w:lang w:eastAsia="zh-CN"/>
        </w:rPr>
      </w:pP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（盖章）</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投标人法定代表人或授权代表（签字或盖章）：</w:t>
      </w:r>
    </w:p>
    <w:p>
      <w:pPr>
        <w:pStyle w:val="12"/>
        <w:spacing w:line="360" w:lineRule="auto"/>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12"/>
        <w:rPr>
          <w:color w:val="auto"/>
        </w:rPr>
      </w:pPr>
      <w:r>
        <w:rPr>
          <w:color w:val="auto"/>
        </w:rPr>
        <w:br w:type="page"/>
      </w:r>
      <w:r>
        <w:rPr>
          <w:rFonts w:hint="eastAsia"/>
          <w:b/>
          <w:color w:val="auto"/>
        </w:rPr>
        <w:t>附件12、其他</w:t>
      </w:r>
    </w:p>
    <w:p>
      <w:pPr>
        <w:spacing w:line="254" w:lineRule="auto"/>
        <w:ind w:left="217" w:right="668" w:firstLine="482"/>
        <w:rPr>
          <w:rFonts w:ascii="Times New Roman" w:hAnsi="Times New Roman"/>
          <w:b/>
          <w:color w:val="auto"/>
          <w:sz w:val="24"/>
          <w:szCs w:val="24"/>
          <w:lang w:eastAsia="zh-CN"/>
        </w:rPr>
      </w:pPr>
      <w:r>
        <w:rPr>
          <w:rFonts w:hint="eastAsia" w:ascii="Times New Roman" w:hAnsi="Times New Roman"/>
          <w:b/>
          <w:color w:val="auto"/>
          <w:sz w:val="24"/>
          <w:szCs w:val="24"/>
          <w:lang w:eastAsia="zh-CN"/>
        </w:rPr>
        <w:t>包括但不限于：</w:t>
      </w:r>
    </w:p>
    <w:p>
      <w:pPr>
        <w:spacing w:line="360" w:lineRule="auto"/>
        <w:ind w:right="668" w:firstLine="240" w:firstLineChars="100"/>
        <w:rPr>
          <w:rFonts w:ascii="Times New Roman" w:hAnsi="Times New Roman"/>
          <w:color w:val="auto"/>
          <w:sz w:val="24"/>
          <w:szCs w:val="24"/>
          <w:lang w:eastAsia="zh-CN"/>
        </w:rPr>
      </w:pPr>
      <w:r>
        <w:rPr>
          <w:rFonts w:ascii="Times New Roman" w:hAnsi="Times New Roman"/>
          <w:color w:val="auto"/>
          <w:sz w:val="24"/>
          <w:szCs w:val="24"/>
          <w:lang w:eastAsia="zh-CN"/>
        </w:rPr>
        <w:t>1</w:t>
      </w:r>
      <w:r>
        <w:rPr>
          <w:rFonts w:hint="eastAsia" w:ascii="Times New Roman" w:hAnsi="Times New Roman"/>
          <w:color w:val="auto"/>
          <w:sz w:val="24"/>
          <w:szCs w:val="24"/>
          <w:lang w:eastAsia="zh-CN"/>
        </w:rPr>
        <w:t>、资质证书（如有）；</w:t>
      </w:r>
    </w:p>
    <w:p>
      <w:pPr>
        <w:spacing w:line="360" w:lineRule="auto"/>
        <w:ind w:right="668" w:firstLine="220" w:firstLineChars="100"/>
        <w:rPr>
          <w:rFonts w:ascii="Times New Roman" w:hAnsi="Times New Roman"/>
          <w:color w:val="auto"/>
          <w:sz w:val="24"/>
          <w:szCs w:val="24"/>
          <w:lang w:eastAsia="zh-CN"/>
        </w:rPr>
      </w:pPr>
      <w:r>
        <w:rPr>
          <w:color w:val="auto"/>
          <w:lang w:eastAsia="zh-CN"/>
        </w:rPr>
        <w:drawing>
          <wp:anchor distT="0" distB="0" distL="114300" distR="114300" simplePos="0" relativeHeight="251660288" behindDoc="1" locked="0" layoutInCell="1" allowOverlap="1">
            <wp:simplePos x="0" y="0"/>
            <wp:positionH relativeFrom="column">
              <wp:posOffset>2590800</wp:posOffset>
            </wp:positionH>
            <wp:positionV relativeFrom="paragraph">
              <wp:posOffset>344805</wp:posOffset>
            </wp:positionV>
            <wp:extent cx="3192145" cy="2181225"/>
            <wp:effectExtent l="0" t="0" r="889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192037" cy="2181225"/>
                    </a:xfrm>
                    <a:prstGeom prst="rect">
                      <a:avLst/>
                    </a:prstGeom>
                  </pic:spPr>
                </pic:pic>
              </a:graphicData>
            </a:graphic>
          </wp:anchor>
        </w:drawing>
      </w:r>
      <w:r>
        <w:rPr>
          <w:rFonts w:hint="eastAsia" w:ascii="Times New Roman" w:hAnsi="Times New Roman"/>
          <w:color w:val="auto"/>
          <w:sz w:val="24"/>
          <w:szCs w:val="24"/>
          <w:lang w:eastAsia="zh-CN"/>
        </w:rPr>
        <w:drawing>
          <wp:anchor distT="0" distB="0" distL="114300" distR="114300" simplePos="0" relativeHeight="251658240" behindDoc="0" locked="0" layoutInCell="1" allowOverlap="1">
            <wp:simplePos x="0" y="0"/>
            <wp:positionH relativeFrom="column">
              <wp:posOffset>-766445</wp:posOffset>
            </wp:positionH>
            <wp:positionV relativeFrom="paragraph">
              <wp:posOffset>345440</wp:posOffset>
            </wp:positionV>
            <wp:extent cx="3133725" cy="2182495"/>
            <wp:effectExtent l="0" t="0" r="9525" b="8255"/>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33725" cy="2182495"/>
                    </a:xfrm>
                    <a:prstGeom prst="rect">
                      <a:avLst/>
                    </a:prstGeom>
                    <a:noFill/>
                    <a:ln>
                      <a:noFill/>
                    </a:ln>
                  </pic:spPr>
                </pic:pic>
              </a:graphicData>
            </a:graphic>
          </wp:anchor>
        </w:drawing>
      </w:r>
      <w:r>
        <w:rPr>
          <w:rFonts w:ascii="Times New Roman" w:hAnsi="Times New Roman"/>
          <w:color w:val="auto"/>
          <w:sz w:val="24"/>
          <w:szCs w:val="24"/>
          <w:lang w:eastAsia="zh-CN"/>
        </w:rPr>
        <w:t>2</w:t>
      </w:r>
      <w:r>
        <w:rPr>
          <w:rFonts w:hint="eastAsia" w:ascii="Times New Roman" w:hAnsi="Times New Roman"/>
          <w:color w:val="auto"/>
          <w:sz w:val="24"/>
          <w:szCs w:val="24"/>
          <w:lang w:eastAsia="zh-CN"/>
        </w:rPr>
        <w:t>、“信用中国”网站和中国政府采购网查询记录（下图仅供参考）</w:t>
      </w:r>
    </w:p>
    <w:p>
      <w:pPr>
        <w:spacing w:line="360" w:lineRule="auto"/>
        <w:ind w:right="668" w:firstLine="241" w:firstLineChars="100"/>
        <w:rPr>
          <w:rFonts w:ascii="Times New Roman" w:hAnsi="Times New Roman"/>
          <w:color w:val="auto"/>
          <w:sz w:val="24"/>
          <w:szCs w:val="24"/>
          <w:lang w:eastAsia="zh-CN"/>
        </w:rPr>
      </w:pPr>
      <w:r>
        <w:rPr>
          <w:rFonts w:ascii="Times New Roman" w:hAnsi="Times New Roman"/>
          <w:b/>
          <w:color w:val="auto"/>
          <w:sz w:val="24"/>
          <w:szCs w:val="24"/>
          <w:lang w:eastAsia="zh-CN"/>
        </w:rPr>
        <w:drawing>
          <wp:anchor distT="0" distB="0" distL="114300" distR="114300" simplePos="0" relativeHeight="251659264" behindDoc="0" locked="0" layoutInCell="1" allowOverlap="1">
            <wp:simplePos x="0" y="0"/>
            <wp:positionH relativeFrom="column">
              <wp:posOffset>838835</wp:posOffset>
            </wp:positionH>
            <wp:positionV relativeFrom="paragraph">
              <wp:posOffset>2449830</wp:posOffset>
            </wp:positionV>
            <wp:extent cx="3829050" cy="226695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3829050" cy="2266950"/>
                    </a:xfrm>
                    <a:prstGeom prst="rect">
                      <a:avLst/>
                    </a:prstGeom>
                    <a:noFill/>
                    <a:ln>
                      <a:noFill/>
                    </a:ln>
                  </pic:spPr>
                </pic:pic>
              </a:graphicData>
            </a:graphic>
          </wp:anchor>
        </w:drawing>
      </w:r>
    </w:p>
    <w:p>
      <w:pPr>
        <w:spacing w:line="360" w:lineRule="auto"/>
        <w:ind w:left="217" w:right="668"/>
        <w:rPr>
          <w:rFonts w:ascii="Times New Roman" w:hAnsi="Times New Roman"/>
          <w:color w:val="auto"/>
          <w:spacing w:val="-13"/>
          <w:sz w:val="24"/>
          <w:szCs w:val="24"/>
          <w:lang w:eastAsia="zh-CN"/>
        </w:rPr>
      </w:pPr>
      <w:r>
        <w:rPr>
          <w:rFonts w:ascii="Times New Roman" w:hAnsi="Times New Roman"/>
          <w:color w:val="auto"/>
          <w:sz w:val="24"/>
          <w:szCs w:val="24"/>
          <w:lang w:eastAsia="zh-CN"/>
        </w:rPr>
        <w:t>3</w:t>
      </w:r>
      <w:r>
        <w:rPr>
          <w:rFonts w:hint="eastAsia" w:ascii="Times New Roman" w:hAnsi="Times New Roman"/>
          <w:color w:val="auto"/>
          <w:sz w:val="24"/>
          <w:szCs w:val="24"/>
          <w:lang w:eastAsia="zh-CN"/>
        </w:rPr>
        <w:t>、单位负责人为同一人或者</w:t>
      </w:r>
      <w:r>
        <w:rPr>
          <w:rFonts w:hint="eastAsia" w:ascii="Times New Roman" w:hAnsi="Times New Roman"/>
          <w:color w:val="auto"/>
          <w:spacing w:val="-11"/>
          <w:sz w:val="24"/>
          <w:szCs w:val="24"/>
          <w:lang w:eastAsia="zh-CN"/>
        </w:rPr>
        <w:t>存在控股、管理关系的不同</w:t>
      </w:r>
      <w:r>
        <w:rPr>
          <w:rFonts w:hint="eastAsia" w:ascii="Times New Roman" w:hAnsi="Times New Roman"/>
          <w:color w:val="auto"/>
          <w:spacing w:val="-13"/>
          <w:sz w:val="24"/>
          <w:szCs w:val="24"/>
          <w:lang w:eastAsia="zh-CN"/>
        </w:rPr>
        <w:t>单位，不得同时参加本项目的投标声明。</w:t>
      </w:r>
    </w:p>
    <w:p>
      <w:pPr>
        <w:spacing w:line="360" w:lineRule="auto"/>
        <w:ind w:left="217" w:right="668"/>
        <w:rPr>
          <w:rFonts w:ascii="Times New Roman" w:hAnsi="Times New Roman"/>
          <w:color w:val="auto"/>
          <w:spacing w:val="-10"/>
          <w:sz w:val="24"/>
          <w:szCs w:val="24"/>
          <w:lang w:eastAsia="zh-CN"/>
        </w:rPr>
      </w:pPr>
      <w:r>
        <w:rPr>
          <w:rFonts w:ascii="Times New Roman" w:hAnsi="Times New Roman"/>
          <w:color w:val="auto"/>
          <w:spacing w:val="-13"/>
          <w:sz w:val="24"/>
          <w:szCs w:val="24"/>
          <w:lang w:eastAsia="zh-CN"/>
        </w:rPr>
        <w:t>4</w:t>
      </w:r>
      <w:r>
        <w:rPr>
          <w:rFonts w:hint="eastAsia" w:ascii="Times New Roman" w:hAnsi="Times New Roman"/>
          <w:color w:val="auto"/>
          <w:spacing w:val="-13"/>
          <w:sz w:val="24"/>
          <w:szCs w:val="24"/>
          <w:lang w:eastAsia="zh-CN"/>
        </w:rPr>
        <w:t>、</w:t>
      </w:r>
      <w:r>
        <w:rPr>
          <w:rFonts w:hint="eastAsia" w:ascii="Times New Roman" w:hAnsi="Times New Roman"/>
          <w:color w:val="auto"/>
          <w:spacing w:val="-10"/>
          <w:sz w:val="24"/>
          <w:szCs w:val="24"/>
          <w:lang w:eastAsia="zh-CN"/>
        </w:rPr>
        <w:t>为本项目提供整体设计、规范编制或者项目管理、监理、检测、咨询等服务的声明或承诺。</w:t>
      </w:r>
    </w:p>
    <w:p>
      <w:pPr>
        <w:spacing w:line="360" w:lineRule="auto"/>
        <w:ind w:left="217" w:right="668"/>
        <w:rPr>
          <w:rFonts w:ascii="Times New Roman" w:hAnsi="Times New Roman"/>
          <w:color w:val="auto"/>
          <w:spacing w:val="-13"/>
          <w:sz w:val="24"/>
          <w:szCs w:val="24"/>
          <w:lang w:eastAsia="zh-CN"/>
        </w:rPr>
      </w:pPr>
      <w:r>
        <w:rPr>
          <w:rFonts w:ascii="Times New Roman" w:hAnsi="Times New Roman"/>
          <w:color w:val="auto"/>
          <w:spacing w:val="-10"/>
          <w:sz w:val="24"/>
          <w:szCs w:val="24"/>
          <w:lang w:eastAsia="zh-CN"/>
        </w:rPr>
        <w:t>5</w:t>
      </w:r>
      <w:r>
        <w:rPr>
          <w:rFonts w:hint="eastAsia" w:ascii="Times New Roman" w:hAnsi="Times New Roman"/>
          <w:color w:val="auto"/>
          <w:spacing w:val="-10"/>
          <w:sz w:val="24"/>
          <w:szCs w:val="24"/>
          <w:lang w:eastAsia="zh-CN"/>
        </w:rPr>
        <w:t>、法律、行政法规规定的其他条件。</w:t>
      </w:r>
    </w:p>
    <w:p>
      <w:pPr>
        <w:spacing w:line="360" w:lineRule="auto"/>
        <w:ind w:left="217" w:right="668" w:firstLine="482" w:firstLineChars="200"/>
        <w:rPr>
          <w:rFonts w:ascii="Times New Roman" w:hAnsi="Times New Roman"/>
          <w:b/>
          <w:color w:val="auto"/>
          <w:sz w:val="24"/>
          <w:szCs w:val="24"/>
          <w:lang w:eastAsia="zh-CN"/>
        </w:rPr>
      </w:pPr>
      <w:r>
        <w:rPr>
          <w:rFonts w:ascii="Times New Roman" w:hAnsi="Times New Roman"/>
          <w:b/>
          <w:color w:val="auto"/>
          <w:sz w:val="24"/>
          <w:szCs w:val="24"/>
          <w:lang w:eastAsia="zh-CN"/>
        </w:rPr>
        <w:t>………………………………</w:t>
      </w:r>
    </w:p>
    <w:p>
      <w:pPr>
        <w:spacing w:line="254" w:lineRule="auto"/>
        <w:ind w:left="217" w:right="668" w:firstLine="3132" w:firstLineChars="1300"/>
        <w:rPr>
          <w:rFonts w:ascii="Times New Roman" w:hAnsi="Times New Roman"/>
          <w:b/>
          <w:color w:val="auto"/>
          <w:sz w:val="24"/>
          <w:szCs w:val="24"/>
          <w:lang w:eastAsia="zh-CN"/>
        </w:rPr>
      </w:pPr>
      <w:r>
        <w:rPr>
          <w:rFonts w:hint="eastAsia" w:ascii="Times New Roman" w:hAnsi="Times New Roman"/>
          <w:b/>
          <w:color w:val="auto"/>
          <w:sz w:val="24"/>
          <w:szCs w:val="24"/>
          <w:lang w:eastAsia="zh-CN"/>
        </w:rPr>
        <w:t>（自行编制）</w:t>
      </w:r>
    </w:p>
    <w:p>
      <w:pPr>
        <w:spacing w:line="362" w:lineRule="exact"/>
        <w:ind w:left="217"/>
        <w:rPr>
          <w:rFonts w:ascii="Times New Roman" w:hAnsi="Times New Roman"/>
          <w:b/>
          <w:color w:val="auto"/>
          <w:sz w:val="24"/>
          <w:szCs w:val="24"/>
          <w:lang w:eastAsia="zh-CN"/>
        </w:rPr>
      </w:pPr>
    </w:p>
    <w:p>
      <w:pPr>
        <w:spacing w:line="362" w:lineRule="exact"/>
        <w:ind w:left="217"/>
        <w:rPr>
          <w:rFonts w:ascii="Times New Roman" w:hAnsi="Times New Roman"/>
          <w:b/>
          <w:color w:val="auto"/>
          <w:sz w:val="24"/>
          <w:szCs w:val="24"/>
          <w:lang w:eastAsia="zh-CN"/>
        </w:rPr>
      </w:pPr>
    </w:p>
    <w:p>
      <w:pPr>
        <w:pStyle w:val="12"/>
        <w:spacing w:before="6"/>
        <w:rPr>
          <w:rFonts w:ascii="Times New Roman" w:hAnsi="Times New Roman"/>
          <w:color w:val="auto"/>
          <w:lang w:eastAsia="zh-CN"/>
        </w:rPr>
      </w:pPr>
      <w:r>
        <w:rPr>
          <w:rFonts w:ascii="Times New Roman" w:hAnsi="Times New Roman"/>
          <w:color w:val="auto"/>
          <w:lang w:eastAsia="zh-CN"/>
        </w:rPr>
        <w:br w:type="page"/>
      </w:r>
    </w:p>
    <w:p>
      <w:pPr>
        <w:pStyle w:val="12"/>
        <w:rPr>
          <w:rFonts w:ascii="Times New Roman" w:hAnsi="Times New Roman"/>
          <w:color w:val="auto"/>
          <w:lang w:eastAsia="zh-CN"/>
        </w:rPr>
      </w:pPr>
    </w:p>
    <w:p>
      <w:pPr>
        <w:pStyle w:val="4"/>
        <w:keepNext w:val="0"/>
        <w:keepLines w:val="0"/>
        <w:rPr>
          <w:rFonts w:ascii="Times New Roman" w:hAnsi="Times New Roman"/>
          <w:color w:val="auto"/>
        </w:rPr>
      </w:pPr>
      <w:bookmarkStart w:id="435" w:name="_Toc522884081"/>
      <w:bookmarkStart w:id="436" w:name="_Toc519721512"/>
      <w:r>
        <w:rPr>
          <w:rFonts w:hint="eastAsia" w:ascii="Times New Roman" w:hAnsi="Times New Roman"/>
          <w:color w:val="auto"/>
        </w:rPr>
        <w:t>二、商务技术报价</w:t>
      </w:r>
      <w:bookmarkEnd w:id="435"/>
      <w:bookmarkEnd w:id="436"/>
    </w:p>
    <w:p>
      <w:pPr>
        <w:pStyle w:val="5"/>
        <w:keepNext w:val="0"/>
        <w:keepLines w:val="0"/>
        <w:jc w:val="center"/>
        <w:rPr>
          <w:rFonts w:ascii="Times New Roman"/>
          <w:color w:val="auto"/>
        </w:rPr>
      </w:pPr>
      <w:bookmarkStart w:id="437" w:name="_Toc522884082"/>
      <w:r>
        <w:rPr>
          <w:rFonts w:hint="eastAsia" w:ascii="Times New Roman"/>
          <w:color w:val="auto"/>
        </w:rPr>
        <w:t>目录</w:t>
      </w:r>
      <w:bookmarkEnd w:id="437"/>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1</w:t>
      </w:r>
      <w:r>
        <w:rPr>
          <w:rFonts w:hint="eastAsia" w:ascii="Times New Roman" w:hAnsi="Times New Roman"/>
          <w:color w:val="auto"/>
          <w:sz w:val="24"/>
          <w:szCs w:val="24"/>
          <w:lang w:eastAsia="zh-CN"/>
        </w:rPr>
        <w:t>、投标函</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2</w:t>
      </w:r>
      <w:r>
        <w:rPr>
          <w:rFonts w:hint="eastAsia" w:ascii="Times New Roman" w:hAnsi="Times New Roman"/>
          <w:color w:val="auto"/>
          <w:sz w:val="24"/>
          <w:szCs w:val="24"/>
          <w:lang w:eastAsia="zh-CN"/>
        </w:rPr>
        <w:t>、开标一览表</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3</w:t>
      </w:r>
      <w:r>
        <w:rPr>
          <w:rFonts w:hint="eastAsia" w:ascii="Times New Roman" w:hAnsi="Times New Roman"/>
          <w:color w:val="auto"/>
          <w:sz w:val="24"/>
          <w:szCs w:val="24"/>
          <w:lang w:eastAsia="zh-CN"/>
        </w:rPr>
        <w:t>、投标分项报价表</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4</w:t>
      </w:r>
      <w:r>
        <w:rPr>
          <w:rFonts w:hint="eastAsia" w:ascii="Times New Roman" w:hAnsi="Times New Roman"/>
          <w:color w:val="auto"/>
          <w:sz w:val="24"/>
          <w:szCs w:val="24"/>
          <w:lang w:eastAsia="zh-CN"/>
        </w:rPr>
        <w:t>、商务条款偏离表</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5</w:t>
      </w:r>
      <w:r>
        <w:rPr>
          <w:rFonts w:hint="eastAsia" w:ascii="Times New Roman" w:hAnsi="Times New Roman"/>
          <w:color w:val="auto"/>
          <w:sz w:val="24"/>
          <w:szCs w:val="24"/>
          <w:lang w:eastAsia="zh-CN"/>
        </w:rPr>
        <w:t>、拟投入本项目团队人员汇总表</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6</w:t>
      </w:r>
      <w:r>
        <w:rPr>
          <w:rFonts w:hint="eastAsia" w:ascii="Times New Roman" w:hAnsi="Times New Roman"/>
          <w:color w:val="auto"/>
          <w:sz w:val="24"/>
          <w:szCs w:val="24"/>
          <w:lang w:eastAsia="zh-CN"/>
        </w:rPr>
        <w:t>、主要项目管理人员简历表</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7</w:t>
      </w:r>
      <w:r>
        <w:rPr>
          <w:rFonts w:hint="eastAsia" w:ascii="Times New Roman" w:hAnsi="Times New Roman"/>
          <w:color w:val="auto"/>
          <w:sz w:val="24"/>
          <w:szCs w:val="24"/>
          <w:lang w:eastAsia="zh-CN"/>
        </w:rPr>
        <w:t>、业绩证明文件</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8</w:t>
      </w:r>
      <w:r>
        <w:rPr>
          <w:rFonts w:hint="eastAsia" w:ascii="Times New Roman" w:hAnsi="Times New Roman"/>
          <w:color w:val="auto"/>
          <w:sz w:val="24"/>
          <w:szCs w:val="24"/>
          <w:lang w:eastAsia="zh-CN"/>
        </w:rPr>
        <w:t>、中小企业声明函（原件，中小企业参加投标的）</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9</w:t>
      </w:r>
      <w:r>
        <w:rPr>
          <w:rFonts w:hint="eastAsia" w:ascii="Times New Roman" w:hAnsi="Times New Roman"/>
          <w:color w:val="auto"/>
          <w:sz w:val="24"/>
          <w:szCs w:val="24"/>
          <w:lang w:eastAsia="zh-CN"/>
        </w:rPr>
        <w:t>、监狱企业证明材料（监狱企业参加的）</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10</w:t>
      </w:r>
      <w:r>
        <w:rPr>
          <w:rFonts w:hint="eastAsia" w:ascii="Times New Roman" w:hAnsi="Times New Roman"/>
          <w:color w:val="auto"/>
          <w:sz w:val="24"/>
          <w:szCs w:val="24"/>
          <w:lang w:eastAsia="zh-CN"/>
        </w:rPr>
        <w:t>、残疾人福利性单位证明材料（残疾人福利性单位参加的）</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11</w:t>
      </w:r>
      <w:r>
        <w:rPr>
          <w:rFonts w:hint="eastAsia" w:ascii="Times New Roman" w:hAnsi="Times New Roman"/>
          <w:color w:val="auto"/>
          <w:sz w:val="24"/>
          <w:szCs w:val="24"/>
          <w:lang w:eastAsia="zh-CN"/>
        </w:rPr>
        <w:t>、服务工作方案</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12</w:t>
      </w:r>
      <w:r>
        <w:rPr>
          <w:rFonts w:hint="eastAsia" w:ascii="Times New Roman" w:hAnsi="Times New Roman"/>
          <w:color w:val="auto"/>
          <w:sz w:val="24"/>
          <w:szCs w:val="24"/>
          <w:lang w:eastAsia="zh-CN"/>
        </w:rPr>
        <w:t>、服务承诺书（自行提供）</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13</w:t>
      </w:r>
      <w:r>
        <w:rPr>
          <w:rFonts w:hint="eastAsia" w:ascii="Times New Roman" w:hAnsi="Times New Roman"/>
          <w:color w:val="auto"/>
          <w:sz w:val="24"/>
          <w:szCs w:val="24"/>
          <w:lang w:eastAsia="zh-CN"/>
        </w:rPr>
        <w:t>、中标服务费承诺书</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14</w:t>
      </w:r>
      <w:r>
        <w:rPr>
          <w:rFonts w:hint="eastAsia" w:ascii="Times New Roman" w:hAnsi="Times New Roman"/>
          <w:color w:val="auto"/>
          <w:sz w:val="24"/>
          <w:szCs w:val="24"/>
          <w:lang w:eastAsia="zh-CN"/>
        </w:rPr>
        <w:t>、履约保证金保函格式（中标后开具）</w:t>
      </w:r>
      <w:r>
        <w:rPr>
          <w:rFonts w:hint="eastAsia"/>
          <w:color w:val="auto"/>
          <w:lang w:eastAsia="zh-CN"/>
        </w:rPr>
        <w:t>（不适用）</w:t>
      </w:r>
    </w:p>
    <w:p>
      <w:pPr>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附件</w:t>
      </w:r>
      <w:r>
        <w:rPr>
          <w:rFonts w:ascii="Times New Roman" w:hAnsi="Times New Roman"/>
          <w:color w:val="auto"/>
          <w:sz w:val="24"/>
          <w:szCs w:val="24"/>
          <w:lang w:eastAsia="zh-CN"/>
        </w:rPr>
        <w:t>15</w:t>
      </w:r>
      <w:r>
        <w:rPr>
          <w:rFonts w:hint="eastAsia" w:ascii="Times New Roman" w:hAnsi="Times New Roman"/>
          <w:color w:val="auto"/>
          <w:sz w:val="24"/>
          <w:szCs w:val="24"/>
          <w:lang w:eastAsia="zh-CN"/>
        </w:rPr>
        <w:t>、投标人认为必要的辅助资料（如有）</w:t>
      </w:r>
    </w:p>
    <w:p>
      <w:pPr>
        <w:spacing w:line="360" w:lineRule="auto"/>
        <w:rPr>
          <w:rFonts w:ascii="Times New Roman" w:hAnsi="Times New Roman"/>
          <w:color w:val="auto"/>
          <w:sz w:val="24"/>
          <w:szCs w:val="24"/>
          <w:lang w:eastAsia="zh-CN"/>
        </w:rPr>
      </w:pPr>
    </w:p>
    <w:p>
      <w:pPr>
        <w:pStyle w:val="12"/>
        <w:spacing w:before="104"/>
        <w:rPr>
          <w:rFonts w:ascii="Times New Roman" w:hAnsi="Times New Roman"/>
          <w:color w:val="auto"/>
          <w:lang w:eastAsia="zh-CN"/>
        </w:rPr>
      </w:pPr>
    </w:p>
    <w:p>
      <w:pPr>
        <w:pStyle w:val="5"/>
        <w:keepNext w:val="0"/>
        <w:keepLines w:val="0"/>
        <w:spacing w:before="0" w:after="0" w:line="360" w:lineRule="auto"/>
        <w:rPr>
          <w:rFonts w:ascii="Times New Roman"/>
          <w:color w:val="auto"/>
        </w:rPr>
      </w:pPr>
      <w:r>
        <w:rPr>
          <w:rFonts w:ascii="Times New Roman"/>
          <w:color w:val="auto"/>
        </w:rPr>
        <w:br w:type="page"/>
      </w:r>
      <w:r>
        <w:rPr>
          <w:rFonts w:hint="eastAsia" w:ascii="Times New Roman"/>
          <w:color w:val="auto"/>
          <w:spacing w:val="10"/>
        </w:rPr>
        <w:t>附件</w:t>
      </w:r>
      <w:r>
        <w:rPr>
          <w:rFonts w:ascii="Times New Roman"/>
          <w:color w:val="auto"/>
          <w:spacing w:val="10"/>
        </w:rPr>
        <w:t>1</w:t>
      </w:r>
      <w:r>
        <w:rPr>
          <w:rFonts w:hint="eastAsia" w:ascii="Times New Roman"/>
          <w:color w:val="auto"/>
          <w:spacing w:val="10"/>
        </w:rPr>
        <w:t>、</w:t>
      </w:r>
      <w:r>
        <w:rPr>
          <w:rFonts w:hint="eastAsia" w:ascii="Times New Roman"/>
          <w:color w:val="auto"/>
        </w:rPr>
        <w:t>投标函</w:t>
      </w:r>
    </w:p>
    <w:p>
      <w:pPr>
        <w:tabs>
          <w:tab w:val="left" w:pos="1119"/>
        </w:tabs>
        <w:spacing w:before="240" w:beforeLines="100" w:after="240" w:afterLines="100" w:line="360" w:lineRule="auto"/>
        <w:jc w:val="center"/>
        <w:rPr>
          <w:rFonts w:ascii="Times New Roman" w:hAnsi="Times New Roman"/>
          <w:b/>
          <w:color w:val="auto"/>
          <w:sz w:val="24"/>
          <w:szCs w:val="24"/>
          <w:lang w:eastAsia="zh-CN"/>
        </w:rPr>
      </w:pPr>
      <w:r>
        <w:rPr>
          <w:rFonts w:hint="eastAsia" w:ascii="Times New Roman" w:hAnsi="Times New Roman"/>
          <w:b/>
          <w:color w:val="auto"/>
          <w:sz w:val="24"/>
          <w:szCs w:val="24"/>
          <w:lang w:eastAsia="zh-CN"/>
        </w:rPr>
        <w:t>投标函</w:t>
      </w:r>
    </w:p>
    <w:p>
      <w:pPr>
        <w:tabs>
          <w:tab w:val="left" w:pos="1119"/>
        </w:tabs>
        <w:spacing w:line="360" w:lineRule="auto"/>
        <w:rPr>
          <w:rFonts w:ascii="Times New Roman" w:hAnsi="Times New Roman"/>
          <w:color w:val="auto"/>
          <w:sz w:val="24"/>
          <w:szCs w:val="24"/>
          <w:lang w:eastAsia="zh-CN"/>
        </w:rPr>
      </w:pPr>
      <w:r>
        <w:rPr>
          <w:rFonts w:hint="eastAsia" w:ascii="Times New Roman" w:hAnsi="Times New Roman"/>
          <w:color w:val="auto"/>
          <w:sz w:val="24"/>
          <w:szCs w:val="24"/>
          <w:lang w:eastAsia="zh-CN"/>
        </w:rPr>
        <w:t>致</w:t>
      </w:r>
      <w:r>
        <w:rPr>
          <w:rFonts w:hint="eastAsia" w:ascii="Times New Roman" w:hAnsi="Times New Roman"/>
          <w:color w:val="auto"/>
          <w:spacing w:val="-120"/>
          <w:sz w:val="24"/>
          <w:szCs w:val="24"/>
          <w:lang w:eastAsia="zh-CN"/>
        </w:rPr>
        <w:t>：</w:t>
      </w:r>
      <w:r>
        <w:rPr>
          <w:rFonts w:ascii="Times New Roman" w:hAnsi="Times New Roman" w:cs="Times New Roman"/>
          <w:color w:val="auto"/>
          <w:sz w:val="24"/>
          <w:szCs w:val="24"/>
          <w:u w:val="single"/>
          <w:lang w:eastAsia="zh-CN"/>
        </w:rPr>
        <w:t>______</w:t>
      </w:r>
      <w:r>
        <w:rPr>
          <w:rFonts w:hint="eastAsia" w:ascii="Times New Roman" w:hAnsi="Times New Roman"/>
          <w:color w:val="auto"/>
          <w:sz w:val="24"/>
          <w:szCs w:val="24"/>
          <w:lang w:eastAsia="zh-CN"/>
        </w:rPr>
        <w:t>（采购人</w:t>
      </w:r>
      <w:r>
        <w:rPr>
          <w:rFonts w:ascii="Times New Roman" w:hAnsi="Times New Roman"/>
          <w:color w:val="auto"/>
          <w:sz w:val="24"/>
          <w:szCs w:val="24"/>
          <w:lang w:eastAsia="zh-CN"/>
        </w:rPr>
        <w:t>/</w:t>
      </w:r>
      <w:r>
        <w:rPr>
          <w:rFonts w:hint="eastAsia" w:ascii="Times New Roman" w:hAnsi="Times New Roman"/>
          <w:color w:val="auto"/>
          <w:sz w:val="24"/>
          <w:szCs w:val="24"/>
          <w:lang w:eastAsia="zh-CN"/>
        </w:rPr>
        <w:t>采购代理机构）</w:t>
      </w:r>
    </w:p>
    <w:p>
      <w:pPr>
        <w:spacing w:line="360" w:lineRule="auto"/>
        <w:ind w:firstLine="480" w:firstLineChars="200"/>
        <w:rPr>
          <w:rFonts w:cs="微软雅黑" w:asciiTheme="minorEastAsia" w:hAnsiTheme="minorEastAsia" w:eastAsiaTheme="minorEastAsia"/>
          <w:b/>
          <w:color w:val="auto"/>
          <w:sz w:val="24"/>
          <w:szCs w:val="24"/>
          <w:lang w:eastAsia="zh-CN"/>
        </w:rPr>
      </w:pPr>
      <w:r>
        <w:rPr>
          <w:rFonts w:hint="eastAsia" w:cs="微软雅黑" w:asciiTheme="minorEastAsia" w:hAnsiTheme="minorEastAsia" w:eastAsiaTheme="minorEastAsia"/>
          <w:bCs/>
          <w:color w:val="auto"/>
          <w:sz w:val="24"/>
          <w:szCs w:val="24"/>
          <w:lang w:eastAsia="zh-CN"/>
        </w:rPr>
        <w:t>我方参加贵方组织的</w:t>
      </w:r>
      <w:r>
        <w:rPr>
          <w:rFonts w:ascii="Times New Roman" w:hAnsi="Times New Roman" w:cs="Times New Roman"/>
          <w:color w:val="auto"/>
          <w:sz w:val="24"/>
          <w:szCs w:val="24"/>
          <w:u w:val="single"/>
          <w:lang w:eastAsia="zh-CN"/>
        </w:rPr>
        <w:t>_________</w:t>
      </w:r>
      <w:r>
        <w:rPr>
          <w:rFonts w:cs="微软雅黑" w:asciiTheme="minorEastAsia" w:hAnsiTheme="minorEastAsia" w:eastAsiaTheme="minorEastAsia"/>
          <w:color w:val="auto"/>
          <w:sz w:val="24"/>
          <w:szCs w:val="24"/>
          <w:lang w:eastAsia="zh-CN"/>
        </w:rPr>
        <w:t xml:space="preserve"> (招标编号)、</w:t>
      </w:r>
      <w:r>
        <w:rPr>
          <w:rFonts w:ascii="Times New Roman" w:hAnsi="Times New Roman" w:cs="Times New Roman"/>
          <w:color w:val="auto"/>
          <w:sz w:val="24"/>
          <w:szCs w:val="24"/>
          <w:u w:val="single"/>
          <w:lang w:eastAsia="zh-CN"/>
        </w:rPr>
        <w:t>_________</w:t>
      </w:r>
      <w:r>
        <w:rPr>
          <w:rFonts w:cs="微软雅黑" w:asciiTheme="minorEastAsia" w:hAnsiTheme="minorEastAsia" w:eastAsiaTheme="minorEastAsia"/>
          <w:color w:val="auto"/>
          <w:sz w:val="24"/>
          <w:szCs w:val="24"/>
          <w:lang w:eastAsia="zh-CN"/>
        </w:rPr>
        <w:t xml:space="preserve"> (项目名称)</w:t>
      </w:r>
      <w:r>
        <w:rPr>
          <w:rFonts w:hint="eastAsia" w:cs="微软雅黑" w:asciiTheme="minorEastAsia" w:hAnsiTheme="minorEastAsia" w:eastAsiaTheme="minorEastAsia"/>
          <w:bCs/>
          <w:color w:val="auto"/>
          <w:sz w:val="24"/>
          <w:szCs w:val="24"/>
          <w:lang w:eastAsia="zh-CN"/>
        </w:rPr>
        <w:t>招标的有关活动，并对此项目进行投标。为此，我方承诺如下</w:t>
      </w:r>
      <w:r>
        <w:rPr>
          <w:rFonts w:hint="eastAsia" w:cs="微软雅黑" w:asciiTheme="minorEastAsia" w:hAnsiTheme="minorEastAsia" w:eastAsiaTheme="minorEastAsia"/>
          <w:b/>
          <w:color w:val="auto"/>
          <w:sz w:val="24"/>
          <w:szCs w:val="24"/>
          <w:lang w:eastAsia="zh-CN"/>
        </w:rPr>
        <w:t>：</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cs="微软雅黑" w:asciiTheme="minorEastAsia" w:hAnsiTheme="minorEastAsia" w:eastAsiaTheme="minorEastAsia"/>
          <w:color w:val="auto"/>
          <w:sz w:val="24"/>
          <w:szCs w:val="24"/>
        </w:rPr>
        <w:t>我方已详细审查全部招标文件，包括第</w:t>
      </w:r>
      <w:r>
        <w:rPr>
          <w:rFonts w:ascii="Times New Roman" w:hAnsi="Times New Roman"/>
          <w:color w:val="auto"/>
          <w:sz w:val="24"/>
          <w:szCs w:val="24"/>
          <w:u w:val="single"/>
        </w:rPr>
        <w:t>___</w:t>
      </w:r>
      <w:r>
        <w:rPr>
          <w:rFonts w:cs="微软雅黑" w:asciiTheme="minorEastAsia" w:hAnsiTheme="minorEastAsia" w:eastAsiaTheme="minorEastAsia"/>
          <w:color w:val="auto"/>
          <w:sz w:val="24"/>
          <w:szCs w:val="24"/>
        </w:rPr>
        <w:t>号（招标编号）补充通知（如有）。我们完全理解并同意放弃对这方面有不明及误解的权力。</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同意在本项目招标文件中规定的投标有效期</w:t>
      </w:r>
      <w:r>
        <w:rPr>
          <w:rFonts w:cs="微软雅黑" w:asciiTheme="minorEastAsia" w:hAnsiTheme="minorEastAsia" w:eastAsiaTheme="minorEastAsia"/>
          <w:color w:val="auto"/>
          <w:sz w:val="24"/>
          <w:szCs w:val="24"/>
          <w:u w:val="single" w:color="585858"/>
        </w:rPr>
        <w:t xml:space="preserve">     </w:t>
      </w:r>
      <w:r>
        <w:rPr>
          <w:rFonts w:hint="eastAsia" w:cs="微软雅黑" w:asciiTheme="minorEastAsia" w:hAnsiTheme="minorEastAsia" w:eastAsiaTheme="minorEastAsia"/>
          <w:color w:val="auto"/>
          <w:sz w:val="24"/>
          <w:szCs w:val="24"/>
        </w:rPr>
        <w:t>日历天内遵守本投标文件中的承诺且在此期限期满之前均具有约束力。</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提供招标文件规定的全部投标文件。</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在充分研究招标文件的全部内容后，我方滋以</w:t>
      </w:r>
      <w:r>
        <w:rPr>
          <w:rFonts w:cs="微软雅黑" w:asciiTheme="minorEastAsia" w:hAnsiTheme="minorEastAsia" w:eastAsiaTheme="minorEastAsia"/>
          <w:color w:val="auto"/>
          <w:sz w:val="24"/>
          <w:szCs w:val="24"/>
        </w:rPr>
        <w:t>人民币</w:t>
      </w:r>
      <w:r>
        <w:rPr>
          <w:rFonts w:hint="eastAsia" w:cs="微软雅黑" w:asciiTheme="minorEastAsia" w:hAnsiTheme="minorEastAsia" w:eastAsiaTheme="minorEastAsia"/>
          <w:color w:val="auto"/>
          <w:sz w:val="24"/>
          <w:szCs w:val="24"/>
        </w:rPr>
        <w:t>（大写）：</w:t>
      </w:r>
      <w:r>
        <w:rPr>
          <w:rFonts w:ascii="Times New Roman" w:hAnsi="Times New Roman" w:eastAsiaTheme="minorEastAsia"/>
          <w:color w:val="auto"/>
          <w:sz w:val="24"/>
          <w:szCs w:val="24"/>
          <w:u w:val="single"/>
        </w:rPr>
        <w:t>____________</w:t>
      </w:r>
      <w:r>
        <w:rPr>
          <w:rFonts w:hint="eastAsia" w:cs="微软雅黑" w:asciiTheme="minorEastAsia" w:hAnsiTheme="minorEastAsia" w:eastAsiaTheme="minorEastAsia"/>
          <w:color w:val="auto"/>
          <w:sz w:val="24"/>
          <w:szCs w:val="24"/>
        </w:rPr>
        <w:t>，</w:t>
      </w:r>
      <w:r>
        <w:rPr>
          <w:rFonts w:cs="微软雅黑" w:asciiTheme="minorEastAsia" w:hAnsiTheme="minorEastAsia" w:eastAsiaTheme="minorEastAsia"/>
          <w:color w:val="auto"/>
          <w:sz w:val="24"/>
          <w:szCs w:val="24"/>
        </w:rPr>
        <w:t>RMB￥：</w:t>
      </w:r>
      <w:r>
        <w:rPr>
          <w:rFonts w:ascii="Times New Roman" w:hAnsi="Times New Roman"/>
          <w:color w:val="auto"/>
          <w:sz w:val="24"/>
          <w:szCs w:val="24"/>
          <w:u w:val="single"/>
        </w:rPr>
        <w:t>_________</w:t>
      </w:r>
      <w:r>
        <w:rPr>
          <w:rFonts w:hint="eastAsia" w:cs="微软雅黑" w:asciiTheme="minorEastAsia" w:hAnsiTheme="minorEastAsia" w:eastAsiaTheme="minorEastAsia"/>
          <w:color w:val="auto"/>
          <w:sz w:val="24"/>
          <w:szCs w:val="24"/>
        </w:rPr>
        <w:t>元，并在</w:t>
      </w:r>
      <w:r>
        <w:rPr>
          <w:rFonts w:ascii="Times New Roman" w:hAnsi="Times New Roman" w:eastAsiaTheme="minorEastAsia"/>
          <w:color w:val="auto"/>
          <w:sz w:val="24"/>
          <w:szCs w:val="24"/>
          <w:u w:val="single"/>
        </w:rPr>
        <w:t>___</w:t>
      </w:r>
      <w:r>
        <w:rPr>
          <w:rFonts w:hint="eastAsia" w:cs="微软雅黑" w:asciiTheme="minorEastAsia" w:hAnsiTheme="minorEastAsia" w:eastAsiaTheme="minorEastAsia"/>
          <w:color w:val="auto"/>
          <w:sz w:val="24"/>
          <w:szCs w:val="24"/>
        </w:rPr>
        <w:t>天的服务期内，按照招标文件的要求提供服务。投标报价详见开标一览表。</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完全理解投标报价超过预算金额或最高限价时，投标无效。</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保证忠实地执行双方所签订的合同，并承担合同规定的责任和义务。</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完全理解招标文件中的各项商务和技术要求，若有偏差，已在投标文件商务条款偏离表中予以明确特别说明。</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完全理解贵方不一定接受最低价的投标或收到的任何投标。</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愿意向贵方提供任何与本项投标有关的数据、情况和技术资料。若贵方需要，我方愿意提供我方作出的一切承诺的证明材料。</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我方已详细审核全部投标文件，包括投标文件修改书（如有的话）、参考资料及有关附件，确认无误。</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采购人若需追加采购本项目招标文件所列相关服务的，在不改变合同其他实质性条款的前提下，按相同或更优惠的取费标准（具体详见服务承诺书）提供相关服务。</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接受招标文件中合同章节的全部条款且无任何异议。</w:t>
      </w:r>
    </w:p>
    <w:p>
      <w:pPr>
        <w:pStyle w:val="62"/>
        <w:widowControl w:val="0"/>
        <w:numPr>
          <w:ilvl w:val="0"/>
          <w:numId w:val="26"/>
        </w:numPr>
        <w:adjustRightInd w:val="0"/>
        <w:spacing w:line="360" w:lineRule="auto"/>
        <w:ind w:firstLineChars="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严格遵守《中华人民共和国政府采购法》的有关规定，若有下列情形之一的，被处以采购金额</w:t>
      </w:r>
      <w:r>
        <w:rPr>
          <w:rFonts w:cs="微软雅黑" w:asciiTheme="minorEastAsia" w:hAnsiTheme="minorEastAsia" w:eastAsiaTheme="minorEastAsia"/>
          <w:color w:val="auto"/>
          <w:sz w:val="24"/>
          <w:szCs w:val="24"/>
        </w:rPr>
        <w:t>5‰以上10‰以下的罚款，列入不良行为记录名单，在一至</w:t>
      </w:r>
      <w:r>
        <w:rPr>
          <w:rFonts w:hint="eastAsia" w:cs="微软雅黑" w:asciiTheme="minorEastAsia" w:hAnsiTheme="minorEastAsia" w:eastAsiaTheme="minorEastAsia"/>
          <w:color w:val="auto"/>
          <w:sz w:val="24"/>
          <w:szCs w:val="24"/>
        </w:rPr>
        <w:t>三年内禁止参加政府采购活动；有违法所得的，并处没收违法所得；情节严重的，由工商行政管理机关吊销营业执照；构成犯罪的，依法追究刑事责任：</w:t>
      </w:r>
    </w:p>
    <w:p>
      <w:pPr>
        <w:pStyle w:val="62"/>
        <w:widowControl w:val="0"/>
        <w:numPr>
          <w:ilvl w:val="0"/>
          <w:numId w:val="27"/>
        </w:numPr>
        <w:adjustRightInd w:val="0"/>
        <w:spacing w:line="360" w:lineRule="auto"/>
        <w:ind w:left="1160" w:leftChars="200" w:hanging="720" w:hangingChars="30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提供虚假材料谋取中标、成交的；</w:t>
      </w:r>
    </w:p>
    <w:p>
      <w:pPr>
        <w:pStyle w:val="62"/>
        <w:widowControl w:val="0"/>
        <w:numPr>
          <w:ilvl w:val="0"/>
          <w:numId w:val="27"/>
        </w:numPr>
        <w:adjustRightInd w:val="0"/>
        <w:spacing w:line="360" w:lineRule="auto"/>
        <w:ind w:left="1160" w:leftChars="200" w:hanging="720" w:hangingChars="30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采取不正当手段诋毁、排挤其他供应商的；</w:t>
      </w:r>
    </w:p>
    <w:p>
      <w:pPr>
        <w:pStyle w:val="62"/>
        <w:widowControl w:val="0"/>
        <w:numPr>
          <w:ilvl w:val="0"/>
          <w:numId w:val="27"/>
        </w:numPr>
        <w:adjustRightInd w:val="0"/>
        <w:spacing w:line="360" w:lineRule="auto"/>
        <w:ind w:left="1160" w:leftChars="200" w:hanging="720" w:hangingChars="30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与采购人、其他供应商或者采购代理机构工作人员恶意串通的；</w:t>
      </w:r>
    </w:p>
    <w:p>
      <w:pPr>
        <w:pStyle w:val="62"/>
        <w:widowControl w:val="0"/>
        <w:numPr>
          <w:ilvl w:val="0"/>
          <w:numId w:val="27"/>
        </w:numPr>
        <w:adjustRightInd w:val="0"/>
        <w:spacing w:line="360" w:lineRule="auto"/>
        <w:ind w:left="1160" w:leftChars="200" w:hanging="720" w:hangingChars="30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向采购人、采购代理机构工作人员行贿或者提供其他不正当利益的；</w:t>
      </w:r>
    </w:p>
    <w:p>
      <w:pPr>
        <w:pStyle w:val="62"/>
        <w:widowControl w:val="0"/>
        <w:numPr>
          <w:ilvl w:val="0"/>
          <w:numId w:val="27"/>
        </w:numPr>
        <w:adjustRightInd w:val="0"/>
        <w:spacing w:line="360" w:lineRule="auto"/>
        <w:ind w:left="1160" w:leftChars="200" w:hanging="720" w:hangingChars="30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在招标采购过程中与采购人进行协商谈判的；</w:t>
      </w:r>
    </w:p>
    <w:p>
      <w:pPr>
        <w:pStyle w:val="62"/>
        <w:widowControl w:val="0"/>
        <w:numPr>
          <w:ilvl w:val="0"/>
          <w:numId w:val="27"/>
        </w:numPr>
        <w:adjustRightInd w:val="0"/>
        <w:spacing w:line="360" w:lineRule="auto"/>
        <w:ind w:left="1160" w:leftChars="200" w:hanging="720" w:hangingChars="300"/>
        <w:jc w:val="both"/>
        <w:rPr>
          <w:rFonts w:cs="微软雅黑" w:asciiTheme="minorEastAsia" w:hAnsiTheme="minorEastAsia" w:eastAsiaTheme="minorEastAsia"/>
          <w:color w:val="auto"/>
          <w:sz w:val="24"/>
          <w:szCs w:val="24"/>
        </w:rPr>
      </w:pPr>
      <w:r>
        <w:rPr>
          <w:rFonts w:hint="eastAsia" w:cs="微软雅黑" w:asciiTheme="minorEastAsia" w:hAnsiTheme="minorEastAsia" w:eastAsiaTheme="minorEastAsia"/>
          <w:color w:val="auto"/>
          <w:sz w:val="24"/>
          <w:szCs w:val="24"/>
        </w:rPr>
        <w:t>拒绝有关部门监督检查或提供虚假情况的。</w:t>
      </w:r>
    </w:p>
    <w:p>
      <w:pPr>
        <w:spacing w:line="360" w:lineRule="auto"/>
        <w:ind w:left="48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如果我方违反上述承诺，或承诺内容不属实，我方愿意承担一切不利的法律后果。</w:t>
      </w:r>
    </w:p>
    <w:p>
      <w:pPr>
        <w:spacing w:line="360" w:lineRule="auto"/>
        <w:rPr>
          <w:rFonts w:cs="微软雅黑" w:asciiTheme="minorEastAsia" w:hAnsiTheme="minorEastAsia" w:eastAsiaTheme="minorEastAsia"/>
          <w:color w:val="auto"/>
          <w:sz w:val="24"/>
          <w:szCs w:val="24"/>
          <w:lang w:eastAsia="zh-CN"/>
        </w:rPr>
      </w:pP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与本投标有关的一切往来通讯请寄：</w:t>
      </w: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地址：</w:t>
      </w:r>
      <w:r>
        <w:rPr>
          <w:rFonts w:ascii="Times New Roman" w:hAnsi="Times New Roman" w:cs="Times New Roman"/>
          <w:color w:val="auto"/>
          <w:sz w:val="24"/>
          <w:szCs w:val="24"/>
          <w:u w:val="single"/>
          <w:lang w:eastAsia="zh-CN"/>
        </w:rPr>
        <w:t>__________________</w:t>
      </w: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邮编：</w:t>
      </w:r>
      <w:r>
        <w:rPr>
          <w:rFonts w:ascii="Times New Roman" w:hAnsi="Times New Roman" w:cs="Times New Roman"/>
          <w:color w:val="auto"/>
          <w:sz w:val="24"/>
          <w:szCs w:val="24"/>
          <w:u w:val="single"/>
          <w:lang w:eastAsia="zh-CN"/>
        </w:rPr>
        <w:t>__________________</w:t>
      </w: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电话：</w:t>
      </w:r>
      <w:r>
        <w:rPr>
          <w:rFonts w:ascii="Times New Roman" w:hAnsi="Times New Roman" w:cs="Times New Roman"/>
          <w:color w:val="auto"/>
          <w:sz w:val="24"/>
          <w:szCs w:val="24"/>
          <w:u w:val="single"/>
          <w:lang w:eastAsia="zh-CN"/>
        </w:rPr>
        <w:t>__________________</w:t>
      </w: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传真：</w:t>
      </w:r>
      <w:r>
        <w:rPr>
          <w:rFonts w:ascii="Times New Roman" w:hAnsi="Times New Roman" w:cs="Times New Roman"/>
          <w:color w:val="auto"/>
          <w:sz w:val="24"/>
          <w:szCs w:val="24"/>
          <w:u w:val="single"/>
          <w:lang w:eastAsia="zh-CN"/>
        </w:rPr>
        <w:t>__________________</w:t>
      </w: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投标人代表姓名：</w:t>
      </w:r>
      <w:r>
        <w:rPr>
          <w:rFonts w:ascii="Times New Roman" w:hAnsi="Times New Roman" w:cs="Times New Roman"/>
          <w:color w:val="auto"/>
          <w:sz w:val="24"/>
          <w:szCs w:val="24"/>
          <w:u w:val="single"/>
          <w:lang w:eastAsia="zh-CN"/>
        </w:rPr>
        <w:t>_________</w:t>
      </w: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投标人代表联系电话（手机、座机）：</w:t>
      </w:r>
      <w:r>
        <w:rPr>
          <w:rFonts w:ascii="Times New Roman" w:hAnsi="Times New Roman" w:cs="Times New Roman"/>
          <w:color w:val="auto"/>
          <w:sz w:val="24"/>
          <w:szCs w:val="24"/>
          <w:u w:val="single"/>
          <w:lang w:eastAsia="zh-CN"/>
        </w:rPr>
        <w:t>_________</w:t>
      </w: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投标人代表电子邮箱</w:t>
      </w:r>
      <w:r>
        <w:rPr>
          <w:rFonts w:cs="微软雅黑" w:asciiTheme="minorEastAsia" w:hAnsiTheme="minorEastAsia" w:eastAsiaTheme="minorEastAsia"/>
          <w:color w:val="auto"/>
          <w:sz w:val="24"/>
          <w:szCs w:val="24"/>
          <w:lang w:eastAsia="zh-CN"/>
        </w:rPr>
        <w:t>:</w:t>
      </w:r>
      <w:r>
        <w:rPr>
          <w:rFonts w:ascii="Times New Roman" w:hAnsi="Times New Roman" w:cs="Times New Roman"/>
          <w:color w:val="auto"/>
          <w:sz w:val="24"/>
          <w:szCs w:val="24"/>
          <w:u w:val="single"/>
          <w:lang w:eastAsia="zh-CN"/>
        </w:rPr>
        <w:t xml:space="preserve"> __________________</w:t>
      </w:r>
    </w:p>
    <w:p>
      <w:pPr>
        <w:spacing w:line="360" w:lineRule="auto"/>
        <w:ind w:left="440" w:leftChars="200"/>
        <w:rPr>
          <w:rFonts w:cs="微软雅黑" w:asciiTheme="minorEastAsia" w:hAnsiTheme="minorEastAsia" w:eastAsiaTheme="minorEastAsia"/>
          <w:color w:val="auto"/>
          <w:sz w:val="24"/>
          <w:szCs w:val="24"/>
          <w:lang w:eastAsia="zh-CN"/>
        </w:rPr>
      </w:pP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ascii="Times New Roman" w:hAnsi="Times New Roman"/>
          <w:color w:val="auto"/>
          <w:sz w:val="24"/>
          <w:szCs w:val="24"/>
          <w:lang w:eastAsia="zh-CN"/>
        </w:rPr>
        <w:t>投标人：</w:t>
      </w:r>
      <w:r>
        <w:rPr>
          <w:rFonts w:ascii="Times New Roman" w:hAnsi="Times New Roman" w:cs="Times New Roman"/>
          <w:color w:val="auto"/>
          <w:sz w:val="24"/>
          <w:szCs w:val="24"/>
          <w:u w:val="single"/>
          <w:lang w:eastAsia="zh-CN"/>
        </w:rPr>
        <w:t>_______________</w:t>
      </w:r>
      <w:r>
        <w:rPr>
          <w:rFonts w:hint="eastAsia" w:ascii="Times New Roman" w:hAnsi="Times New Roman"/>
          <w:color w:val="auto"/>
          <w:sz w:val="24"/>
          <w:szCs w:val="24"/>
          <w:lang w:eastAsia="zh-CN"/>
        </w:rPr>
        <w:t>（盖章）</w:t>
      </w:r>
    </w:p>
    <w:p>
      <w:pPr>
        <w:spacing w:line="360" w:lineRule="auto"/>
        <w:ind w:left="440" w:leftChars="200"/>
        <w:rPr>
          <w:rFonts w:cs="微软雅黑" w:asciiTheme="minorEastAsia" w:hAnsiTheme="minorEastAsia" w:eastAsiaTheme="minorEastAsia"/>
          <w:color w:val="auto"/>
          <w:sz w:val="24"/>
          <w:szCs w:val="24"/>
          <w:lang w:eastAsia="zh-CN"/>
        </w:rPr>
      </w:pPr>
      <w:r>
        <w:rPr>
          <w:rFonts w:hint="eastAsia" w:ascii="Times New Roman" w:hAnsi="Times New Roman"/>
          <w:color w:val="auto"/>
          <w:sz w:val="24"/>
          <w:szCs w:val="21"/>
          <w:lang w:eastAsia="zh-CN"/>
        </w:rPr>
        <w:t>投标人法定代表人或授权代表（签字或盖章）：</w:t>
      </w:r>
    </w:p>
    <w:p>
      <w:pPr>
        <w:spacing w:line="360" w:lineRule="auto"/>
        <w:ind w:firstLine="480" w:firstLineChars="200"/>
        <w:rPr>
          <w:rFonts w:cs="微软雅黑" w:asciiTheme="minorEastAsia" w:hAnsiTheme="minorEastAsia" w:eastAsiaTheme="minorEastAsia"/>
          <w:color w:val="auto"/>
          <w:sz w:val="24"/>
          <w:szCs w:val="24"/>
          <w:lang w:eastAsia="zh-CN"/>
        </w:rPr>
      </w:pPr>
    </w:p>
    <w:p>
      <w:pPr>
        <w:spacing w:line="360" w:lineRule="auto"/>
        <w:ind w:firstLine="4560" w:firstLineChars="1900"/>
        <w:jc w:val="right"/>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日期：</w:t>
      </w:r>
      <w:r>
        <w:rPr>
          <w:rFonts w:ascii="Times New Roman" w:hAnsi="Times New Roman" w:cs="Times New Roman"/>
          <w:color w:val="auto"/>
          <w:sz w:val="24"/>
          <w:szCs w:val="24"/>
          <w:u w:val="single"/>
          <w:lang w:eastAsia="zh-CN"/>
        </w:rPr>
        <w:t>______</w:t>
      </w:r>
      <w:r>
        <w:rPr>
          <w:rFonts w:hint="eastAsia"/>
          <w:bCs/>
          <w:color w:val="auto"/>
          <w:lang w:eastAsia="zh-CN"/>
        </w:rPr>
        <w:t>年</w:t>
      </w:r>
      <w:r>
        <w:rPr>
          <w:rFonts w:ascii="Times New Roman" w:hAnsi="Times New Roman" w:cs="Times New Roman"/>
          <w:color w:val="auto"/>
          <w:sz w:val="24"/>
          <w:szCs w:val="24"/>
          <w:u w:val="single"/>
          <w:lang w:eastAsia="zh-CN"/>
        </w:rPr>
        <w:t>___</w:t>
      </w:r>
      <w:r>
        <w:rPr>
          <w:rFonts w:hint="eastAsia"/>
          <w:bCs/>
          <w:color w:val="auto"/>
          <w:lang w:eastAsia="zh-CN"/>
        </w:rPr>
        <w:t>月</w:t>
      </w:r>
      <w:r>
        <w:rPr>
          <w:rFonts w:ascii="Times New Roman" w:hAnsi="Times New Roman" w:cs="Times New Roman"/>
          <w:color w:val="auto"/>
          <w:sz w:val="24"/>
          <w:szCs w:val="24"/>
          <w:u w:val="single"/>
          <w:lang w:eastAsia="zh-CN"/>
        </w:rPr>
        <w:t>___</w:t>
      </w:r>
      <w:r>
        <w:rPr>
          <w:rFonts w:hint="eastAsia"/>
          <w:bCs/>
          <w:color w:val="auto"/>
          <w:lang w:eastAsia="zh-CN"/>
        </w:rPr>
        <w:t>日</w:t>
      </w:r>
    </w:p>
    <w:p>
      <w:pPr>
        <w:spacing w:line="360" w:lineRule="auto"/>
        <w:ind w:left="480" w:hanging="480" w:hangingChars="200"/>
        <w:rPr>
          <w:rFonts w:cs="微软雅黑" w:asciiTheme="minorEastAsia" w:hAnsiTheme="minorEastAsia" w:eastAsiaTheme="minorEastAsia"/>
          <w:color w:val="auto"/>
          <w:sz w:val="24"/>
          <w:szCs w:val="24"/>
          <w:lang w:eastAsia="zh-CN"/>
        </w:rPr>
      </w:pPr>
    </w:p>
    <w:p>
      <w:pPr>
        <w:spacing w:line="360" w:lineRule="auto"/>
        <w:ind w:left="480" w:hanging="480" w:hangingChars="200"/>
        <w:rPr>
          <w:rFonts w:cs="微软雅黑" w:asciiTheme="minorEastAsia" w:hAnsiTheme="minorEastAsia" w:eastAsiaTheme="minorEastAsia"/>
          <w:color w:val="auto"/>
          <w:sz w:val="24"/>
          <w:szCs w:val="24"/>
          <w:lang w:eastAsia="zh-CN"/>
        </w:rPr>
      </w:pPr>
      <w:r>
        <w:rPr>
          <w:rFonts w:hint="eastAsia" w:cs="微软雅黑" w:asciiTheme="minorEastAsia" w:hAnsiTheme="minorEastAsia" w:eastAsiaTheme="minorEastAsia"/>
          <w:color w:val="auto"/>
          <w:sz w:val="24"/>
          <w:szCs w:val="24"/>
          <w:lang w:eastAsia="zh-CN"/>
        </w:rPr>
        <w:t>注：除可填报项目外，对本投标函的实质性修改将被视为非实质性响应投标，从而导致该投标被拒绝。</w:t>
      </w:r>
    </w:p>
    <w:p>
      <w:pPr>
        <w:spacing w:line="360" w:lineRule="auto"/>
        <w:rPr>
          <w:rFonts w:ascii="Times New Roman" w:hAnsi="Times New Roman"/>
          <w:color w:val="auto"/>
          <w:sz w:val="24"/>
          <w:szCs w:val="24"/>
          <w:lang w:eastAsia="zh-CN"/>
        </w:rPr>
      </w:pPr>
    </w:p>
    <w:p>
      <w:pPr>
        <w:spacing w:line="360" w:lineRule="auto"/>
        <w:rPr>
          <w:rFonts w:ascii="Times New Roman" w:hAnsi="Times New Roman"/>
          <w:color w:val="auto"/>
          <w:sz w:val="24"/>
          <w:szCs w:val="24"/>
          <w:lang w:eastAsia="zh-CN"/>
        </w:rPr>
        <w:sectPr>
          <w:headerReference r:id="rId9" w:type="default"/>
          <w:footerReference r:id="rId10" w:type="default"/>
          <w:pgSz w:w="11910" w:h="16840"/>
          <w:pgMar w:top="1588" w:right="1588" w:bottom="1418" w:left="1814" w:header="734" w:footer="855" w:gutter="0"/>
          <w:cols w:space="720" w:num="1"/>
        </w:sectPr>
      </w:pPr>
    </w:p>
    <w:p>
      <w:pPr>
        <w:pStyle w:val="5"/>
        <w:keepNext w:val="0"/>
        <w:keepLines w:val="0"/>
        <w:spacing w:before="0" w:after="0" w:line="360" w:lineRule="auto"/>
        <w:rPr>
          <w:rFonts w:ascii="Times New Roman"/>
          <w:color w:val="auto"/>
        </w:rPr>
      </w:pPr>
      <w:r>
        <w:rPr>
          <w:rFonts w:hint="eastAsia" w:ascii="Times New Roman"/>
          <w:color w:val="auto"/>
        </w:rPr>
        <w:t>附件</w:t>
      </w:r>
      <w:r>
        <w:rPr>
          <w:rFonts w:ascii="Times New Roman"/>
          <w:color w:val="auto"/>
        </w:rPr>
        <w:t>2</w:t>
      </w:r>
      <w:r>
        <w:rPr>
          <w:rFonts w:hint="eastAsia" w:ascii="Times New Roman"/>
          <w:color w:val="auto"/>
        </w:rPr>
        <w:t>、开标一览表</w:t>
      </w:r>
    </w:p>
    <w:p>
      <w:pPr>
        <w:pStyle w:val="12"/>
        <w:spacing w:line="360" w:lineRule="auto"/>
        <w:jc w:val="center"/>
        <w:rPr>
          <w:rFonts w:ascii="Times New Roman" w:hAnsi="Times New Roman"/>
          <w:b/>
          <w:color w:val="auto"/>
          <w:lang w:eastAsia="zh-CN"/>
        </w:rPr>
      </w:pPr>
      <w:r>
        <w:rPr>
          <w:rFonts w:hint="eastAsia" w:ascii="Times New Roman" w:hAnsi="Times New Roman"/>
          <w:b/>
          <w:color w:val="auto"/>
          <w:lang w:eastAsia="zh-CN"/>
        </w:rPr>
        <w:t>开标一览表</w:t>
      </w:r>
    </w:p>
    <w:p>
      <w:pPr>
        <w:pStyle w:val="12"/>
        <w:tabs>
          <w:tab w:val="left" w:pos="3239"/>
          <w:tab w:val="left" w:pos="6239"/>
        </w:tabs>
        <w:rPr>
          <w:rFonts w:ascii="Times New Roman" w:hAnsi="Times New Roman"/>
          <w:color w:val="auto"/>
          <w:lang w:eastAsia="zh-CN"/>
        </w:rPr>
      </w:pPr>
      <w:r>
        <w:rPr>
          <w:rFonts w:hint="eastAsia" w:ascii="Times New Roman" w:hAnsi="Times New Roman"/>
          <w:color w:val="auto"/>
          <w:lang w:eastAsia="zh-CN"/>
        </w:rPr>
        <w:t>项目名称：</w:t>
      </w:r>
      <w:r>
        <w:rPr>
          <w:rFonts w:ascii="Times New Roman" w:hAnsi="Times New Roman" w:cs="Times New Roman"/>
          <w:color w:val="auto"/>
          <w:u w:val="single"/>
          <w:lang w:eastAsia="zh-CN"/>
        </w:rPr>
        <w:t>_____________________</w:t>
      </w:r>
      <w:r>
        <w:rPr>
          <w:rFonts w:hint="eastAsia" w:ascii="Times New Roman" w:hAnsi="Times New Roman"/>
          <w:color w:val="auto"/>
          <w:lang w:eastAsia="zh-CN"/>
        </w:rPr>
        <w:t>招标编号：</w:t>
      </w:r>
      <w:r>
        <w:rPr>
          <w:rFonts w:ascii="Times New Roman" w:hAnsi="Times New Roman" w:cs="Times New Roman"/>
          <w:color w:val="auto"/>
          <w:u w:val="single"/>
          <w:lang w:eastAsia="zh-CN"/>
        </w:rPr>
        <w:t>_________</w:t>
      </w:r>
    </w:p>
    <w:p>
      <w:pPr>
        <w:pStyle w:val="12"/>
        <w:spacing w:before="8" w:after="1"/>
        <w:rPr>
          <w:rFonts w:ascii="Times New Roman" w:hAnsi="Times New Roman"/>
          <w:color w:val="auto"/>
          <w:lang w:eastAsia="zh-CN"/>
        </w:rPr>
      </w:pPr>
      <w:r>
        <w:rPr>
          <w:rFonts w:hint="eastAsia" w:ascii="Times New Roman" w:hAnsi="Times New Roman"/>
          <w:color w:val="auto"/>
          <w:lang w:eastAsia="zh-CN"/>
        </w:rPr>
        <w:t>投标人名称：</w:t>
      </w:r>
    </w:p>
    <w:p>
      <w:pPr>
        <w:pStyle w:val="12"/>
        <w:spacing w:before="5"/>
        <w:rPr>
          <w:rFonts w:ascii="Times New Roman" w:hAnsi="Times New Roman"/>
          <w:color w:val="auto"/>
          <w:lang w:eastAsia="zh-CN"/>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686"/>
        <w:gridCol w:w="1491"/>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36" w:type="dxa"/>
            <w:vAlign w:val="center"/>
          </w:tcPr>
          <w:p>
            <w:pPr>
              <w:tabs>
                <w:tab w:val="left" w:pos="970"/>
              </w:tabs>
              <w:snapToGrid w:val="0"/>
              <w:spacing w:before="84" w:beforeLines="35" w:after="84" w:afterLines="35"/>
              <w:jc w:val="center"/>
              <w:rPr>
                <w:b/>
                <w:color w:val="auto"/>
              </w:rPr>
            </w:pPr>
            <w:r>
              <w:rPr>
                <w:b/>
                <w:color w:val="auto"/>
              </w:rPr>
              <w:t>序号</w:t>
            </w:r>
          </w:p>
        </w:tc>
        <w:tc>
          <w:tcPr>
            <w:tcW w:w="3686" w:type="dxa"/>
            <w:vAlign w:val="center"/>
          </w:tcPr>
          <w:p>
            <w:pPr>
              <w:snapToGrid w:val="0"/>
              <w:spacing w:before="84" w:beforeLines="35" w:after="84" w:afterLines="35"/>
              <w:jc w:val="center"/>
              <w:rPr>
                <w:b/>
                <w:color w:val="auto"/>
              </w:rPr>
            </w:pPr>
            <w:r>
              <w:rPr>
                <w:b/>
                <w:color w:val="auto"/>
              </w:rPr>
              <w:t>工作内容</w:t>
            </w:r>
          </w:p>
        </w:tc>
        <w:tc>
          <w:tcPr>
            <w:tcW w:w="1491" w:type="dxa"/>
            <w:vAlign w:val="center"/>
          </w:tcPr>
          <w:p>
            <w:pPr>
              <w:tabs>
                <w:tab w:val="left" w:pos="970"/>
              </w:tabs>
              <w:snapToGrid w:val="0"/>
              <w:spacing w:before="84" w:beforeLines="35" w:after="84" w:afterLines="35"/>
              <w:jc w:val="center"/>
              <w:rPr>
                <w:b/>
                <w:color w:val="auto"/>
              </w:rPr>
            </w:pPr>
            <w:r>
              <w:rPr>
                <w:b/>
                <w:color w:val="auto"/>
              </w:rPr>
              <w:t>取费标准</w:t>
            </w:r>
          </w:p>
        </w:tc>
        <w:tc>
          <w:tcPr>
            <w:tcW w:w="2221" w:type="dxa"/>
            <w:vAlign w:val="center"/>
          </w:tcPr>
          <w:p>
            <w:pPr>
              <w:tabs>
                <w:tab w:val="left" w:pos="970"/>
              </w:tabs>
              <w:snapToGrid w:val="0"/>
              <w:spacing w:before="84" w:beforeLines="35" w:after="84" w:afterLines="35"/>
              <w:jc w:val="center"/>
              <w:rPr>
                <w:b/>
                <w:color w:val="auto"/>
              </w:rPr>
            </w:pPr>
            <w:r>
              <w:rPr>
                <w:b/>
                <w:bCs/>
                <w:color w:val="auto"/>
              </w:rPr>
              <w:t>报价（人民币元）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36" w:type="dxa"/>
            <w:vAlign w:val="center"/>
          </w:tcPr>
          <w:p>
            <w:pPr>
              <w:tabs>
                <w:tab w:val="left" w:pos="970"/>
              </w:tabs>
              <w:jc w:val="center"/>
              <w:rPr>
                <w:color w:val="auto"/>
              </w:rPr>
            </w:pPr>
            <w:r>
              <w:rPr>
                <w:color w:val="auto"/>
              </w:rPr>
              <w:t>1</w:t>
            </w:r>
          </w:p>
        </w:tc>
        <w:tc>
          <w:tcPr>
            <w:tcW w:w="3686" w:type="dxa"/>
            <w:vAlign w:val="center"/>
          </w:tcPr>
          <w:p>
            <w:pPr>
              <w:rPr>
                <w:color w:val="auto"/>
              </w:rPr>
            </w:pPr>
          </w:p>
        </w:tc>
        <w:tc>
          <w:tcPr>
            <w:tcW w:w="1491" w:type="dxa"/>
            <w:vAlign w:val="center"/>
          </w:tcPr>
          <w:p>
            <w:pPr>
              <w:tabs>
                <w:tab w:val="left" w:pos="970"/>
              </w:tabs>
              <w:jc w:val="both"/>
              <w:rPr>
                <w:b/>
                <w:color w:val="auto"/>
              </w:rPr>
            </w:pPr>
          </w:p>
        </w:tc>
        <w:tc>
          <w:tcPr>
            <w:tcW w:w="2221" w:type="dxa"/>
            <w:vAlign w:val="center"/>
          </w:tcPr>
          <w:p>
            <w:pPr>
              <w:tabs>
                <w:tab w:val="left" w:pos="970"/>
              </w:tabs>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6" w:type="dxa"/>
            <w:vAlign w:val="center"/>
          </w:tcPr>
          <w:p>
            <w:pPr>
              <w:tabs>
                <w:tab w:val="left" w:pos="970"/>
              </w:tabs>
              <w:jc w:val="center"/>
              <w:rPr>
                <w:color w:val="auto"/>
              </w:rPr>
            </w:pPr>
            <w:r>
              <w:rPr>
                <w:color w:val="auto"/>
              </w:rPr>
              <w:t>2</w:t>
            </w:r>
          </w:p>
        </w:tc>
        <w:tc>
          <w:tcPr>
            <w:tcW w:w="3686" w:type="dxa"/>
            <w:vAlign w:val="center"/>
          </w:tcPr>
          <w:p>
            <w:pPr>
              <w:rPr>
                <w:color w:val="auto"/>
              </w:rPr>
            </w:pPr>
          </w:p>
        </w:tc>
        <w:tc>
          <w:tcPr>
            <w:tcW w:w="1491" w:type="dxa"/>
            <w:vAlign w:val="center"/>
          </w:tcPr>
          <w:p>
            <w:pPr>
              <w:tabs>
                <w:tab w:val="left" w:pos="970"/>
              </w:tabs>
              <w:jc w:val="both"/>
              <w:rPr>
                <w:b/>
                <w:color w:val="auto"/>
              </w:rPr>
            </w:pPr>
          </w:p>
        </w:tc>
        <w:tc>
          <w:tcPr>
            <w:tcW w:w="2221" w:type="dxa"/>
            <w:vAlign w:val="center"/>
          </w:tcPr>
          <w:p>
            <w:pPr>
              <w:tabs>
                <w:tab w:val="left" w:pos="970"/>
              </w:tabs>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6" w:type="dxa"/>
            <w:vAlign w:val="center"/>
          </w:tcPr>
          <w:p>
            <w:pPr>
              <w:tabs>
                <w:tab w:val="left" w:pos="970"/>
              </w:tabs>
              <w:jc w:val="center"/>
              <w:rPr>
                <w:color w:val="auto"/>
              </w:rPr>
            </w:pPr>
            <w:r>
              <w:rPr>
                <w:color w:val="auto"/>
              </w:rPr>
              <w:t>3</w:t>
            </w:r>
          </w:p>
        </w:tc>
        <w:tc>
          <w:tcPr>
            <w:tcW w:w="3686" w:type="dxa"/>
            <w:vAlign w:val="center"/>
          </w:tcPr>
          <w:p>
            <w:pPr>
              <w:rPr>
                <w:bCs/>
                <w:color w:val="auto"/>
              </w:rPr>
            </w:pPr>
          </w:p>
        </w:tc>
        <w:tc>
          <w:tcPr>
            <w:tcW w:w="1491" w:type="dxa"/>
            <w:vAlign w:val="center"/>
          </w:tcPr>
          <w:p>
            <w:pPr>
              <w:tabs>
                <w:tab w:val="left" w:pos="970"/>
              </w:tabs>
              <w:jc w:val="both"/>
              <w:rPr>
                <w:b/>
                <w:color w:val="auto"/>
              </w:rPr>
            </w:pPr>
          </w:p>
        </w:tc>
        <w:tc>
          <w:tcPr>
            <w:tcW w:w="2221" w:type="dxa"/>
            <w:vAlign w:val="center"/>
          </w:tcPr>
          <w:p>
            <w:pPr>
              <w:tabs>
                <w:tab w:val="left" w:pos="970"/>
              </w:tabs>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6" w:type="dxa"/>
            <w:vAlign w:val="center"/>
          </w:tcPr>
          <w:p>
            <w:pPr>
              <w:tabs>
                <w:tab w:val="left" w:pos="970"/>
              </w:tabs>
              <w:spacing w:after="60" w:afterLines="25" w:line="300" w:lineRule="exact"/>
              <w:jc w:val="center"/>
              <w:rPr>
                <w:color w:val="auto"/>
                <w:lang w:eastAsia="zh-CN"/>
              </w:rPr>
            </w:pPr>
            <w:r>
              <w:rPr>
                <w:bCs/>
                <w:color w:val="auto"/>
              </w:rPr>
              <w:t>…</w:t>
            </w:r>
          </w:p>
        </w:tc>
        <w:tc>
          <w:tcPr>
            <w:tcW w:w="3686" w:type="dxa"/>
            <w:vAlign w:val="center"/>
          </w:tcPr>
          <w:p>
            <w:pPr>
              <w:rPr>
                <w:bCs/>
                <w:color w:val="auto"/>
              </w:rPr>
            </w:pPr>
            <w:r>
              <w:rPr>
                <w:bCs/>
                <w:color w:val="auto"/>
              </w:rPr>
              <w:t>其他（如果有）</w:t>
            </w:r>
          </w:p>
        </w:tc>
        <w:tc>
          <w:tcPr>
            <w:tcW w:w="1491" w:type="dxa"/>
            <w:vAlign w:val="center"/>
          </w:tcPr>
          <w:p>
            <w:pPr>
              <w:tabs>
                <w:tab w:val="left" w:pos="970"/>
              </w:tabs>
              <w:jc w:val="both"/>
              <w:rPr>
                <w:b/>
                <w:color w:val="auto"/>
              </w:rPr>
            </w:pPr>
          </w:p>
        </w:tc>
        <w:tc>
          <w:tcPr>
            <w:tcW w:w="2221" w:type="dxa"/>
            <w:vAlign w:val="center"/>
          </w:tcPr>
          <w:p>
            <w:pPr>
              <w:tabs>
                <w:tab w:val="left" w:pos="970"/>
              </w:tabs>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6" w:type="dxa"/>
            <w:vAlign w:val="center"/>
          </w:tcPr>
          <w:p>
            <w:pPr>
              <w:tabs>
                <w:tab w:val="left" w:pos="970"/>
              </w:tabs>
              <w:spacing w:after="84"/>
              <w:jc w:val="center"/>
              <w:rPr>
                <w:color w:val="auto"/>
              </w:rPr>
            </w:pPr>
          </w:p>
        </w:tc>
        <w:tc>
          <w:tcPr>
            <w:tcW w:w="3686" w:type="dxa"/>
            <w:vAlign w:val="center"/>
          </w:tcPr>
          <w:p>
            <w:pPr>
              <w:rPr>
                <w:bCs/>
                <w:color w:val="auto"/>
              </w:rPr>
            </w:pPr>
            <w:r>
              <w:rPr>
                <w:bCs/>
                <w:color w:val="auto"/>
              </w:rPr>
              <w:t>合计</w:t>
            </w:r>
          </w:p>
        </w:tc>
        <w:tc>
          <w:tcPr>
            <w:tcW w:w="1491" w:type="dxa"/>
            <w:vAlign w:val="center"/>
          </w:tcPr>
          <w:p>
            <w:pPr>
              <w:tabs>
                <w:tab w:val="left" w:pos="970"/>
              </w:tabs>
              <w:spacing w:after="84"/>
              <w:jc w:val="both"/>
              <w:rPr>
                <w:b/>
                <w:color w:val="auto"/>
              </w:rPr>
            </w:pPr>
          </w:p>
        </w:tc>
        <w:tc>
          <w:tcPr>
            <w:tcW w:w="2221" w:type="dxa"/>
            <w:vAlign w:val="center"/>
          </w:tcPr>
          <w:p>
            <w:pPr>
              <w:tabs>
                <w:tab w:val="left" w:pos="970"/>
              </w:tabs>
              <w:spacing w:after="84"/>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134" w:type="dxa"/>
            <w:gridSpan w:val="4"/>
          </w:tcPr>
          <w:p>
            <w:pPr>
              <w:widowControl/>
              <w:spacing w:before="120" w:beforeLines="50"/>
              <w:rPr>
                <w:bCs/>
                <w:color w:val="auto"/>
                <w:lang w:eastAsia="zh-CN"/>
              </w:rPr>
            </w:pPr>
            <w:r>
              <w:rPr>
                <w:rFonts w:hint="eastAsia"/>
                <w:bCs/>
                <w:color w:val="auto"/>
                <w:lang w:eastAsia="zh-CN"/>
              </w:rPr>
              <w:t>投标总价（人民币大写）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8134" w:type="dxa"/>
            <w:gridSpan w:val="4"/>
          </w:tcPr>
          <w:p>
            <w:pPr>
              <w:widowControl/>
              <w:spacing w:before="120" w:beforeLines="50"/>
              <w:rPr>
                <w:rFonts w:ascii="Times New Roman" w:hAnsi="Times New Roman"/>
                <w:b/>
                <w:color w:val="auto"/>
                <w:sz w:val="24"/>
                <w:szCs w:val="24"/>
                <w:lang w:eastAsia="zh-CN"/>
              </w:rPr>
            </w:pPr>
            <w:r>
              <w:rPr>
                <w:rFonts w:hint="eastAsia" w:ascii="Times New Roman" w:hAnsi="Times New Roman"/>
                <w:b/>
                <w:color w:val="auto"/>
                <w:sz w:val="24"/>
                <w:szCs w:val="24"/>
              </w:rPr>
              <w:t>投标保证金（有</w:t>
            </w:r>
            <w:r>
              <w:rPr>
                <w:rFonts w:ascii="Times New Roman" w:hAnsi="Times New Roman"/>
                <w:b/>
                <w:color w:val="auto"/>
                <w:sz w:val="24"/>
                <w:szCs w:val="24"/>
              </w:rPr>
              <w:t>/</w:t>
            </w:r>
            <w:r>
              <w:rPr>
                <w:rFonts w:hint="eastAsia" w:ascii="Times New Roman" w:hAnsi="Times New Roman"/>
                <w:b/>
                <w:color w:val="auto"/>
                <w:sz w:val="24"/>
                <w:szCs w:val="24"/>
              </w:rPr>
              <w:t>无）</w:t>
            </w:r>
          </w:p>
          <w:p>
            <w:pPr>
              <w:widowControl/>
              <w:spacing w:before="120" w:beforeLines="50"/>
              <w:rPr>
                <w:rFonts w:ascii="Times New Roman" w:hAnsi="Times New Roman"/>
                <w:b/>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8134" w:type="dxa"/>
            <w:gridSpan w:val="4"/>
          </w:tcPr>
          <w:p>
            <w:pPr>
              <w:widowControl/>
              <w:spacing w:before="120" w:beforeLines="50"/>
              <w:rPr>
                <w:rFonts w:ascii="Times New Roman" w:hAnsi="Times New Roman"/>
                <w:b/>
                <w:color w:val="auto"/>
                <w:sz w:val="24"/>
                <w:szCs w:val="24"/>
                <w:lang w:eastAsia="zh-CN"/>
              </w:rPr>
            </w:pPr>
            <w:r>
              <w:rPr>
                <w:rFonts w:hint="eastAsia" w:ascii="Times New Roman" w:hAnsi="Times New Roman"/>
                <w:b/>
                <w:color w:val="auto"/>
                <w:sz w:val="24"/>
                <w:szCs w:val="24"/>
              </w:rPr>
              <w:t>服务期</w:t>
            </w:r>
          </w:p>
          <w:p>
            <w:pPr>
              <w:widowControl/>
              <w:spacing w:before="120" w:beforeLines="50"/>
              <w:rPr>
                <w:b/>
                <w:color w:val="auto"/>
                <w:lang w:eastAsia="zh-CN"/>
              </w:rPr>
            </w:pPr>
          </w:p>
        </w:tc>
      </w:tr>
    </w:tbl>
    <w:p>
      <w:pPr>
        <w:pStyle w:val="12"/>
        <w:spacing w:before="5"/>
        <w:rPr>
          <w:rFonts w:ascii="Times New Roman" w:hAnsi="Times New Roman"/>
          <w:color w:val="auto"/>
          <w:lang w:eastAsia="zh-CN"/>
        </w:rPr>
      </w:pPr>
    </w:p>
    <w:p>
      <w:pPr>
        <w:pStyle w:val="12"/>
        <w:spacing w:before="240" w:beforeLines="100" w:line="360" w:lineRule="auto"/>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（盖章）</w:t>
      </w:r>
    </w:p>
    <w:p>
      <w:pPr>
        <w:pStyle w:val="12"/>
        <w:spacing w:before="240" w:beforeLines="100" w:line="360" w:lineRule="auto"/>
        <w:rPr>
          <w:rFonts w:ascii="Times New Roman" w:hAnsi="Times New Roman"/>
          <w:color w:val="auto"/>
          <w:u w:val="single"/>
          <w:lang w:eastAsia="zh-CN"/>
        </w:rPr>
      </w:pPr>
      <w:r>
        <w:rPr>
          <w:rFonts w:hint="eastAsia" w:ascii="Times New Roman" w:hAnsi="Times New Roman"/>
          <w:color w:val="auto"/>
          <w:lang w:eastAsia="zh-CN"/>
        </w:rPr>
        <w:t>投标人法定代表人或授权代表（签字或盖章</w:t>
      </w:r>
      <w:r>
        <w:rPr>
          <w:rFonts w:hint="eastAsia" w:ascii="Times New Roman" w:hAnsi="Times New Roman"/>
          <w:color w:val="auto"/>
          <w:spacing w:val="-120"/>
          <w:lang w:eastAsia="zh-CN"/>
        </w:rPr>
        <w:t>）</w:t>
      </w:r>
      <w:r>
        <w:rPr>
          <w:rFonts w:hint="eastAsia" w:ascii="Times New Roman" w:hAnsi="Times New Roman"/>
          <w:color w:val="auto"/>
          <w:lang w:eastAsia="zh-CN"/>
        </w:rPr>
        <w:t>：</w:t>
      </w:r>
    </w:p>
    <w:p>
      <w:pPr>
        <w:pStyle w:val="12"/>
        <w:spacing w:before="240" w:beforeLines="100" w:line="360" w:lineRule="auto"/>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rPr>
          <w:rFonts w:ascii="Times New Roman" w:hAnsi="Times New Roman"/>
          <w:b/>
          <w:color w:val="auto"/>
          <w:sz w:val="24"/>
          <w:szCs w:val="24"/>
          <w:lang w:eastAsia="zh-CN"/>
        </w:rPr>
      </w:pPr>
      <w:r>
        <w:rPr>
          <w:rFonts w:hint="eastAsia" w:ascii="Times New Roman" w:hAnsi="Times New Roman"/>
          <w:color w:val="auto"/>
          <w:sz w:val="24"/>
          <w:szCs w:val="24"/>
          <w:lang w:eastAsia="zh-CN"/>
        </w:rPr>
        <w:t>注：</w:t>
      </w:r>
      <w:r>
        <w:rPr>
          <w:rFonts w:ascii="Times New Roman" w:hAnsi="Times New Roman"/>
          <w:b/>
          <w:color w:val="auto"/>
          <w:sz w:val="24"/>
          <w:szCs w:val="24"/>
          <w:lang w:eastAsia="zh-CN"/>
        </w:rPr>
        <w:t>1</w:t>
      </w:r>
      <w:r>
        <w:rPr>
          <w:rFonts w:hint="eastAsia" w:ascii="Times New Roman" w:hAnsi="Times New Roman"/>
          <w:b/>
          <w:color w:val="auto"/>
          <w:sz w:val="24"/>
          <w:szCs w:val="24"/>
          <w:lang w:eastAsia="zh-CN"/>
        </w:rPr>
        <w:t>、除投标文件中应有此表外，此表还应按投标人须知的规定密封标记并单独递交。</w:t>
      </w:r>
    </w:p>
    <w:p>
      <w:pPr>
        <w:pStyle w:val="12"/>
        <w:ind w:left="440" w:leftChars="20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、此表中，投标总价应和附件</w:t>
      </w:r>
      <w:r>
        <w:rPr>
          <w:rFonts w:ascii="Times New Roman" w:hAnsi="Times New Roman"/>
          <w:color w:val="auto"/>
          <w:lang w:eastAsia="zh-CN"/>
        </w:rPr>
        <w:t>3</w:t>
      </w:r>
      <w:r>
        <w:rPr>
          <w:rFonts w:hint="eastAsia" w:ascii="Times New Roman" w:hAnsi="Times New Roman"/>
          <w:color w:val="auto"/>
          <w:lang w:eastAsia="zh-CN"/>
        </w:rPr>
        <w:t>中的总价相一致。</w:t>
      </w:r>
    </w:p>
    <w:p>
      <w:pPr>
        <w:pStyle w:val="12"/>
        <w:ind w:left="440" w:leftChars="200"/>
        <w:rPr>
          <w:rFonts w:ascii="Times New Roman" w:hAnsi="Times New Roman"/>
          <w:color w:val="auto"/>
          <w:lang w:eastAsia="zh-CN"/>
        </w:rPr>
      </w:pPr>
      <w:r>
        <w:rPr>
          <w:rFonts w:ascii="Times New Roman" w:hAnsi="Times New Roman"/>
          <w:color w:val="auto"/>
          <w:lang w:eastAsia="zh-CN"/>
        </w:rPr>
        <w:t>3</w:t>
      </w:r>
      <w:r>
        <w:rPr>
          <w:rFonts w:hint="eastAsia" w:ascii="Times New Roman" w:hAnsi="Times New Roman"/>
          <w:color w:val="auto"/>
          <w:lang w:eastAsia="zh-CN"/>
        </w:rPr>
        <w:t>、开标时，将如实宣布并记录表格中的内容。</w:t>
      </w:r>
    </w:p>
    <w:p>
      <w:pPr>
        <w:rPr>
          <w:rFonts w:ascii="Times New Roman" w:hAnsi="Times New Roman"/>
          <w:color w:val="auto"/>
          <w:sz w:val="24"/>
          <w:szCs w:val="24"/>
          <w:lang w:eastAsia="zh-CN"/>
        </w:rPr>
      </w:pPr>
    </w:p>
    <w:p>
      <w:pPr>
        <w:rPr>
          <w:rFonts w:ascii="Times New Roman" w:hAnsi="Times New Roman"/>
          <w:color w:val="auto"/>
          <w:sz w:val="24"/>
          <w:szCs w:val="24"/>
          <w:lang w:eastAsia="zh-CN"/>
        </w:rPr>
        <w:sectPr>
          <w:headerReference r:id="rId11" w:type="default"/>
          <w:footerReference r:id="rId12" w:type="default"/>
          <w:pgSz w:w="11910" w:h="16840"/>
          <w:pgMar w:top="1588" w:right="1418" w:bottom="1814" w:left="1588" w:header="734" w:footer="994" w:gutter="0"/>
          <w:cols w:space="720" w:num="1"/>
          <w:docGrid w:linePitch="299" w:charSpace="0"/>
        </w:sectPr>
      </w:pPr>
    </w:p>
    <w:p>
      <w:pPr>
        <w:pStyle w:val="5"/>
        <w:keepNext w:val="0"/>
        <w:keepLines w:val="0"/>
        <w:spacing w:before="0" w:after="0" w:line="360" w:lineRule="auto"/>
        <w:rPr>
          <w:rFonts w:ascii="Times New Roman"/>
          <w:color w:val="auto"/>
          <w:spacing w:val="10"/>
        </w:rPr>
      </w:pPr>
      <w:r>
        <w:rPr>
          <w:rFonts w:hint="eastAsia" w:ascii="Times New Roman"/>
          <w:color w:val="auto"/>
          <w:spacing w:val="10"/>
        </w:rPr>
        <w:t>附件</w:t>
      </w:r>
      <w:r>
        <w:rPr>
          <w:rFonts w:ascii="Times New Roman"/>
          <w:color w:val="auto"/>
          <w:spacing w:val="10"/>
        </w:rPr>
        <w:t>3</w:t>
      </w:r>
      <w:r>
        <w:rPr>
          <w:rFonts w:hint="eastAsia" w:ascii="Times New Roman"/>
          <w:color w:val="auto"/>
          <w:spacing w:val="10"/>
        </w:rPr>
        <w:t>、投标报价表</w:t>
      </w:r>
    </w:p>
    <w:p>
      <w:pPr>
        <w:pStyle w:val="12"/>
        <w:tabs>
          <w:tab w:val="left" w:pos="4079"/>
          <w:tab w:val="left" w:pos="7079"/>
          <w:tab w:val="left" w:pos="7799"/>
        </w:tabs>
        <w:spacing w:line="360" w:lineRule="auto"/>
        <w:rPr>
          <w:rFonts w:ascii="Times New Roman" w:hAnsi="Times New Roman"/>
          <w:color w:val="auto"/>
          <w:lang w:eastAsia="zh-CN"/>
        </w:rPr>
      </w:pPr>
      <w:r>
        <w:rPr>
          <w:rFonts w:ascii="Times New Roman" w:hAnsi="Times New Roman"/>
          <w:b/>
          <w:color w:val="auto"/>
          <w:lang w:eastAsia="zh-CN"/>
        </w:rPr>
        <w:t>1</w:t>
      </w:r>
      <w:r>
        <w:rPr>
          <w:rFonts w:hint="eastAsia" w:ascii="Times New Roman" w:hAnsi="Times New Roman"/>
          <w:b/>
          <w:color w:val="auto"/>
          <w:lang w:eastAsia="zh-CN"/>
        </w:rPr>
        <w:t>、报价说明</w:t>
      </w:r>
    </w:p>
    <w:p>
      <w:pPr>
        <w:tabs>
          <w:tab w:val="left" w:pos="868"/>
          <w:tab w:val="left" w:pos="1024"/>
        </w:tabs>
        <w:spacing w:line="460" w:lineRule="exact"/>
        <w:ind w:firstLine="440" w:firstLineChars="200"/>
        <w:rPr>
          <w:color w:val="auto"/>
          <w:lang w:eastAsia="zh-CN"/>
        </w:rPr>
      </w:pPr>
      <w:r>
        <w:rPr>
          <w:color w:val="auto"/>
          <w:lang w:eastAsia="zh-CN"/>
        </w:rPr>
        <w:t>1.1</w:t>
      </w:r>
      <w:r>
        <w:rPr>
          <w:color w:val="auto"/>
          <w:lang w:eastAsia="zh-CN"/>
        </w:rPr>
        <w:tab/>
      </w:r>
      <w:r>
        <w:rPr>
          <w:color w:val="auto"/>
          <w:lang w:eastAsia="zh-CN"/>
        </w:rPr>
        <w:t>收费标准及依据</w:t>
      </w:r>
    </w:p>
    <w:p>
      <w:pPr>
        <w:spacing w:line="460" w:lineRule="exact"/>
        <w:ind w:firstLine="440" w:firstLineChars="200"/>
        <w:rPr>
          <w:color w:val="auto"/>
          <w:lang w:eastAsia="zh-CN"/>
        </w:rPr>
      </w:pPr>
      <w:r>
        <w:rPr>
          <w:color w:val="auto"/>
          <w:lang w:eastAsia="zh-CN"/>
        </w:rPr>
        <w:t>取费充分考虑市场因素进行竞争性报价。</w:t>
      </w:r>
    </w:p>
    <w:p>
      <w:pPr>
        <w:tabs>
          <w:tab w:val="left" w:pos="868"/>
          <w:tab w:val="left" w:pos="1060"/>
        </w:tabs>
        <w:spacing w:line="460" w:lineRule="exact"/>
        <w:ind w:firstLine="440" w:firstLineChars="200"/>
        <w:rPr>
          <w:color w:val="auto"/>
          <w:lang w:eastAsia="zh-CN"/>
        </w:rPr>
      </w:pPr>
      <w:r>
        <w:rPr>
          <w:color w:val="auto"/>
          <w:lang w:eastAsia="zh-CN"/>
        </w:rPr>
        <w:t>1.2</w:t>
      </w:r>
      <w:r>
        <w:rPr>
          <w:color w:val="auto"/>
          <w:lang w:eastAsia="zh-CN"/>
        </w:rPr>
        <w:tab/>
      </w:r>
      <w:r>
        <w:rPr>
          <w:rFonts w:hint="eastAsia"/>
          <w:color w:val="auto"/>
          <w:lang w:eastAsia="zh-CN"/>
        </w:rPr>
        <w:t>咨询服务</w:t>
      </w:r>
      <w:r>
        <w:rPr>
          <w:color w:val="auto"/>
          <w:lang w:eastAsia="zh-CN"/>
        </w:rPr>
        <w:t>费应以合计的方式报出，百分比形式的费率报价将不被接受。</w:t>
      </w:r>
    </w:p>
    <w:p>
      <w:pPr>
        <w:tabs>
          <w:tab w:val="left" w:pos="868"/>
          <w:tab w:val="left" w:pos="1060"/>
        </w:tabs>
        <w:spacing w:line="460" w:lineRule="exact"/>
        <w:ind w:firstLine="440" w:firstLineChars="200"/>
        <w:rPr>
          <w:color w:val="auto"/>
          <w:lang w:eastAsia="zh-CN"/>
        </w:rPr>
      </w:pPr>
      <w:r>
        <w:rPr>
          <w:color w:val="auto"/>
          <w:lang w:eastAsia="zh-CN"/>
        </w:rPr>
        <w:t>1.3</w:t>
      </w:r>
      <w:r>
        <w:rPr>
          <w:color w:val="auto"/>
          <w:lang w:eastAsia="zh-CN"/>
        </w:rPr>
        <w:tab/>
      </w:r>
      <w:r>
        <w:rPr>
          <w:rFonts w:hint="eastAsia"/>
          <w:color w:val="auto"/>
          <w:lang w:eastAsia="zh-CN"/>
        </w:rPr>
        <w:t>咨询服务</w:t>
      </w:r>
      <w:r>
        <w:rPr>
          <w:color w:val="auto"/>
          <w:lang w:eastAsia="zh-CN"/>
        </w:rPr>
        <w:t>费报价中应为完成</w:t>
      </w:r>
      <w:r>
        <w:rPr>
          <w:rFonts w:hint="eastAsia"/>
          <w:color w:val="auto"/>
          <w:lang w:eastAsia="zh-CN"/>
        </w:rPr>
        <w:t>招标文件</w:t>
      </w:r>
      <w:r>
        <w:rPr>
          <w:color w:val="auto"/>
          <w:lang w:eastAsia="zh-CN"/>
        </w:rPr>
        <w:t>约定的全部工作的所有费用。报价不得超过本项目的招标控制价，否则其投标将按无效</w:t>
      </w:r>
      <w:r>
        <w:rPr>
          <w:rFonts w:hint="eastAsia"/>
          <w:color w:val="auto"/>
          <w:lang w:eastAsia="zh-CN"/>
        </w:rPr>
        <w:t>投标</w:t>
      </w:r>
      <w:r>
        <w:rPr>
          <w:color w:val="auto"/>
          <w:lang w:eastAsia="zh-CN"/>
        </w:rPr>
        <w:t>文件处理。</w:t>
      </w:r>
    </w:p>
    <w:p>
      <w:pPr>
        <w:tabs>
          <w:tab w:val="left" w:pos="868"/>
          <w:tab w:val="left" w:pos="1060"/>
        </w:tabs>
        <w:spacing w:line="460" w:lineRule="exact"/>
        <w:ind w:firstLine="440" w:firstLineChars="200"/>
        <w:rPr>
          <w:color w:val="auto"/>
          <w:lang w:eastAsia="zh-CN"/>
        </w:rPr>
      </w:pPr>
      <w:r>
        <w:rPr>
          <w:color w:val="auto"/>
          <w:lang w:eastAsia="zh-CN"/>
        </w:rPr>
        <w:t>1.4</w:t>
      </w:r>
      <w:r>
        <w:rPr>
          <w:color w:val="auto"/>
          <w:lang w:eastAsia="zh-CN"/>
        </w:rPr>
        <w:tab/>
      </w:r>
      <w:r>
        <w:rPr>
          <w:color w:val="auto"/>
          <w:lang w:eastAsia="zh-CN"/>
        </w:rPr>
        <w:t>招标人将以人民币支付</w:t>
      </w:r>
      <w:r>
        <w:rPr>
          <w:rFonts w:hint="eastAsia"/>
          <w:color w:val="auto"/>
          <w:lang w:eastAsia="zh-CN"/>
        </w:rPr>
        <w:t>咨询服务</w:t>
      </w:r>
      <w:r>
        <w:rPr>
          <w:color w:val="auto"/>
          <w:lang w:eastAsia="zh-CN"/>
        </w:rPr>
        <w:t>费。</w:t>
      </w:r>
    </w:p>
    <w:p>
      <w:pPr>
        <w:pStyle w:val="12"/>
        <w:tabs>
          <w:tab w:val="left" w:pos="4079"/>
          <w:tab w:val="left" w:pos="7079"/>
          <w:tab w:val="left" w:pos="7799"/>
        </w:tabs>
        <w:spacing w:line="360" w:lineRule="auto"/>
        <w:rPr>
          <w:rFonts w:ascii="Times New Roman" w:hAnsi="Times New Roman"/>
          <w:color w:val="auto"/>
          <w:lang w:eastAsia="zh-CN"/>
        </w:rPr>
      </w:pPr>
      <w:r>
        <w:rPr>
          <w:rFonts w:ascii="Times New Roman" w:hAnsi="Times New Roman"/>
          <w:b/>
          <w:color w:val="auto"/>
          <w:lang w:eastAsia="zh-CN"/>
        </w:rPr>
        <w:t>2</w:t>
      </w:r>
      <w:r>
        <w:rPr>
          <w:rFonts w:hint="eastAsia" w:ascii="Times New Roman" w:hAnsi="Times New Roman"/>
          <w:b/>
          <w:color w:val="auto"/>
          <w:lang w:eastAsia="zh-CN"/>
        </w:rPr>
        <w:t>、报价表</w:t>
      </w:r>
    </w:p>
    <w:p>
      <w:pPr>
        <w:pStyle w:val="12"/>
        <w:tabs>
          <w:tab w:val="left" w:pos="0"/>
        </w:tabs>
        <w:rPr>
          <w:rFonts w:ascii="Times New Roman" w:hAnsi="Times New Roman"/>
          <w:color w:val="auto"/>
          <w:lang w:eastAsia="zh-CN"/>
        </w:rPr>
      </w:pPr>
    </w:p>
    <w:tbl>
      <w:tblPr>
        <w:tblStyle w:val="3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3686"/>
        <w:gridCol w:w="1491"/>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736" w:type="dxa"/>
            <w:vAlign w:val="center"/>
          </w:tcPr>
          <w:p>
            <w:pPr>
              <w:tabs>
                <w:tab w:val="left" w:pos="970"/>
              </w:tabs>
              <w:snapToGrid w:val="0"/>
              <w:spacing w:before="84" w:beforeLines="35" w:after="84" w:afterLines="35"/>
              <w:jc w:val="center"/>
              <w:rPr>
                <w:b/>
                <w:color w:val="auto"/>
              </w:rPr>
            </w:pPr>
            <w:r>
              <w:rPr>
                <w:b/>
                <w:color w:val="auto"/>
              </w:rPr>
              <w:t>序号</w:t>
            </w:r>
          </w:p>
        </w:tc>
        <w:tc>
          <w:tcPr>
            <w:tcW w:w="3686" w:type="dxa"/>
            <w:vAlign w:val="center"/>
          </w:tcPr>
          <w:p>
            <w:pPr>
              <w:tabs>
                <w:tab w:val="left" w:pos="970"/>
              </w:tabs>
              <w:snapToGrid w:val="0"/>
              <w:spacing w:before="84" w:beforeLines="35" w:after="84" w:afterLines="35"/>
              <w:jc w:val="center"/>
              <w:rPr>
                <w:b/>
                <w:color w:val="auto"/>
              </w:rPr>
            </w:pPr>
            <w:r>
              <w:rPr>
                <w:b/>
                <w:color w:val="auto"/>
              </w:rPr>
              <w:t>工作内容</w:t>
            </w:r>
          </w:p>
        </w:tc>
        <w:tc>
          <w:tcPr>
            <w:tcW w:w="1491" w:type="dxa"/>
            <w:vAlign w:val="center"/>
          </w:tcPr>
          <w:p>
            <w:pPr>
              <w:tabs>
                <w:tab w:val="left" w:pos="970"/>
              </w:tabs>
              <w:snapToGrid w:val="0"/>
              <w:spacing w:before="84" w:beforeLines="35" w:after="84" w:afterLines="35"/>
              <w:jc w:val="center"/>
              <w:rPr>
                <w:b/>
                <w:color w:val="auto"/>
              </w:rPr>
            </w:pPr>
            <w:r>
              <w:rPr>
                <w:b/>
                <w:color w:val="auto"/>
              </w:rPr>
              <w:t>取费标准</w:t>
            </w:r>
          </w:p>
        </w:tc>
        <w:tc>
          <w:tcPr>
            <w:tcW w:w="2221" w:type="dxa"/>
            <w:vAlign w:val="center"/>
          </w:tcPr>
          <w:p>
            <w:pPr>
              <w:tabs>
                <w:tab w:val="left" w:pos="970"/>
              </w:tabs>
              <w:snapToGrid w:val="0"/>
              <w:spacing w:before="84" w:beforeLines="35" w:after="84" w:afterLines="35"/>
              <w:jc w:val="center"/>
              <w:rPr>
                <w:b/>
                <w:color w:val="auto"/>
              </w:rPr>
            </w:pPr>
            <w:r>
              <w:rPr>
                <w:b/>
                <w:bCs/>
                <w:color w:val="auto"/>
              </w:rPr>
              <w:t>报价（人民币元）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736" w:type="dxa"/>
            <w:vAlign w:val="center"/>
          </w:tcPr>
          <w:p>
            <w:pPr>
              <w:tabs>
                <w:tab w:val="left" w:pos="970"/>
              </w:tabs>
              <w:jc w:val="center"/>
              <w:rPr>
                <w:color w:val="auto"/>
              </w:rPr>
            </w:pPr>
            <w:r>
              <w:rPr>
                <w:color w:val="auto"/>
              </w:rPr>
              <w:t>1</w:t>
            </w:r>
          </w:p>
        </w:tc>
        <w:tc>
          <w:tcPr>
            <w:tcW w:w="3686" w:type="dxa"/>
            <w:vAlign w:val="center"/>
          </w:tcPr>
          <w:p>
            <w:pPr>
              <w:tabs>
                <w:tab w:val="left" w:pos="970"/>
              </w:tabs>
              <w:rPr>
                <w:color w:val="auto"/>
              </w:rPr>
            </w:pPr>
          </w:p>
        </w:tc>
        <w:tc>
          <w:tcPr>
            <w:tcW w:w="1491" w:type="dxa"/>
            <w:vAlign w:val="center"/>
          </w:tcPr>
          <w:p>
            <w:pPr>
              <w:tabs>
                <w:tab w:val="left" w:pos="970"/>
              </w:tabs>
              <w:jc w:val="both"/>
              <w:rPr>
                <w:b/>
                <w:color w:val="auto"/>
              </w:rPr>
            </w:pPr>
          </w:p>
        </w:tc>
        <w:tc>
          <w:tcPr>
            <w:tcW w:w="2221" w:type="dxa"/>
            <w:vAlign w:val="center"/>
          </w:tcPr>
          <w:p>
            <w:pPr>
              <w:tabs>
                <w:tab w:val="left" w:pos="970"/>
              </w:tabs>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6" w:type="dxa"/>
            <w:vAlign w:val="center"/>
          </w:tcPr>
          <w:p>
            <w:pPr>
              <w:tabs>
                <w:tab w:val="left" w:pos="970"/>
              </w:tabs>
              <w:jc w:val="center"/>
              <w:rPr>
                <w:color w:val="auto"/>
              </w:rPr>
            </w:pPr>
            <w:r>
              <w:rPr>
                <w:color w:val="auto"/>
              </w:rPr>
              <w:t>2</w:t>
            </w:r>
          </w:p>
        </w:tc>
        <w:tc>
          <w:tcPr>
            <w:tcW w:w="3686" w:type="dxa"/>
            <w:vAlign w:val="center"/>
          </w:tcPr>
          <w:p>
            <w:pPr>
              <w:tabs>
                <w:tab w:val="left" w:pos="970"/>
              </w:tabs>
              <w:rPr>
                <w:color w:val="auto"/>
              </w:rPr>
            </w:pPr>
          </w:p>
        </w:tc>
        <w:tc>
          <w:tcPr>
            <w:tcW w:w="1491" w:type="dxa"/>
            <w:vAlign w:val="center"/>
          </w:tcPr>
          <w:p>
            <w:pPr>
              <w:tabs>
                <w:tab w:val="left" w:pos="970"/>
              </w:tabs>
              <w:jc w:val="both"/>
              <w:rPr>
                <w:b/>
                <w:color w:val="auto"/>
              </w:rPr>
            </w:pPr>
          </w:p>
        </w:tc>
        <w:tc>
          <w:tcPr>
            <w:tcW w:w="2221" w:type="dxa"/>
            <w:vAlign w:val="center"/>
          </w:tcPr>
          <w:p>
            <w:pPr>
              <w:tabs>
                <w:tab w:val="left" w:pos="970"/>
              </w:tabs>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6" w:type="dxa"/>
            <w:vAlign w:val="center"/>
          </w:tcPr>
          <w:p>
            <w:pPr>
              <w:tabs>
                <w:tab w:val="left" w:pos="970"/>
              </w:tabs>
              <w:jc w:val="center"/>
              <w:rPr>
                <w:color w:val="auto"/>
              </w:rPr>
            </w:pPr>
            <w:r>
              <w:rPr>
                <w:color w:val="auto"/>
              </w:rPr>
              <w:t>3</w:t>
            </w:r>
          </w:p>
        </w:tc>
        <w:tc>
          <w:tcPr>
            <w:tcW w:w="3686" w:type="dxa"/>
            <w:vAlign w:val="center"/>
          </w:tcPr>
          <w:p>
            <w:pPr>
              <w:tabs>
                <w:tab w:val="left" w:pos="970"/>
              </w:tabs>
              <w:rPr>
                <w:bCs/>
                <w:color w:val="auto"/>
              </w:rPr>
            </w:pPr>
          </w:p>
        </w:tc>
        <w:tc>
          <w:tcPr>
            <w:tcW w:w="1491" w:type="dxa"/>
            <w:vAlign w:val="center"/>
          </w:tcPr>
          <w:p>
            <w:pPr>
              <w:tabs>
                <w:tab w:val="left" w:pos="970"/>
              </w:tabs>
              <w:jc w:val="both"/>
              <w:rPr>
                <w:b/>
                <w:color w:val="auto"/>
              </w:rPr>
            </w:pPr>
          </w:p>
        </w:tc>
        <w:tc>
          <w:tcPr>
            <w:tcW w:w="2221" w:type="dxa"/>
            <w:vAlign w:val="center"/>
          </w:tcPr>
          <w:p>
            <w:pPr>
              <w:tabs>
                <w:tab w:val="left" w:pos="970"/>
              </w:tabs>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6" w:type="dxa"/>
            <w:vAlign w:val="center"/>
          </w:tcPr>
          <w:p>
            <w:pPr>
              <w:tabs>
                <w:tab w:val="left" w:pos="970"/>
              </w:tabs>
              <w:spacing w:after="60" w:afterLines="25" w:line="300" w:lineRule="exact"/>
              <w:jc w:val="center"/>
              <w:rPr>
                <w:color w:val="auto"/>
              </w:rPr>
            </w:pPr>
            <w:r>
              <w:rPr>
                <w:bCs/>
                <w:color w:val="auto"/>
              </w:rPr>
              <w:t>…</w:t>
            </w:r>
          </w:p>
        </w:tc>
        <w:tc>
          <w:tcPr>
            <w:tcW w:w="3686" w:type="dxa"/>
            <w:vAlign w:val="center"/>
          </w:tcPr>
          <w:p>
            <w:pPr>
              <w:tabs>
                <w:tab w:val="left" w:pos="970"/>
              </w:tabs>
              <w:rPr>
                <w:bCs/>
                <w:color w:val="auto"/>
              </w:rPr>
            </w:pPr>
            <w:r>
              <w:rPr>
                <w:bCs/>
                <w:color w:val="auto"/>
              </w:rPr>
              <w:t>其他（如果有）</w:t>
            </w:r>
          </w:p>
        </w:tc>
        <w:tc>
          <w:tcPr>
            <w:tcW w:w="1491" w:type="dxa"/>
            <w:vAlign w:val="center"/>
          </w:tcPr>
          <w:p>
            <w:pPr>
              <w:tabs>
                <w:tab w:val="left" w:pos="970"/>
              </w:tabs>
              <w:jc w:val="both"/>
              <w:rPr>
                <w:b/>
                <w:color w:val="auto"/>
              </w:rPr>
            </w:pPr>
          </w:p>
        </w:tc>
        <w:tc>
          <w:tcPr>
            <w:tcW w:w="2221" w:type="dxa"/>
            <w:vAlign w:val="center"/>
          </w:tcPr>
          <w:p>
            <w:pPr>
              <w:tabs>
                <w:tab w:val="left" w:pos="970"/>
              </w:tabs>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736" w:type="dxa"/>
          </w:tcPr>
          <w:p>
            <w:pPr>
              <w:tabs>
                <w:tab w:val="left" w:pos="970"/>
              </w:tabs>
              <w:spacing w:after="84"/>
              <w:jc w:val="center"/>
              <w:rPr>
                <w:color w:val="auto"/>
              </w:rPr>
            </w:pPr>
          </w:p>
        </w:tc>
        <w:tc>
          <w:tcPr>
            <w:tcW w:w="3686" w:type="dxa"/>
            <w:vAlign w:val="center"/>
          </w:tcPr>
          <w:p>
            <w:pPr>
              <w:tabs>
                <w:tab w:val="left" w:pos="970"/>
              </w:tabs>
              <w:rPr>
                <w:bCs/>
                <w:color w:val="auto"/>
              </w:rPr>
            </w:pPr>
            <w:r>
              <w:rPr>
                <w:bCs/>
                <w:color w:val="auto"/>
              </w:rPr>
              <w:t>合计</w:t>
            </w:r>
          </w:p>
        </w:tc>
        <w:tc>
          <w:tcPr>
            <w:tcW w:w="1491" w:type="dxa"/>
            <w:vAlign w:val="center"/>
          </w:tcPr>
          <w:p>
            <w:pPr>
              <w:tabs>
                <w:tab w:val="left" w:pos="970"/>
              </w:tabs>
              <w:spacing w:after="84"/>
              <w:jc w:val="both"/>
              <w:rPr>
                <w:b/>
                <w:color w:val="auto"/>
              </w:rPr>
            </w:pPr>
          </w:p>
        </w:tc>
        <w:tc>
          <w:tcPr>
            <w:tcW w:w="2221" w:type="dxa"/>
            <w:vAlign w:val="center"/>
          </w:tcPr>
          <w:p>
            <w:pPr>
              <w:tabs>
                <w:tab w:val="left" w:pos="970"/>
              </w:tabs>
              <w:spacing w:after="84"/>
              <w:jc w:val="both"/>
              <w:rPr>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8134" w:type="dxa"/>
            <w:gridSpan w:val="4"/>
          </w:tcPr>
          <w:p>
            <w:pPr>
              <w:widowControl/>
              <w:spacing w:before="120" w:beforeLines="50"/>
              <w:rPr>
                <w:b/>
                <w:color w:val="auto"/>
                <w:lang w:eastAsia="zh-CN"/>
              </w:rPr>
            </w:pPr>
            <w:r>
              <w:rPr>
                <w:b/>
                <w:color w:val="auto"/>
                <w:lang w:eastAsia="zh-CN"/>
              </w:rPr>
              <w:t>咨询服务费计算依据和/或过程。</w:t>
            </w:r>
          </w:p>
          <w:p>
            <w:pPr>
              <w:tabs>
                <w:tab w:val="left" w:pos="970"/>
              </w:tabs>
              <w:spacing w:after="60" w:afterLines="25" w:line="300" w:lineRule="exact"/>
              <w:rPr>
                <w:bCs/>
                <w:color w:val="auto"/>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134" w:type="dxa"/>
            <w:gridSpan w:val="4"/>
          </w:tcPr>
          <w:p>
            <w:pPr>
              <w:widowControl/>
              <w:spacing w:before="120" w:beforeLines="50"/>
              <w:rPr>
                <w:b/>
                <w:color w:val="auto"/>
                <w:lang w:eastAsia="zh-CN"/>
              </w:rPr>
            </w:pPr>
            <w:r>
              <w:rPr>
                <w:b/>
                <w:color w:val="auto"/>
                <w:lang w:eastAsia="zh-CN"/>
              </w:rPr>
              <w:t>备注</w:t>
            </w:r>
            <w:r>
              <w:rPr>
                <w:rFonts w:hint="eastAsia"/>
                <w:b/>
                <w:color w:val="auto"/>
                <w:lang w:eastAsia="zh-CN"/>
              </w:rPr>
              <w:t>：</w:t>
            </w:r>
          </w:p>
        </w:tc>
      </w:tr>
    </w:tbl>
    <w:p>
      <w:pPr>
        <w:pStyle w:val="12"/>
        <w:tabs>
          <w:tab w:val="left" w:pos="4079"/>
          <w:tab w:val="left" w:pos="7079"/>
          <w:tab w:val="left" w:pos="7799"/>
        </w:tabs>
        <w:ind w:left="238"/>
        <w:rPr>
          <w:rFonts w:ascii="Times New Roman" w:hAnsi="Times New Roman"/>
          <w:color w:val="auto"/>
          <w:lang w:eastAsia="zh-CN"/>
        </w:rPr>
      </w:pPr>
    </w:p>
    <w:p>
      <w:pPr>
        <w:pStyle w:val="12"/>
        <w:spacing w:before="121"/>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（盖章）</w:t>
      </w:r>
    </w:p>
    <w:p>
      <w:pPr>
        <w:pStyle w:val="12"/>
        <w:spacing w:before="74"/>
        <w:rPr>
          <w:rFonts w:ascii="Times New Roman" w:hAnsi="Times New Roman"/>
          <w:color w:val="auto"/>
          <w:u w:val="single"/>
          <w:lang w:eastAsia="zh-CN"/>
        </w:rPr>
      </w:pPr>
      <w:r>
        <w:rPr>
          <w:rFonts w:hint="eastAsia" w:ascii="Times New Roman" w:hAnsi="Times New Roman"/>
          <w:color w:val="auto"/>
          <w:lang w:eastAsia="zh-CN"/>
        </w:rPr>
        <w:t>投标人法定代表人或授权代表（签字或盖章）：</w:t>
      </w:r>
    </w:p>
    <w:p>
      <w:pPr>
        <w:pStyle w:val="12"/>
        <w:spacing w:before="74"/>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注：投标人为小型、微型企业的，应当在报价表备注中注明。</w:t>
      </w:r>
    </w:p>
    <w:p>
      <w:pPr>
        <w:pStyle w:val="12"/>
        <w:spacing w:line="360" w:lineRule="auto"/>
        <w:ind w:right="-29" w:firstLine="480" w:firstLineChars="200"/>
        <w:rPr>
          <w:rFonts w:ascii="Times New Roman" w:hAnsi="Times New Roman"/>
          <w:color w:val="auto"/>
          <w:lang w:eastAsia="zh-CN"/>
        </w:rPr>
      </w:pPr>
    </w:p>
    <w:p>
      <w:pPr>
        <w:spacing w:line="364" w:lineRule="auto"/>
        <w:rPr>
          <w:rFonts w:ascii="Times New Roman" w:hAnsi="Times New Roman"/>
          <w:color w:val="auto"/>
          <w:sz w:val="24"/>
          <w:szCs w:val="24"/>
          <w:lang w:eastAsia="zh-CN"/>
        </w:rPr>
        <w:sectPr>
          <w:pgSz w:w="11910" w:h="16840"/>
          <w:pgMar w:top="1588" w:right="1418" w:bottom="1814" w:left="1588" w:header="734" w:footer="994" w:gutter="0"/>
          <w:cols w:space="720" w:num="1"/>
          <w:docGrid w:linePitch="299" w:charSpace="0"/>
        </w:sectPr>
      </w:pPr>
    </w:p>
    <w:p>
      <w:pPr>
        <w:pStyle w:val="5"/>
        <w:keepNext w:val="0"/>
        <w:keepLines w:val="0"/>
        <w:spacing w:before="0" w:after="0" w:line="360" w:lineRule="auto"/>
        <w:rPr>
          <w:rFonts w:ascii="Times New Roman"/>
          <w:color w:val="auto"/>
          <w:spacing w:val="10"/>
        </w:rPr>
      </w:pPr>
      <w:bookmarkStart w:id="438" w:name="_Toc522884086"/>
      <w:r>
        <w:rPr>
          <w:rFonts w:hint="eastAsia" w:ascii="Times New Roman"/>
          <w:color w:val="auto"/>
          <w:spacing w:val="10"/>
        </w:rPr>
        <w:t>附件</w:t>
      </w:r>
      <w:r>
        <w:rPr>
          <w:rFonts w:ascii="Times New Roman"/>
          <w:color w:val="auto"/>
          <w:spacing w:val="10"/>
        </w:rPr>
        <w:t>4</w:t>
      </w:r>
      <w:r>
        <w:rPr>
          <w:rFonts w:hint="eastAsia" w:ascii="Times New Roman"/>
          <w:color w:val="auto"/>
          <w:spacing w:val="10"/>
        </w:rPr>
        <w:t>、</w:t>
      </w:r>
      <w:bookmarkEnd w:id="438"/>
      <w:r>
        <w:rPr>
          <w:rFonts w:hint="eastAsia" w:ascii="Times New Roman"/>
          <w:color w:val="auto"/>
          <w:spacing w:val="10"/>
        </w:rPr>
        <w:t>商务条款偏离表</w:t>
      </w:r>
    </w:p>
    <w:p>
      <w:pPr>
        <w:pStyle w:val="12"/>
        <w:tabs>
          <w:tab w:val="left" w:pos="3341"/>
          <w:tab w:val="left" w:pos="6341"/>
        </w:tabs>
        <w:spacing w:line="360" w:lineRule="auto"/>
        <w:jc w:val="center"/>
        <w:rPr>
          <w:rFonts w:ascii="Times New Roman" w:hAnsi="Times New Roman"/>
          <w:color w:val="auto"/>
          <w:lang w:eastAsia="zh-CN"/>
        </w:rPr>
      </w:pPr>
      <w:r>
        <w:rPr>
          <w:rFonts w:hint="eastAsia" w:ascii="Times New Roman" w:hAnsi="Times New Roman"/>
          <w:b/>
          <w:color w:val="auto"/>
          <w:lang w:eastAsia="zh-CN"/>
        </w:rPr>
        <w:t>商务条款偏离表</w:t>
      </w:r>
    </w:p>
    <w:p>
      <w:pPr>
        <w:pStyle w:val="12"/>
        <w:tabs>
          <w:tab w:val="left" w:pos="3341"/>
          <w:tab w:val="left" w:pos="6341"/>
        </w:tabs>
        <w:spacing w:before="105"/>
        <w:ind w:left="341"/>
        <w:rPr>
          <w:rFonts w:ascii="Times New Roman" w:hAnsi="Times New Roman"/>
          <w:color w:val="auto"/>
          <w:lang w:eastAsia="zh-CN"/>
        </w:rPr>
      </w:pPr>
      <w:r>
        <w:rPr>
          <w:rFonts w:hint="eastAsia" w:ascii="Times New Roman" w:hAnsi="Times New Roman"/>
          <w:color w:val="auto"/>
          <w:lang w:eastAsia="zh-CN"/>
        </w:rPr>
        <w:t>项目名称：</w:t>
      </w:r>
      <w:r>
        <w:rPr>
          <w:rFonts w:ascii="Times New Roman" w:hAnsi="Times New Roman" w:cs="Times New Roman"/>
          <w:color w:val="auto"/>
          <w:u w:val="single"/>
          <w:lang w:eastAsia="zh-CN"/>
        </w:rPr>
        <w:t>_____________________</w:t>
      </w:r>
      <w:r>
        <w:rPr>
          <w:rFonts w:hint="eastAsia" w:ascii="Times New Roman" w:hAnsi="Times New Roman"/>
          <w:color w:val="auto"/>
          <w:lang w:eastAsia="zh-CN"/>
        </w:rPr>
        <w:t>招标编号：</w:t>
      </w:r>
      <w:r>
        <w:rPr>
          <w:rFonts w:ascii="Times New Roman" w:hAnsi="Times New Roman" w:cs="Times New Roman"/>
          <w:color w:val="auto"/>
          <w:u w:val="single"/>
          <w:lang w:eastAsia="zh-CN"/>
        </w:rPr>
        <w:t>_________</w:t>
      </w:r>
    </w:p>
    <w:p>
      <w:pPr>
        <w:pStyle w:val="12"/>
        <w:rPr>
          <w:rFonts w:ascii="Times New Roman" w:hAnsi="Times New Roman"/>
          <w:color w:val="auto"/>
          <w:lang w:eastAsia="zh-CN"/>
        </w:rPr>
      </w:pPr>
    </w:p>
    <w:tbl>
      <w:tblPr>
        <w:tblStyle w:val="36"/>
        <w:tblW w:w="0" w:type="auto"/>
        <w:tblInd w:w="35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709"/>
        <w:gridCol w:w="1920"/>
        <w:gridCol w:w="2400"/>
        <w:gridCol w:w="2400"/>
        <w:gridCol w:w="83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791" w:hRule="atLeast"/>
        </w:trPr>
        <w:tc>
          <w:tcPr>
            <w:tcW w:w="709" w:type="dxa"/>
            <w:tcBorders>
              <w:bottom w:val="single" w:color="000000" w:sz="4" w:space="0"/>
              <w:right w:val="single" w:color="000000" w:sz="4" w:space="0"/>
            </w:tcBorders>
            <w:vAlign w:val="center"/>
          </w:tcPr>
          <w:p>
            <w:pPr>
              <w:pStyle w:val="52"/>
              <w:jc w:val="center"/>
              <w:rPr>
                <w:rFonts w:ascii="Times New Roman" w:hAnsi="Times New Roman"/>
                <w:b/>
                <w:color w:val="auto"/>
                <w:sz w:val="24"/>
                <w:szCs w:val="24"/>
              </w:rPr>
            </w:pPr>
            <w:r>
              <w:rPr>
                <w:rFonts w:hint="eastAsia" w:ascii="Times New Roman" w:hAnsi="Times New Roman"/>
                <w:b/>
                <w:color w:val="auto"/>
                <w:sz w:val="24"/>
                <w:szCs w:val="24"/>
              </w:rPr>
              <w:t>序号</w:t>
            </w:r>
          </w:p>
        </w:tc>
        <w:tc>
          <w:tcPr>
            <w:tcW w:w="1920" w:type="dxa"/>
            <w:tcBorders>
              <w:left w:val="single" w:color="000000" w:sz="4" w:space="0"/>
              <w:bottom w:val="single" w:color="000000" w:sz="4" w:space="0"/>
              <w:right w:val="single" w:color="000000" w:sz="4" w:space="0"/>
            </w:tcBorders>
            <w:vAlign w:val="center"/>
          </w:tcPr>
          <w:p>
            <w:pPr>
              <w:pStyle w:val="52"/>
              <w:jc w:val="center"/>
              <w:rPr>
                <w:rFonts w:ascii="Times New Roman" w:hAnsi="Times New Roman"/>
                <w:b/>
                <w:color w:val="auto"/>
                <w:sz w:val="24"/>
                <w:szCs w:val="24"/>
              </w:rPr>
            </w:pPr>
            <w:r>
              <w:rPr>
                <w:rFonts w:hint="eastAsia" w:ascii="Times New Roman" w:hAnsi="Times New Roman"/>
                <w:b/>
                <w:color w:val="auto"/>
                <w:sz w:val="24"/>
                <w:szCs w:val="24"/>
              </w:rPr>
              <w:t>招标文件条目号</w:t>
            </w:r>
          </w:p>
        </w:tc>
        <w:tc>
          <w:tcPr>
            <w:tcW w:w="2400" w:type="dxa"/>
            <w:tcBorders>
              <w:left w:val="single" w:color="000000" w:sz="4" w:space="0"/>
              <w:bottom w:val="single" w:color="000000" w:sz="4" w:space="0"/>
              <w:right w:val="single" w:color="000000" w:sz="4" w:space="0"/>
            </w:tcBorders>
            <w:vAlign w:val="center"/>
          </w:tcPr>
          <w:p>
            <w:pPr>
              <w:pStyle w:val="52"/>
              <w:jc w:val="center"/>
              <w:rPr>
                <w:rFonts w:ascii="Times New Roman" w:hAnsi="Times New Roman"/>
                <w:b/>
                <w:color w:val="auto"/>
                <w:sz w:val="24"/>
                <w:szCs w:val="24"/>
              </w:rPr>
            </w:pPr>
            <w:r>
              <w:rPr>
                <w:rFonts w:hint="eastAsia" w:ascii="Times New Roman" w:hAnsi="Times New Roman"/>
                <w:b/>
                <w:color w:val="auto"/>
                <w:sz w:val="24"/>
                <w:szCs w:val="24"/>
              </w:rPr>
              <w:t>招标文件的商务条款</w:t>
            </w:r>
          </w:p>
        </w:tc>
        <w:tc>
          <w:tcPr>
            <w:tcW w:w="2400" w:type="dxa"/>
            <w:tcBorders>
              <w:left w:val="single" w:color="000000" w:sz="4" w:space="0"/>
              <w:bottom w:val="single" w:color="000000" w:sz="4" w:space="0"/>
              <w:right w:val="single" w:color="000000" w:sz="4" w:space="0"/>
            </w:tcBorders>
            <w:vAlign w:val="center"/>
          </w:tcPr>
          <w:p>
            <w:pPr>
              <w:pStyle w:val="52"/>
              <w:jc w:val="center"/>
              <w:rPr>
                <w:rFonts w:ascii="Times New Roman" w:hAnsi="Times New Roman"/>
                <w:b/>
                <w:color w:val="auto"/>
                <w:sz w:val="24"/>
                <w:szCs w:val="24"/>
              </w:rPr>
            </w:pPr>
            <w:r>
              <w:rPr>
                <w:rFonts w:hint="eastAsia" w:ascii="Times New Roman" w:hAnsi="Times New Roman"/>
                <w:b/>
                <w:color w:val="auto"/>
                <w:sz w:val="24"/>
                <w:szCs w:val="24"/>
              </w:rPr>
              <w:t>投标文件的商务条款</w:t>
            </w:r>
          </w:p>
        </w:tc>
        <w:tc>
          <w:tcPr>
            <w:tcW w:w="833" w:type="dxa"/>
            <w:tcBorders>
              <w:left w:val="single" w:color="000000" w:sz="4" w:space="0"/>
              <w:bottom w:val="single" w:color="000000" w:sz="4" w:space="0"/>
            </w:tcBorders>
            <w:vAlign w:val="center"/>
          </w:tcPr>
          <w:p>
            <w:pPr>
              <w:pStyle w:val="52"/>
              <w:jc w:val="center"/>
              <w:rPr>
                <w:rFonts w:ascii="Times New Roman" w:hAnsi="Times New Roman"/>
                <w:b/>
                <w:color w:val="auto"/>
                <w:sz w:val="24"/>
                <w:szCs w:val="24"/>
              </w:rPr>
            </w:pPr>
            <w:r>
              <w:rPr>
                <w:rFonts w:hint="eastAsia" w:ascii="Times New Roman" w:hAnsi="Times New Roman"/>
                <w:b/>
                <w:color w:val="auto"/>
                <w:sz w:val="24"/>
                <w:szCs w:val="24"/>
              </w:rPr>
              <w:t>说明</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bottom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bottom w:val="single" w:color="000000" w:sz="4" w:space="0"/>
            </w:tcBorders>
          </w:tcPr>
          <w:p>
            <w:pPr>
              <w:pStyle w:val="52"/>
              <w:rPr>
                <w:rFonts w:ascii="Times New Roman" w:hAnsi="Times New Roman"/>
                <w:color w:val="auto"/>
                <w:sz w:val="24"/>
                <w:szCs w:val="24"/>
                <w:lang w:eastAsia="zh-CN"/>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108" w:type="dxa"/>
            <w:bottom w:w="0" w:type="dxa"/>
            <w:right w:w="108" w:type="dxa"/>
          </w:tblCellMar>
        </w:tblPrEx>
        <w:trPr>
          <w:trHeight w:val="567" w:hRule="atLeast"/>
        </w:trPr>
        <w:tc>
          <w:tcPr>
            <w:tcW w:w="709" w:type="dxa"/>
            <w:tcBorders>
              <w:top w:val="single" w:color="000000" w:sz="4" w:space="0"/>
              <w:right w:val="single" w:color="000000" w:sz="4" w:space="0"/>
            </w:tcBorders>
          </w:tcPr>
          <w:p>
            <w:pPr>
              <w:pStyle w:val="52"/>
              <w:rPr>
                <w:rFonts w:ascii="Times New Roman" w:hAnsi="Times New Roman"/>
                <w:color w:val="auto"/>
                <w:sz w:val="24"/>
                <w:szCs w:val="24"/>
                <w:lang w:eastAsia="zh-CN"/>
              </w:rPr>
            </w:pPr>
          </w:p>
        </w:tc>
        <w:tc>
          <w:tcPr>
            <w:tcW w:w="1920" w:type="dxa"/>
            <w:tcBorders>
              <w:top w:val="single" w:color="000000" w:sz="4" w:space="0"/>
              <w:left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right w:val="single" w:color="000000" w:sz="4" w:space="0"/>
            </w:tcBorders>
          </w:tcPr>
          <w:p>
            <w:pPr>
              <w:pStyle w:val="52"/>
              <w:rPr>
                <w:rFonts w:ascii="Times New Roman" w:hAnsi="Times New Roman"/>
                <w:color w:val="auto"/>
                <w:sz w:val="24"/>
                <w:szCs w:val="24"/>
                <w:lang w:eastAsia="zh-CN"/>
              </w:rPr>
            </w:pPr>
          </w:p>
        </w:tc>
        <w:tc>
          <w:tcPr>
            <w:tcW w:w="2400" w:type="dxa"/>
            <w:tcBorders>
              <w:top w:val="single" w:color="000000" w:sz="4" w:space="0"/>
              <w:left w:val="single" w:color="000000" w:sz="4" w:space="0"/>
              <w:right w:val="single" w:color="000000" w:sz="4" w:space="0"/>
            </w:tcBorders>
          </w:tcPr>
          <w:p>
            <w:pPr>
              <w:pStyle w:val="52"/>
              <w:rPr>
                <w:rFonts w:ascii="Times New Roman" w:hAnsi="Times New Roman"/>
                <w:color w:val="auto"/>
                <w:sz w:val="24"/>
                <w:szCs w:val="24"/>
                <w:lang w:eastAsia="zh-CN"/>
              </w:rPr>
            </w:pPr>
          </w:p>
        </w:tc>
        <w:tc>
          <w:tcPr>
            <w:tcW w:w="833" w:type="dxa"/>
            <w:tcBorders>
              <w:top w:val="single" w:color="000000" w:sz="4" w:space="0"/>
              <w:left w:val="single" w:color="000000" w:sz="4" w:space="0"/>
            </w:tcBorders>
          </w:tcPr>
          <w:p>
            <w:pPr>
              <w:pStyle w:val="52"/>
              <w:rPr>
                <w:rFonts w:ascii="Times New Roman" w:hAnsi="Times New Roman"/>
                <w:color w:val="auto"/>
                <w:sz w:val="24"/>
                <w:szCs w:val="24"/>
                <w:lang w:eastAsia="zh-CN"/>
              </w:rPr>
            </w:pPr>
          </w:p>
        </w:tc>
      </w:tr>
    </w:tbl>
    <w:p>
      <w:pPr>
        <w:pStyle w:val="12"/>
        <w:rPr>
          <w:rFonts w:ascii="Times New Roman" w:hAnsi="Times New Roman"/>
          <w:color w:val="auto"/>
        </w:rPr>
      </w:pPr>
    </w:p>
    <w:p>
      <w:pPr>
        <w:pStyle w:val="12"/>
        <w:spacing w:before="8"/>
        <w:rPr>
          <w:rFonts w:ascii="Times New Roman" w:hAnsi="Times New Roman"/>
          <w:color w:val="auto"/>
        </w:rPr>
      </w:pPr>
    </w:p>
    <w:p>
      <w:pPr>
        <w:pStyle w:val="12"/>
        <w:tabs>
          <w:tab w:val="left" w:pos="5499"/>
        </w:tabs>
        <w:spacing w:line="360" w:lineRule="auto"/>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（盖章）</w:t>
      </w:r>
    </w:p>
    <w:p>
      <w:pPr>
        <w:pStyle w:val="12"/>
        <w:tabs>
          <w:tab w:val="left" w:pos="5529"/>
        </w:tabs>
        <w:spacing w:line="360" w:lineRule="auto"/>
        <w:rPr>
          <w:rFonts w:ascii="Times New Roman" w:hAnsi="Times New Roman"/>
          <w:color w:val="auto"/>
          <w:lang w:eastAsia="zh-CN"/>
        </w:rPr>
      </w:pPr>
      <w:r>
        <w:rPr>
          <w:rFonts w:hint="eastAsia" w:ascii="Times New Roman" w:hAnsi="Times New Roman"/>
          <w:color w:val="auto"/>
          <w:lang w:eastAsia="zh-CN"/>
        </w:rPr>
        <w:t>投标人法定代表人或授权代表（签字或盖章）：</w:t>
      </w:r>
    </w:p>
    <w:p>
      <w:pPr>
        <w:pStyle w:val="12"/>
        <w:spacing w:line="360" w:lineRule="auto"/>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12"/>
        <w:spacing w:line="360" w:lineRule="auto"/>
        <w:jc w:val="both"/>
        <w:rPr>
          <w:rFonts w:ascii="Times New Roman" w:hAnsi="Times New Roman"/>
          <w:color w:val="auto"/>
          <w:lang w:eastAsia="zh-CN"/>
        </w:rPr>
      </w:pPr>
      <w:r>
        <w:rPr>
          <w:rFonts w:hint="eastAsia" w:ascii="Times New Roman" w:hAnsi="Times New Roman"/>
          <w:color w:val="auto"/>
          <w:lang w:eastAsia="zh-CN"/>
        </w:rPr>
        <w:t>注：投标人如果对包括完成期限、付款方式</w:t>
      </w:r>
      <w:r>
        <w:rPr>
          <w:rFonts w:ascii="Times New Roman" w:hAnsi="Times New Roman"/>
          <w:color w:val="auto"/>
          <w:lang w:eastAsia="zh-CN"/>
        </w:rPr>
        <w:t>/</w:t>
      </w:r>
      <w:r>
        <w:rPr>
          <w:rFonts w:hint="eastAsia" w:ascii="Times New Roman" w:hAnsi="Times New Roman"/>
          <w:color w:val="auto"/>
          <w:lang w:eastAsia="zh-CN"/>
        </w:rPr>
        <w:t>条件及合同条款在内的商</w:t>
      </w:r>
      <w:r>
        <w:rPr>
          <w:rFonts w:hint="eastAsia" w:ascii="Times New Roman" w:hAnsi="Times New Roman"/>
          <w:color w:val="auto"/>
          <w:spacing w:val="-6"/>
          <w:lang w:eastAsia="zh-CN"/>
        </w:rPr>
        <w:t>务条款的响应有任何偏离，请在本表中详细填写；如对商务条款没有偏离，</w:t>
      </w:r>
      <w:r>
        <w:rPr>
          <w:rFonts w:hint="eastAsia" w:ascii="Times New Roman" w:hAnsi="Times New Roman"/>
          <w:color w:val="auto"/>
          <w:lang w:eastAsia="zh-CN"/>
        </w:rPr>
        <w:t>表格中只在说明中填写“无偏离”其余项无需填写。</w:t>
      </w:r>
    </w:p>
    <w:p>
      <w:pPr>
        <w:rPr>
          <w:rFonts w:ascii="Times New Roman" w:hAnsi="Times New Roman"/>
          <w:color w:val="auto"/>
          <w:sz w:val="24"/>
          <w:szCs w:val="24"/>
          <w:lang w:eastAsia="zh-CN"/>
        </w:rPr>
      </w:pPr>
      <w:r>
        <w:rPr>
          <w:rFonts w:ascii="Times New Roman" w:hAnsi="Times New Roman"/>
          <w:color w:val="auto"/>
          <w:lang w:eastAsia="zh-CN"/>
        </w:rPr>
        <w:br w:type="page"/>
      </w:r>
    </w:p>
    <w:p>
      <w:pPr>
        <w:pStyle w:val="5"/>
        <w:keepNext w:val="0"/>
        <w:keepLines w:val="0"/>
        <w:spacing w:before="0" w:after="0" w:line="360" w:lineRule="auto"/>
        <w:rPr>
          <w:rFonts w:ascii="Times New Roman"/>
          <w:color w:val="auto"/>
          <w:spacing w:val="10"/>
        </w:rPr>
      </w:pPr>
      <w:r>
        <w:rPr>
          <w:rFonts w:hint="eastAsia" w:ascii="Times New Roman"/>
          <w:color w:val="auto"/>
          <w:spacing w:val="10"/>
        </w:rPr>
        <w:t>附件</w:t>
      </w:r>
      <w:r>
        <w:rPr>
          <w:rFonts w:ascii="Times New Roman"/>
          <w:color w:val="auto"/>
          <w:spacing w:val="10"/>
        </w:rPr>
        <w:t>5</w:t>
      </w:r>
      <w:r>
        <w:rPr>
          <w:rFonts w:hint="eastAsia" w:ascii="Times New Roman"/>
          <w:color w:val="auto"/>
          <w:spacing w:val="10"/>
        </w:rPr>
        <w:t>、拟投入本项目团队人员汇总表</w:t>
      </w:r>
    </w:p>
    <w:p>
      <w:pPr>
        <w:pStyle w:val="3"/>
        <w:ind w:firstLine="0" w:firstLineChars="0"/>
        <w:jc w:val="center"/>
        <w:rPr>
          <w:rFonts w:ascii="Times New Roman" w:hAnsi="Times New Roman"/>
          <w:b/>
          <w:color w:val="auto"/>
          <w:spacing w:val="10"/>
          <w:sz w:val="32"/>
          <w:szCs w:val="32"/>
          <w:lang w:eastAsia="zh-CN"/>
        </w:rPr>
      </w:pPr>
      <w:r>
        <w:rPr>
          <w:rFonts w:hint="eastAsia" w:ascii="Times New Roman" w:hAnsi="Times New Roman"/>
          <w:b/>
          <w:color w:val="auto"/>
          <w:spacing w:val="10"/>
          <w:sz w:val="32"/>
          <w:szCs w:val="32"/>
          <w:lang w:eastAsia="zh-CN"/>
        </w:rPr>
        <w:t>拟投入本项目团队人员汇总表</w:t>
      </w:r>
    </w:p>
    <w:p>
      <w:pPr>
        <w:pStyle w:val="3"/>
        <w:ind w:firstLine="0" w:firstLineChars="0"/>
        <w:rPr>
          <w:b/>
          <w:color w:val="auto"/>
          <w:sz w:val="24"/>
          <w:szCs w:val="24"/>
          <w:lang w:eastAsia="zh-CN"/>
        </w:rPr>
      </w:pPr>
    </w:p>
    <w:tbl>
      <w:tblPr>
        <w:tblStyle w:val="3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102"/>
        <w:gridCol w:w="1102"/>
        <w:gridCol w:w="1014"/>
        <w:gridCol w:w="1610"/>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top w:val="single" w:color="auto" w:sz="12" w:space="0"/>
              <w:left w:val="single" w:color="auto" w:sz="12" w:space="0"/>
            </w:tcBorders>
            <w:vAlign w:val="center"/>
          </w:tcPr>
          <w:p>
            <w:pPr>
              <w:jc w:val="center"/>
              <w:rPr>
                <w:color w:val="auto"/>
                <w:szCs w:val="21"/>
              </w:rPr>
            </w:pPr>
            <w:r>
              <w:rPr>
                <w:color w:val="auto"/>
                <w:szCs w:val="21"/>
              </w:rPr>
              <w:t>姓名</w:t>
            </w:r>
          </w:p>
        </w:tc>
        <w:tc>
          <w:tcPr>
            <w:tcW w:w="1102" w:type="dxa"/>
            <w:tcBorders>
              <w:top w:val="single" w:color="auto" w:sz="12" w:space="0"/>
            </w:tcBorders>
            <w:vAlign w:val="center"/>
          </w:tcPr>
          <w:p>
            <w:pPr>
              <w:jc w:val="center"/>
              <w:rPr>
                <w:rFonts w:hint="eastAsia" w:eastAsia="宋体"/>
                <w:color w:val="auto"/>
                <w:szCs w:val="21"/>
                <w:lang w:val="en-US" w:eastAsia="zh-CN"/>
              </w:rPr>
            </w:pPr>
            <w:r>
              <w:rPr>
                <w:rFonts w:hint="eastAsia"/>
                <w:color w:val="auto"/>
                <w:szCs w:val="21"/>
                <w:lang w:val="en-US" w:eastAsia="zh-CN"/>
              </w:rPr>
              <w:t>年龄</w:t>
            </w:r>
          </w:p>
        </w:tc>
        <w:tc>
          <w:tcPr>
            <w:tcW w:w="1102" w:type="dxa"/>
            <w:tcBorders>
              <w:top w:val="single" w:color="auto" w:sz="12" w:space="0"/>
            </w:tcBorders>
            <w:vAlign w:val="center"/>
          </w:tcPr>
          <w:p>
            <w:pPr>
              <w:jc w:val="center"/>
              <w:rPr>
                <w:color w:val="auto"/>
                <w:szCs w:val="21"/>
              </w:rPr>
            </w:pPr>
            <w:r>
              <w:rPr>
                <w:color w:val="auto"/>
                <w:szCs w:val="21"/>
              </w:rPr>
              <w:t>性别</w:t>
            </w:r>
          </w:p>
        </w:tc>
        <w:tc>
          <w:tcPr>
            <w:tcW w:w="1014" w:type="dxa"/>
            <w:tcBorders>
              <w:top w:val="single" w:color="auto" w:sz="12" w:space="0"/>
            </w:tcBorders>
            <w:vAlign w:val="center"/>
          </w:tcPr>
          <w:p>
            <w:pPr>
              <w:jc w:val="center"/>
              <w:rPr>
                <w:color w:val="auto"/>
                <w:szCs w:val="21"/>
              </w:rPr>
            </w:pPr>
            <w:r>
              <w:rPr>
                <w:color w:val="auto"/>
                <w:szCs w:val="21"/>
              </w:rPr>
              <w:t>专业技术职称</w:t>
            </w:r>
          </w:p>
        </w:tc>
        <w:tc>
          <w:tcPr>
            <w:tcW w:w="1610" w:type="dxa"/>
            <w:tcBorders>
              <w:top w:val="single" w:color="auto" w:sz="12" w:space="0"/>
            </w:tcBorders>
            <w:vAlign w:val="center"/>
          </w:tcPr>
          <w:p>
            <w:pPr>
              <w:jc w:val="center"/>
              <w:rPr>
                <w:color w:val="auto"/>
                <w:szCs w:val="21"/>
              </w:rPr>
            </w:pPr>
            <w:r>
              <w:rPr>
                <w:color w:val="auto"/>
                <w:szCs w:val="21"/>
              </w:rPr>
              <w:t>职业/执业证书及编号</w:t>
            </w:r>
          </w:p>
        </w:tc>
        <w:tc>
          <w:tcPr>
            <w:tcW w:w="1965" w:type="dxa"/>
            <w:tcBorders>
              <w:top w:val="single" w:color="auto" w:sz="12" w:space="0"/>
              <w:right w:val="single" w:color="auto" w:sz="12" w:space="0"/>
            </w:tcBorders>
            <w:vAlign w:val="center"/>
          </w:tcPr>
          <w:p>
            <w:pPr>
              <w:jc w:val="center"/>
              <w:rPr>
                <w:color w:val="auto"/>
                <w:szCs w:val="21"/>
                <w:lang w:eastAsia="zh-CN"/>
              </w:rPr>
            </w:pPr>
            <w:r>
              <w:rPr>
                <w:rFonts w:hint="eastAsia"/>
                <w:color w:val="auto"/>
                <w:szCs w:val="21"/>
                <w:lang w:eastAsia="zh-CN"/>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6"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729" w:type="dxa"/>
            <w:tcBorders>
              <w:left w:val="single" w:color="auto" w:sz="12" w:space="0"/>
            </w:tcBorders>
          </w:tcPr>
          <w:p>
            <w:pPr>
              <w:rPr>
                <w:color w:val="auto"/>
                <w:szCs w:val="21"/>
              </w:rPr>
            </w:pPr>
          </w:p>
        </w:tc>
        <w:tc>
          <w:tcPr>
            <w:tcW w:w="1102" w:type="dxa"/>
          </w:tcPr>
          <w:p>
            <w:pPr>
              <w:rPr>
                <w:color w:val="auto"/>
                <w:szCs w:val="21"/>
              </w:rPr>
            </w:pPr>
          </w:p>
        </w:tc>
        <w:tc>
          <w:tcPr>
            <w:tcW w:w="1102" w:type="dxa"/>
          </w:tcPr>
          <w:p>
            <w:pPr>
              <w:rPr>
                <w:color w:val="auto"/>
                <w:szCs w:val="21"/>
              </w:rPr>
            </w:pPr>
          </w:p>
        </w:tc>
        <w:tc>
          <w:tcPr>
            <w:tcW w:w="1014" w:type="dxa"/>
          </w:tcPr>
          <w:p>
            <w:pPr>
              <w:rPr>
                <w:color w:val="auto"/>
                <w:szCs w:val="21"/>
              </w:rPr>
            </w:pPr>
          </w:p>
        </w:tc>
        <w:tc>
          <w:tcPr>
            <w:tcW w:w="1610" w:type="dxa"/>
          </w:tcPr>
          <w:p>
            <w:pPr>
              <w:rPr>
                <w:color w:val="auto"/>
                <w:szCs w:val="21"/>
              </w:rPr>
            </w:pPr>
          </w:p>
        </w:tc>
        <w:tc>
          <w:tcPr>
            <w:tcW w:w="1965" w:type="dxa"/>
            <w:tcBorders>
              <w:right w:val="single" w:color="auto" w:sz="12" w:space="0"/>
            </w:tcBorders>
          </w:tcPr>
          <w:p>
            <w:pP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1729" w:type="dxa"/>
            <w:tcBorders>
              <w:left w:val="single" w:color="auto" w:sz="12" w:space="0"/>
              <w:bottom w:val="single" w:color="auto" w:sz="12" w:space="0"/>
            </w:tcBorders>
          </w:tcPr>
          <w:p>
            <w:pPr>
              <w:rPr>
                <w:color w:val="auto"/>
                <w:szCs w:val="21"/>
              </w:rPr>
            </w:pPr>
          </w:p>
        </w:tc>
        <w:tc>
          <w:tcPr>
            <w:tcW w:w="1102" w:type="dxa"/>
            <w:tcBorders>
              <w:bottom w:val="single" w:color="auto" w:sz="12" w:space="0"/>
            </w:tcBorders>
          </w:tcPr>
          <w:p>
            <w:pPr>
              <w:rPr>
                <w:color w:val="auto"/>
                <w:szCs w:val="21"/>
              </w:rPr>
            </w:pPr>
          </w:p>
        </w:tc>
        <w:tc>
          <w:tcPr>
            <w:tcW w:w="1102" w:type="dxa"/>
            <w:tcBorders>
              <w:bottom w:val="single" w:color="auto" w:sz="12" w:space="0"/>
            </w:tcBorders>
          </w:tcPr>
          <w:p>
            <w:pPr>
              <w:rPr>
                <w:color w:val="auto"/>
                <w:szCs w:val="21"/>
              </w:rPr>
            </w:pPr>
          </w:p>
        </w:tc>
        <w:tc>
          <w:tcPr>
            <w:tcW w:w="1014" w:type="dxa"/>
            <w:tcBorders>
              <w:bottom w:val="single" w:color="auto" w:sz="12" w:space="0"/>
            </w:tcBorders>
          </w:tcPr>
          <w:p>
            <w:pPr>
              <w:rPr>
                <w:color w:val="auto"/>
                <w:szCs w:val="21"/>
              </w:rPr>
            </w:pPr>
          </w:p>
        </w:tc>
        <w:tc>
          <w:tcPr>
            <w:tcW w:w="1610" w:type="dxa"/>
            <w:tcBorders>
              <w:bottom w:val="single" w:color="auto" w:sz="12" w:space="0"/>
            </w:tcBorders>
          </w:tcPr>
          <w:p>
            <w:pPr>
              <w:rPr>
                <w:color w:val="auto"/>
                <w:szCs w:val="21"/>
              </w:rPr>
            </w:pPr>
          </w:p>
        </w:tc>
        <w:tc>
          <w:tcPr>
            <w:tcW w:w="1965" w:type="dxa"/>
            <w:tcBorders>
              <w:bottom w:val="single" w:color="auto" w:sz="12" w:space="0"/>
              <w:right w:val="single" w:color="auto" w:sz="12" w:space="0"/>
            </w:tcBorders>
          </w:tcPr>
          <w:p>
            <w:pPr>
              <w:rPr>
                <w:color w:val="auto"/>
                <w:szCs w:val="21"/>
              </w:rPr>
            </w:pPr>
          </w:p>
        </w:tc>
      </w:tr>
    </w:tbl>
    <w:p>
      <w:pPr>
        <w:rPr>
          <w:color w:val="auto"/>
        </w:rPr>
      </w:pPr>
    </w:p>
    <w:p>
      <w:pPr>
        <w:rPr>
          <w:rFonts w:ascii="Times New Roman" w:hAnsi="Times New Roman" w:cs="Times New Roman"/>
          <w:b/>
          <w:color w:val="auto"/>
          <w:spacing w:val="10"/>
          <w:sz w:val="24"/>
          <w:szCs w:val="20"/>
          <w:lang w:eastAsia="zh-CN"/>
        </w:rPr>
      </w:pPr>
      <w:r>
        <w:rPr>
          <w:rFonts w:ascii="Times New Roman"/>
          <w:color w:val="auto"/>
          <w:spacing w:val="10"/>
        </w:rPr>
        <w:br w:type="page"/>
      </w:r>
    </w:p>
    <w:p>
      <w:pPr>
        <w:pStyle w:val="5"/>
        <w:keepNext w:val="0"/>
        <w:keepLines w:val="0"/>
        <w:spacing w:before="0" w:after="0" w:line="360" w:lineRule="auto"/>
        <w:rPr>
          <w:rFonts w:ascii="Times New Roman"/>
          <w:color w:val="auto"/>
          <w:spacing w:val="10"/>
        </w:rPr>
      </w:pPr>
      <w:r>
        <w:rPr>
          <w:rFonts w:hint="eastAsia" w:ascii="Times New Roman"/>
          <w:color w:val="auto"/>
          <w:spacing w:val="10"/>
        </w:rPr>
        <w:t>附件</w:t>
      </w:r>
      <w:r>
        <w:rPr>
          <w:rFonts w:ascii="Times New Roman"/>
          <w:color w:val="auto"/>
          <w:spacing w:val="10"/>
        </w:rPr>
        <w:t>6</w:t>
      </w:r>
      <w:r>
        <w:rPr>
          <w:rFonts w:hint="eastAsia" w:ascii="Times New Roman"/>
          <w:color w:val="auto"/>
          <w:spacing w:val="10"/>
        </w:rPr>
        <w:t>、主要项目管理人员简历表</w:t>
      </w:r>
    </w:p>
    <w:p>
      <w:pPr>
        <w:pStyle w:val="3"/>
        <w:ind w:firstLine="0" w:firstLineChars="0"/>
        <w:jc w:val="center"/>
        <w:rPr>
          <w:rFonts w:ascii="Times New Roman" w:hAnsi="Times New Roman"/>
          <w:b/>
          <w:color w:val="auto"/>
          <w:spacing w:val="10"/>
          <w:sz w:val="32"/>
          <w:szCs w:val="32"/>
          <w:lang w:eastAsia="zh-CN"/>
        </w:rPr>
      </w:pPr>
      <w:r>
        <w:rPr>
          <w:rFonts w:hint="eastAsia" w:ascii="Times New Roman" w:hAnsi="Times New Roman"/>
          <w:b/>
          <w:color w:val="auto"/>
          <w:spacing w:val="10"/>
          <w:sz w:val="32"/>
          <w:szCs w:val="32"/>
          <w:lang w:eastAsia="zh-CN"/>
        </w:rPr>
        <w:t>主要项目管理人员简历表</w:t>
      </w:r>
    </w:p>
    <w:p>
      <w:pPr>
        <w:spacing w:line="400" w:lineRule="exact"/>
        <w:ind w:firstLine="550" w:firstLineChars="250"/>
        <w:rPr>
          <w:color w:val="auto"/>
          <w:szCs w:val="21"/>
          <w:lang w:eastAsia="zh-CN"/>
        </w:rPr>
      </w:pPr>
      <w:r>
        <w:rPr>
          <w:rFonts w:hint="eastAsia"/>
          <w:color w:val="auto"/>
          <w:lang w:eastAsia="zh-CN"/>
        </w:rPr>
        <w:t>主要项目管理人员指项目负责人。</w:t>
      </w:r>
      <w:r>
        <w:rPr>
          <w:color w:val="auto"/>
          <w:szCs w:val="21"/>
          <w:lang w:eastAsia="zh-CN"/>
        </w:rPr>
        <w:t xml:space="preserve"> </w:t>
      </w:r>
    </w:p>
    <w:tbl>
      <w:tblPr>
        <w:tblStyle w:val="36"/>
        <w:tblW w:w="87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328"/>
        <w:gridCol w:w="1089"/>
        <w:gridCol w:w="993"/>
        <w:gridCol w:w="987"/>
        <w:gridCol w:w="1985"/>
        <w:gridCol w:w="28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858" w:type="dxa"/>
            <w:vAlign w:val="center"/>
          </w:tcPr>
          <w:p>
            <w:pPr>
              <w:spacing w:line="440" w:lineRule="exact"/>
              <w:jc w:val="center"/>
              <w:rPr>
                <w:color w:val="auto"/>
                <w:szCs w:val="21"/>
              </w:rPr>
            </w:pPr>
            <w:r>
              <w:rPr>
                <w:color w:val="auto"/>
                <w:szCs w:val="21"/>
              </w:rPr>
              <w:t>姓 名</w:t>
            </w:r>
          </w:p>
        </w:tc>
        <w:tc>
          <w:tcPr>
            <w:tcW w:w="1417" w:type="dxa"/>
            <w:gridSpan w:val="2"/>
            <w:vAlign w:val="center"/>
          </w:tcPr>
          <w:p>
            <w:pPr>
              <w:spacing w:line="440" w:lineRule="exact"/>
              <w:jc w:val="center"/>
              <w:rPr>
                <w:color w:val="auto"/>
                <w:szCs w:val="21"/>
              </w:rPr>
            </w:pPr>
          </w:p>
        </w:tc>
        <w:tc>
          <w:tcPr>
            <w:tcW w:w="993" w:type="dxa"/>
            <w:vAlign w:val="center"/>
          </w:tcPr>
          <w:p>
            <w:pPr>
              <w:spacing w:line="440" w:lineRule="exact"/>
              <w:jc w:val="center"/>
              <w:rPr>
                <w:color w:val="auto"/>
                <w:szCs w:val="21"/>
              </w:rPr>
            </w:pPr>
            <w:r>
              <w:rPr>
                <w:color w:val="auto"/>
                <w:szCs w:val="21"/>
              </w:rPr>
              <w:t>年 龄</w:t>
            </w:r>
          </w:p>
        </w:tc>
        <w:tc>
          <w:tcPr>
            <w:tcW w:w="987" w:type="dxa"/>
            <w:vAlign w:val="center"/>
          </w:tcPr>
          <w:p>
            <w:pPr>
              <w:spacing w:line="440" w:lineRule="exact"/>
              <w:jc w:val="center"/>
              <w:rPr>
                <w:color w:val="auto"/>
                <w:szCs w:val="21"/>
              </w:rPr>
            </w:pPr>
          </w:p>
        </w:tc>
        <w:tc>
          <w:tcPr>
            <w:tcW w:w="1985" w:type="dxa"/>
            <w:vAlign w:val="center"/>
          </w:tcPr>
          <w:p>
            <w:pPr>
              <w:spacing w:line="440" w:lineRule="exact"/>
              <w:jc w:val="center"/>
              <w:rPr>
                <w:color w:val="auto"/>
                <w:szCs w:val="21"/>
              </w:rPr>
            </w:pPr>
            <w:r>
              <w:rPr>
                <w:rFonts w:hint="eastAsia"/>
                <w:color w:val="auto"/>
                <w:szCs w:val="21"/>
              </w:rPr>
              <w:t>身份证号码</w:t>
            </w:r>
          </w:p>
        </w:tc>
        <w:tc>
          <w:tcPr>
            <w:tcW w:w="2556" w:type="dxa"/>
            <w:gridSpan w:val="2"/>
            <w:vAlign w:val="center"/>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vAlign w:val="center"/>
          </w:tcPr>
          <w:p>
            <w:pPr>
              <w:spacing w:line="440" w:lineRule="exact"/>
              <w:jc w:val="center"/>
              <w:rPr>
                <w:color w:val="auto"/>
                <w:szCs w:val="21"/>
              </w:rPr>
            </w:pPr>
            <w:r>
              <w:rPr>
                <w:rFonts w:hint="eastAsia"/>
                <w:color w:val="auto"/>
                <w:szCs w:val="21"/>
              </w:rPr>
              <w:t>学</w:t>
            </w:r>
            <w:r>
              <w:rPr>
                <w:color w:val="auto"/>
                <w:szCs w:val="21"/>
              </w:rPr>
              <w:t xml:space="preserve"> </w:t>
            </w:r>
            <w:r>
              <w:rPr>
                <w:rFonts w:hint="eastAsia"/>
                <w:color w:val="auto"/>
                <w:szCs w:val="21"/>
              </w:rPr>
              <w:t>历</w:t>
            </w:r>
          </w:p>
        </w:tc>
        <w:tc>
          <w:tcPr>
            <w:tcW w:w="1417" w:type="dxa"/>
            <w:gridSpan w:val="2"/>
            <w:vAlign w:val="center"/>
          </w:tcPr>
          <w:p>
            <w:pPr>
              <w:spacing w:line="440" w:lineRule="exact"/>
              <w:jc w:val="center"/>
              <w:rPr>
                <w:color w:val="auto"/>
                <w:szCs w:val="21"/>
              </w:rPr>
            </w:pPr>
          </w:p>
        </w:tc>
        <w:tc>
          <w:tcPr>
            <w:tcW w:w="993" w:type="dxa"/>
            <w:vAlign w:val="center"/>
          </w:tcPr>
          <w:p>
            <w:pPr>
              <w:spacing w:line="440" w:lineRule="exact"/>
              <w:jc w:val="center"/>
              <w:rPr>
                <w:color w:val="auto"/>
                <w:szCs w:val="21"/>
              </w:rPr>
            </w:pPr>
            <w:r>
              <w:rPr>
                <w:rFonts w:hint="eastAsia"/>
                <w:color w:val="auto"/>
                <w:szCs w:val="21"/>
              </w:rPr>
              <w:t>职</w:t>
            </w:r>
            <w:r>
              <w:rPr>
                <w:color w:val="auto"/>
                <w:szCs w:val="21"/>
              </w:rPr>
              <w:t xml:space="preserve"> 称 </w:t>
            </w:r>
          </w:p>
        </w:tc>
        <w:tc>
          <w:tcPr>
            <w:tcW w:w="987" w:type="dxa"/>
            <w:vAlign w:val="center"/>
          </w:tcPr>
          <w:p>
            <w:pPr>
              <w:spacing w:line="440" w:lineRule="exact"/>
              <w:jc w:val="center"/>
              <w:rPr>
                <w:color w:val="auto"/>
                <w:szCs w:val="21"/>
              </w:rPr>
            </w:pPr>
          </w:p>
        </w:tc>
        <w:tc>
          <w:tcPr>
            <w:tcW w:w="1985" w:type="dxa"/>
            <w:vAlign w:val="center"/>
          </w:tcPr>
          <w:p>
            <w:pPr>
              <w:spacing w:line="440" w:lineRule="exact"/>
              <w:jc w:val="center"/>
              <w:rPr>
                <w:color w:val="auto"/>
                <w:szCs w:val="21"/>
              </w:rPr>
            </w:pPr>
            <w:r>
              <w:rPr>
                <w:rFonts w:hint="eastAsia"/>
                <w:color w:val="auto"/>
                <w:szCs w:val="21"/>
              </w:rPr>
              <w:t>职</w:t>
            </w:r>
            <w:r>
              <w:rPr>
                <w:color w:val="auto"/>
                <w:szCs w:val="21"/>
              </w:rPr>
              <w:t xml:space="preserve"> </w:t>
            </w:r>
            <w:r>
              <w:rPr>
                <w:rFonts w:hint="eastAsia"/>
                <w:color w:val="auto"/>
                <w:szCs w:val="21"/>
              </w:rPr>
              <w:t>务</w:t>
            </w:r>
          </w:p>
        </w:tc>
        <w:tc>
          <w:tcPr>
            <w:tcW w:w="2556" w:type="dxa"/>
            <w:gridSpan w:val="2"/>
            <w:vAlign w:val="center"/>
          </w:tcPr>
          <w:p>
            <w:pPr>
              <w:spacing w:line="440" w:lineRule="exact"/>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68" w:type="dxa"/>
            <w:gridSpan w:val="4"/>
            <w:vAlign w:val="center"/>
          </w:tcPr>
          <w:p>
            <w:pPr>
              <w:spacing w:line="440" w:lineRule="exact"/>
              <w:jc w:val="center"/>
              <w:rPr>
                <w:color w:val="auto"/>
                <w:szCs w:val="21"/>
                <w:lang w:eastAsia="zh-CN"/>
              </w:rPr>
            </w:pPr>
            <w:r>
              <w:rPr>
                <w:rFonts w:hint="eastAsia"/>
                <w:color w:val="auto"/>
                <w:szCs w:val="21"/>
                <w:lang w:eastAsia="zh-CN"/>
              </w:rPr>
              <w:t>注册执</w:t>
            </w:r>
            <w:r>
              <w:rPr>
                <w:color w:val="auto"/>
                <w:szCs w:val="21"/>
                <w:lang w:eastAsia="zh-CN"/>
              </w:rPr>
              <w:t>/职业资格证书及编号</w:t>
            </w:r>
          </w:p>
        </w:tc>
        <w:tc>
          <w:tcPr>
            <w:tcW w:w="5528" w:type="dxa"/>
            <w:gridSpan w:val="4"/>
            <w:vAlign w:val="center"/>
          </w:tcPr>
          <w:p>
            <w:pPr>
              <w:spacing w:line="440" w:lineRule="exact"/>
              <w:jc w:val="center"/>
              <w:rPr>
                <w:color w:val="auto"/>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6" w:type="dxa"/>
            <w:gridSpan w:val="2"/>
            <w:vAlign w:val="center"/>
          </w:tcPr>
          <w:p>
            <w:pPr>
              <w:spacing w:line="440" w:lineRule="exact"/>
              <w:jc w:val="center"/>
              <w:rPr>
                <w:color w:val="auto"/>
                <w:szCs w:val="21"/>
              </w:rPr>
            </w:pPr>
            <w:r>
              <w:rPr>
                <w:color w:val="auto"/>
                <w:szCs w:val="21"/>
              </w:rPr>
              <w:t>毕业学校</w:t>
            </w:r>
          </w:p>
        </w:tc>
        <w:tc>
          <w:tcPr>
            <w:tcW w:w="7610" w:type="dxa"/>
            <w:gridSpan w:val="6"/>
          </w:tcPr>
          <w:p>
            <w:pPr>
              <w:spacing w:line="440" w:lineRule="exact"/>
              <w:rPr>
                <w:color w:val="auto"/>
                <w:szCs w:val="21"/>
              </w:rPr>
            </w:pPr>
            <w:r>
              <w:rPr>
                <w:color w:val="auto"/>
                <w:szCs w:val="21"/>
              </w:rPr>
              <w:t xml:space="preserve">      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6" w:type="dxa"/>
            <w:gridSpan w:val="8"/>
            <w:vAlign w:val="center"/>
          </w:tcPr>
          <w:p>
            <w:pPr>
              <w:spacing w:line="440" w:lineRule="exact"/>
              <w:jc w:val="center"/>
              <w:rPr>
                <w:color w:val="auto"/>
                <w:szCs w:val="21"/>
              </w:rPr>
            </w:pPr>
            <w:r>
              <w:rPr>
                <w:color w:val="auto"/>
                <w:szCs w:val="21"/>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186" w:type="dxa"/>
            <w:gridSpan w:val="2"/>
            <w:vAlign w:val="center"/>
          </w:tcPr>
          <w:p>
            <w:pPr>
              <w:spacing w:line="440" w:lineRule="exact"/>
              <w:jc w:val="center"/>
              <w:rPr>
                <w:color w:val="auto"/>
                <w:szCs w:val="21"/>
              </w:rPr>
            </w:pPr>
            <w:r>
              <w:rPr>
                <w:color w:val="auto"/>
                <w:szCs w:val="21"/>
              </w:rPr>
              <w:t>时  间</w:t>
            </w:r>
          </w:p>
        </w:tc>
        <w:tc>
          <w:tcPr>
            <w:tcW w:w="3069" w:type="dxa"/>
            <w:gridSpan w:val="3"/>
            <w:vAlign w:val="center"/>
          </w:tcPr>
          <w:p>
            <w:pPr>
              <w:spacing w:line="440" w:lineRule="exact"/>
              <w:jc w:val="center"/>
              <w:rPr>
                <w:color w:val="auto"/>
                <w:szCs w:val="21"/>
                <w:lang w:eastAsia="zh-CN"/>
              </w:rPr>
            </w:pPr>
            <w:r>
              <w:rPr>
                <w:color w:val="auto"/>
                <w:szCs w:val="21"/>
                <w:lang w:eastAsia="zh-CN"/>
              </w:rPr>
              <w:t>参加过的类似项目</w:t>
            </w:r>
            <w:r>
              <w:rPr>
                <w:rFonts w:hint="eastAsia"/>
                <w:color w:val="auto"/>
                <w:szCs w:val="21"/>
                <w:lang w:eastAsia="zh-CN"/>
              </w:rPr>
              <w:t>名称</w:t>
            </w:r>
          </w:p>
        </w:tc>
        <w:tc>
          <w:tcPr>
            <w:tcW w:w="2273" w:type="dxa"/>
            <w:gridSpan w:val="2"/>
            <w:vAlign w:val="center"/>
          </w:tcPr>
          <w:p>
            <w:pPr>
              <w:spacing w:line="440" w:lineRule="exact"/>
              <w:jc w:val="center"/>
              <w:rPr>
                <w:color w:val="auto"/>
                <w:szCs w:val="21"/>
              </w:rPr>
            </w:pPr>
            <w:r>
              <w:rPr>
                <w:rFonts w:hint="eastAsia"/>
                <w:color w:val="auto"/>
                <w:szCs w:val="21"/>
              </w:rPr>
              <w:t>工程概况说明</w:t>
            </w:r>
          </w:p>
        </w:tc>
        <w:tc>
          <w:tcPr>
            <w:tcW w:w="2268" w:type="dxa"/>
            <w:vAlign w:val="center"/>
          </w:tcPr>
          <w:p>
            <w:pPr>
              <w:spacing w:line="440" w:lineRule="exact"/>
              <w:jc w:val="center"/>
              <w:rPr>
                <w:color w:val="auto"/>
                <w:szCs w:val="21"/>
              </w:rPr>
            </w:pPr>
            <w:r>
              <w:rPr>
                <w:color w:val="auto"/>
                <w:szCs w:val="21"/>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gridSpan w:val="2"/>
          </w:tcPr>
          <w:p>
            <w:pPr>
              <w:spacing w:line="440" w:lineRule="exact"/>
              <w:rPr>
                <w:color w:val="auto"/>
                <w:szCs w:val="21"/>
              </w:rPr>
            </w:pPr>
          </w:p>
        </w:tc>
        <w:tc>
          <w:tcPr>
            <w:tcW w:w="3069" w:type="dxa"/>
            <w:gridSpan w:val="3"/>
          </w:tcPr>
          <w:p>
            <w:pPr>
              <w:spacing w:line="440" w:lineRule="exact"/>
              <w:rPr>
                <w:color w:val="auto"/>
                <w:szCs w:val="21"/>
              </w:rPr>
            </w:pPr>
          </w:p>
        </w:tc>
        <w:tc>
          <w:tcPr>
            <w:tcW w:w="2273" w:type="dxa"/>
            <w:gridSpan w:val="2"/>
          </w:tcPr>
          <w:p>
            <w:pPr>
              <w:spacing w:line="440" w:lineRule="exact"/>
              <w:rPr>
                <w:color w:val="auto"/>
                <w:szCs w:val="21"/>
              </w:rPr>
            </w:pPr>
          </w:p>
        </w:tc>
        <w:tc>
          <w:tcPr>
            <w:tcW w:w="2268" w:type="dxa"/>
          </w:tcPr>
          <w:p>
            <w:pPr>
              <w:spacing w:line="440" w:lineRule="exact"/>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gridSpan w:val="2"/>
          </w:tcPr>
          <w:p>
            <w:pPr>
              <w:spacing w:line="440" w:lineRule="exact"/>
              <w:rPr>
                <w:rFonts w:eastAsia="黑体"/>
                <w:color w:val="auto"/>
                <w:szCs w:val="21"/>
              </w:rPr>
            </w:pPr>
          </w:p>
        </w:tc>
        <w:tc>
          <w:tcPr>
            <w:tcW w:w="3069" w:type="dxa"/>
            <w:gridSpan w:val="3"/>
          </w:tcPr>
          <w:p>
            <w:pPr>
              <w:spacing w:line="440" w:lineRule="exact"/>
              <w:rPr>
                <w:rFonts w:eastAsia="黑体"/>
                <w:color w:val="auto"/>
                <w:szCs w:val="21"/>
              </w:rPr>
            </w:pPr>
          </w:p>
        </w:tc>
        <w:tc>
          <w:tcPr>
            <w:tcW w:w="2273" w:type="dxa"/>
            <w:gridSpan w:val="2"/>
          </w:tcPr>
          <w:p>
            <w:pPr>
              <w:spacing w:line="440" w:lineRule="exact"/>
              <w:rPr>
                <w:rFonts w:eastAsia="黑体"/>
                <w:color w:val="auto"/>
                <w:szCs w:val="21"/>
              </w:rPr>
            </w:pPr>
          </w:p>
        </w:tc>
        <w:tc>
          <w:tcPr>
            <w:tcW w:w="2268" w:type="dxa"/>
          </w:tcPr>
          <w:p>
            <w:pPr>
              <w:spacing w:line="440" w:lineRule="exact"/>
              <w:rPr>
                <w:rFonts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gridSpan w:val="2"/>
            <w:vAlign w:val="center"/>
          </w:tcPr>
          <w:p>
            <w:pPr>
              <w:spacing w:line="440" w:lineRule="exact"/>
              <w:rPr>
                <w:rFonts w:eastAsia="黑体"/>
                <w:color w:val="auto"/>
                <w:szCs w:val="21"/>
              </w:rPr>
            </w:pPr>
          </w:p>
        </w:tc>
        <w:tc>
          <w:tcPr>
            <w:tcW w:w="3069" w:type="dxa"/>
            <w:gridSpan w:val="3"/>
            <w:vAlign w:val="center"/>
          </w:tcPr>
          <w:p>
            <w:pPr>
              <w:spacing w:line="440" w:lineRule="exact"/>
              <w:rPr>
                <w:rFonts w:eastAsia="黑体"/>
                <w:color w:val="auto"/>
                <w:szCs w:val="21"/>
              </w:rPr>
            </w:pPr>
          </w:p>
        </w:tc>
        <w:tc>
          <w:tcPr>
            <w:tcW w:w="2273" w:type="dxa"/>
            <w:gridSpan w:val="2"/>
            <w:vAlign w:val="center"/>
          </w:tcPr>
          <w:p>
            <w:pPr>
              <w:spacing w:line="440" w:lineRule="exact"/>
              <w:rPr>
                <w:rFonts w:eastAsia="黑体"/>
                <w:color w:val="auto"/>
                <w:szCs w:val="21"/>
              </w:rPr>
            </w:pPr>
          </w:p>
        </w:tc>
        <w:tc>
          <w:tcPr>
            <w:tcW w:w="2268" w:type="dxa"/>
            <w:vAlign w:val="center"/>
          </w:tcPr>
          <w:p>
            <w:pPr>
              <w:spacing w:line="440" w:lineRule="exact"/>
              <w:rPr>
                <w:rFonts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gridSpan w:val="2"/>
            <w:vAlign w:val="center"/>
          </w:tcPr>
          <w:p>
            <w:pPr>
              <w:spacing w:line="440" w:lineRule="exact"/>
              <w:rPr>
                <w:rFonts w:eastAsia="黑体"/>
                <w:color w:val="auto"/>
                <w:szCs w:val="21"/>
              </w:rPr>
            </w:pPr>
          </w:p>
        </w:tc>
        <w:tc>
          <w:tcPr>
            <w:tcW w:w="3069" w:type="dxa"/>
            <w:gridSpan w:val="3"/>
            <w:vAlign w:val="center"/>
          </w:tcPr>
          <w:p>
            <w:pPr>
              <w:spacing w:line="440" w:lineRule="exact"/>
              <w:rPr>
                <w:rFonts w:eastAsia="黑体"/>
                <w:color w:val="auto"/>
                <w:szCs w:val="21"/>
              </w:rPr>
            </w:pPr>
          </w:p>
        </w:tc>
        <w:tc>
          <w:tcPr>
            <w:tcW w:w="2273" w:type="dxa"/>
            <w:gridSpan w:val="2"/>
            <w:vAlign w:val="center"/>
          </w:tcPr>
          <w:p>
            <w:pPr>
              <w:spacing w:line="440" w:lineRule="exact"/>
              <w:rPr>
                <w:rFonts w:eastAsia="黑体"/>
                <w:color w:val="auto"/>
                <w:szCs w:val="21"/>
              </w:rPr>
            </w:pPr>
          </w:p>
        </w:tc>
        <w:tc>
          <w:tcPr>
            <w:tcW w:w="2268" w:type="dxa"/>
            <w:vAlign w:val="center"/>
          </w:tcPr>
          <w:p>
            <w:pPr>
              <w:spacing w:line="440" w:lineRule="exact"/>
              <w:rPr>
                <w:rFonts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gridSpan w:val="2"/>
            <w:vAlign w:val="center"/>
          </w:tcPr>
          <w:p>
            <w:pPr>
              <w:spacing w:line="440" w:lineRule="exact"/>
              <w:rPr>
                <w:rFonts w:eastAsia="黑体"/>
                <w:color w:val="auto"/>
                <w:szCs w:val="21"/>
              </w:rPr>
            </w:pPr>
          </w:p>
        </w:tc>
        <w:tc>
          <w:tcPr>
            <w:tcW w:w="3069" w:type="dxa"/>
            <w:gridSpan w:val="3"/>
            <w:vAlign w:val="center"/>
          </w:tcPr>
          <w:p>
            <w:pPr>
              <w:spacing w:line="440" w:lineRule="exact"/>
              <w:rPr>
                <w:rFonts w:eastAsia="黑体"/>
                <w:color w:val="auto"/>
                <w:szCs w:val="21"/>
              </w:rPr>
            </w:pPr>
          </w:p>
        </w:tc>
        <w:tc>
          <w:tcPr>
            <w:tcW w:w="2273" w:type="dxa"/>
            <w:gridSpan w:val="2"/>
            <w:vAlign w:val="center"/>
          </w:tcPr>
          <w:p>
            <w:pPr>
              <w:spacing w:line="440" w:lineRule="exact"/>
              <w:rPr>
                <w:rFonts w:eastAsia="黑体"/>
                <w:color w:val="auto"/>
                <w:szCs w:val="21"/>
              </w:rPr>
            </w:pPr>
          </w:p>
        </w:tc>
        <w:tc>
          <w:tcPr>
            <w:tcW w:w="2268" w:type="dxa"/>
            <w:vAlign w:val="center"/>
          </w:tcPr>
          <w:p>
            <w:pPr>
              <w:spacing w:line="440" w:lineRule="exact"/>
              <w:rPr>
                <w:rFonts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gridSpan w:val="2"/>
            <w:vAlign w:val="center"/>
          </w:tcPr>
          <w:p>
            <w:pPr>
              <w:spacing w:line="440" w:lineRule="exact"/>
              <w:rPr>
                <w:rFonts w:eastAsia="黑体"/>
                <w:color w:val="auto"/>
                <w:szCs w:val="21"/>
              </w:rPr>
            </w:pPr>
          </w:p>
        </w:tc>
        <w:tc>
          <w:tcPr>
            <w:tcW w:w="3069" w:type="dxa"/>
            <w:gridSpan w:val="3"/>
            <w:vAlign w:val="center"/>
          </w:tcPr>
          <w:p>
            <w:pPr>
              <w:spacing w:line="440" w:lineRule="exact"/>
              <w:rPr>
                <w:rFonts w:eastAsia="黑体"/>
                <w:color w:val="auto"/>
                <w:szCs w:val="21"/>
              </w:rPr>
            </w:pPr>
          </w:p>
        </w:tc>
        <w:tc>
          <w:tcPr>
            <w:tcW w:w="2273" w:type="dxa"/>
            <w:gridSpan w:val="2"/>
            <w:vAlign w:val="center"/>
          </w:tcPr>
          <w:p>
            <w:pPr>
              <w:spacing w:line="440" w:lineRule="exact"/>
              <w:rPr>
                <w:rFonts w:eastAsia="黑体"/>
                <w:color w:val="auto"/>
                <w:szCs w:val="21"/>
              </w:rPr>
            </w:pPr>
          </w:p>
        </w:tc>
        <w:tc>
          <w:tcPr>
            <w:tcW w:w="2268" w:type="dxa"/>
            <w:vAlign w:val="center"/>
          </w:tcPr>
          <w:p>
            <w:pPr>
              <w:spacing w:line="440" w:lineRule="exact"/>
              <w:rPr>
                <w:rFonts w:eastAsia="黑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186" w:type="dxa"/>
            <w:gridSpan w:val="2"/>
            <w:vAlign w:val="center"/>
          </w:tcPr>
          <w:p>
            <w:pPr>
              <w:spacing w:line="440" w:lineRule="exact"/>
              <w:rPr>
                <w:rFonts w:eastAsia="黑体"/>
                <w:color w:val="auto"/>
                <w:szCs w:val="21"/>
              </w:rPr>
            </w:pPr>
          </w:p>
        </w:tc>
        <w:tc>
          <w:tcPr>
            <w:tcW w:w="3069" w:type="dxa"/>
            <w:gridSpan w:val="3"/>
            <w:vAlign w:val="center"/>
          </w:tcPr>
          <w:p>
            <w:pPr>
              <w:spacing w:line="440" w:lineRule="exact"/>
              <w:rPr>
                <w:rFonts w:eastAsia="黑体"/>
                <w:color w:val="auto"/>
                <w:szCs w:val="21"/>
              </w:rPr>
            </w:pPr>
          </w:p>
        </w:tc>
        <w:tc>
          <w:tcPr>
            <w:tcW w:w="2273" w:type="dxa"/>
            <w:gridSpan w:val="2"/>
            <w:vAlign w:val="center"/>
          </w:tcPr>
          <w:p>
            <w:pPr>
              <w:spacing w:line="440" w:lineRule="exact"/>
              <w:rPr>
                <w:rFonts w:eastAsia="黑体"/>
                <w:color w:val="auto"/>
                <w:szCs w:val="21"/>
              </w:rPr>
            </w:pPr>
          </w:p>
        </w:tc>
        <w:tc>
          <w:tcPr>
            <w:tcW w:w="2268" w:type="dxa"/>
            <w:vAlign w:val="center"/>
          </w:tcPr>
          <w:p>
            <w:pPr>
              <w:spacing w:line="440" w:lineRule="exact"/>
              <w:rPr>
                <w:rFonts w:eastAsia="黑体"/>
                <w:color w:val="auto"/>
                <w:szCs w:val="21"/>
              </w:rPr>
            </w:pPr>
          </w:p>
        </w:tc>
      </w:tr>
    </w:tbl>
    <w:p>
      <w:pPr>
        <w:pStyle w:val="12"/>
        <w:spacing w:line="360" w:lineRule="auto"/>
        <w:jc w:val="both"/>
        <w:rPr>
          <w:rFonts w:ascii="Times New Roman" w:hAnsi="Times New Roman"/>
          <w:color w:val="auto"/>
          <w:lang w:eastAsia="zh-CN"/>
        </w:rPr>
      </w:pPr>
    </w:p>
    <w:p>
      <w:pPr>
        <w:pStyle w:val="12"/>
        <w:spacing w:line="360" w:lineRule="auto"/>
        <w:jc w:val="both"/>
        <w:rPr>
          <w:rFonts w:ascii="Times New Roman" w:hAnsi="Times New Roman"/>
          <w:color w:val="auto"/>
          <w:lang w:eastAsia="zh-CN"/>
        </w:rPr>
      </w:pPr>
    </w:p>
    <w:p>
      <w:pPr>
        <w:pStyle w:val="5"/>
        <w:keepNext w:val="0"/>
        <w:keepLines w:val="0"/>
        <w:spacing w:before="0" w:after="0" w:line="360" w:lineRule="auto"/>
        <w:rPr>
          <w:rFonts w:ascii="Times New Roman"/>
          <w:color w:val="auto"/>
          <w:spacing w:val="10"/>
        </w:rPr>
      </w:pPr>
      <w:r>
        <w:rPr>
          <w:rFonts w:ascii="Times New Roman"/>
          <w:color w:val="auto"/>
          <w:szCs w:val="24"/>
        </w:rPr>
        <w:br w:type="page"/>
      </w:r>
      <w:r>
        <w:rPr>
          <w:rFonts w:hint="eastAsia" w:ascii="Times New Roman"/>
          <w:color w:val="auto"/>
          <w:spacing w:val="10"/>
        </w:rPr>
        <w:t>附件</w:t>
      </w:r>
      <w:r>
        <w:rPr>
          <w:rFonts w:ascii="Times New Roman"/>
          <w:color w:val="auto"/>
          <w:spacing w:val="10"/>
        </w:rPr>
        <w:t>7</w:t>
      </w:r>
      <w:r>
        <w:rPr>
          <w:rFonts w:hint="eastAsia" w:ascii="Times New Roman"/>
          <w:color w:val="auto"/>
          <w:spacing w:val="10"/>
        </w:rPr>
        <w:t>、业绩证明文件</w:t>
      </w:r>
    </w:p>
    <w:p>
      <w:pPr>
        <w:spacing w:line="360" w:lineRule="auto"/>
        <w:jc w:val="center"/>
        <w:rPr>
          <w:rFonts w:ascii="Times New Roman" w:hAnsi="Times New Roman"/>
          <w:b/>
          <w:color w:val="auto"/>
          <w:sz w:val="24"/>
          <w:szCs w:val="24"/>
          <w:lang w:eastAsia="zh-CN"/>
        </w:rPr>
      </w:pPr>
      <w:r>
        <w:rPr>
          <w:rFonts w:hint="eastAsia" w:ascii="Times New Roman" w:hAnsi="Times New Roman"/>
          <w:b/>
          <w:color w:val="auto"/>
          <w:sz w:val="24"/>
          <w:szCs w:val="24"/>
          <w:lang w:eastAsia="zh-CN"/>
        </w:rPr>
        <w:t>业绩证明文件</w:t>
      </w:r>
    </w:p>
    <w:p>
      <w:pPr>
        <w:spacing w:line="360" w:lineRule="auto"/>
        <w:jc w:val="center"/>
        <w:rPr>
          <w:rFonts w:ascii="Times New Roman" w:hAnsi="Times New Roman"/>
          <w:b/>
          <w:color w:val="auto"/>
          <w:lang w:eastAsia="zh-CN"/>
        </w:rPr>
      </w:pPr>
      <w:r>
        <w:rPr>
          <w:rFonts w:hint="eastAsia" w:ascii="Times New Roman" w:hAnsi="Times New Roman"/>
          <w:b/>
          <w:color w:val="auto"/>
          <w:sz w:val="24"/>
          <w:szCs w:val="24"/>
          <w:lang w:eastAsia="zh-CN"/>
        </w:rPr>
        <w:t>（附中标通知书或合同协议书等的复印件）</w:t>
      </w:r>
    </w:p>
    <w:tbl>
      <w:tblPr>
        <w:tblStyle w:val="36"/>
        <w:tblW w:w="9215" w:type="dxa"/>
        <w:tblInd w:w="-318"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52"/>
        <w:gridCol w:w="2334"/>
        <w:gridCol w:w="1396"/>
        <w:gridCol w:w="1262"/>
        <w:gridCol w:w="1366"/>
        <w:gridCol w:w="1307"/>
        <w:gridCol w:w="69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683" w:hRule="atLeast"/>
        </w:trPr>
        <w:tc>
          <w:tcPr>
            <w:tcW w:w="852" w:type="dxa"/>
            <w:vAlign w:val="center"/>
          </w:tcPr>
          <w:p>
            <w:pPr>
              <w:pStyle w:val="52"/>
              <w:jc w:val="center"/>
              <w:rPr>
                <w:rFonts w:ascii="Times New Roman" w:hAnsi="Times New Roman"/>
                <w:b/>
                <w:color w:val="auto"/>
                <w:sz w:val="24"/>
                <w:szCs w:val="24"/>
              </w:rPr>
            </w:pPr>
            <w:r>
              <w:rPr>
                <w:rFonts w:hint="eastAsia" w:ascii="Times New Roman" w:hAnsi="Times New Roman"/>
                <w:b/>
                <w:color w:val="auto"/>
                <w:sz w:val="24"/>
                <w:szCs w:val="24"/>
              </w:rPr>
              <w:t>序号</w:t>
            </w:r>
          </w:p>
        </w:tc>
        <w:tc>
          <w:tcPr>
            <w:tcW w:w="2334" w:type="dxa"/>
            <w:vAlign w:val="center"/>
          </w:tcPr>
          <w:p>
            <w:pPr>
              <w:pStyle w:val="52"/>
              <w:jc w:val="center"/>
              <w:rPr>
                <w:rFonts w:ascii="Times New Roman" w:hAnsi="Times New Roman"/>
                <w:b/>
                <w:color w:val="auto"/>
                <w:sz w:val="24"/>
                <w:szCs w:val="24"/>
                <w:lang w:eastAsia="zh-CN"/>
              </w:rPr>
            </w:pPr>
            <w:r>
              <w:rPr>
                <w:rFonts w:hint="eastAsia" w:ascii="Times New Roman" w:hAnsi="Times New Roman"/>
                <w:b/>
                <w:color w:val="auto"/>
                <w:sz w:val="24"/>
                <w:szCs w:val="24"/>
                <w:lang w:eastAsia="zh-CN"/>
              </w:rPr>
              <w:t>项目名称（含已完成及正在实施的项目，请分别注明并做适当描述）</w:t>
            </w:r>
          </w:p>
        </w:tc>
        <w:tc>
          <w:tcPr>
            <w:tcW w:w="1396" w:type="dxa"/>
            <w:vAlign w:val="center"/>
          </w:tcPr>
          <w:p>
            <w:pPr>
              <w:pStyle w:val="52"/>
              <w:jc w:val="center"/>
              <w:rPr>
                <w:rFonts w:ascii="Times New Roman" w:hAnsi="Times New Roman"/>
                <w:b/>
                <w:color w:val="auto"/>
                <w:sz w:val="24"/>
                <w:szCs w:val="24"/>
              </w:rPr>
            </w:pPr>
            <w:r>
              <w:rPr>
                <w:rFonts w:hint="eastAsia" w:ascii="Times New Roman" w:hAnsi="Times New Roman"/>
                <w:b/>
                <w:color w:val="auto"/>
                <w:sz w:val="24"/>
                <w:szCs w:val="24"/>
              </w:rPr>
              <w:t>合同主要内容</w:t>
            </w:r>
          </w:p>
        </w:tc>
        <w:tc>
          <w:tcPr>
            <w:tcW w:w="1262" w:type="dxa"/>
            <w:vAlign w:val="center"/>
          </w:tcPr>
          <w:p>
            <w:pPr>
              <w:pStyle w:val="52"/>
              <w:jc w:val="center"/>
              <w:rPr>
                <w:rFonts w:ascii="Times New Roman" w:hAnsi="Times New Roman"/>
                <w:b/>
                <w:color w:val="auto"/>
                <w:sz w:val="24"/>
                <w:szCs w:val="24"/>
              </w:rPr>
            </w:pPr>
            <w:r>
              <w:rPr>
                <w:rFonts w:hint="eastAsia" w:ascii="Times New Roman" w:hAnsi="Times New Roman"/>
                <w:b/>
                <w:color w:val="auto"/>
                <w:sz w:val="24"/>
                <w:szCs w:val="24"/>
              </w:rPr>
              <w:t>合同总金额</w:t>
            </w:r>
          </w:p>
        </w:tc>
        <w:tc>
          <w:tcPr>
            <w:tcW w:w="1366" w:type="dxa"/>
            <w:vAlign w:val="center"/>
          </w:tcPr>
          <w:p>
            <w:pPr>
              <w:pStyle w:val="52"/>
              <w:ind w:right="13"/>
              <w:jc w:val="center"/>
              <w:rPr>
                <w:rFonts w:ascii="Times New Roman" w:hAnsi="Times New Roman"/>
                <w:b/>
                <w:color w:val="auto"/>
                <w:sz w:val="24"/>
                <w:szCs w:val="24"/>
              </w:rPr>
            </w:pPr>
            <w:r>
              <w:rPr>
                <w:rFonts w:hint="eastAsia" w:ascii="Times New Roman" w:hAnsi="Times New Roman"/>
                <w:b/>
                <w:color w:val="auto"/>
                <w:sz w:val="24"/>
                <w:szCs w:val="24"/>
              </w:rPr>
              <w:t>委托方联系人及电话</w:t>
            </w:r>
          </w:p>
        </w:tc>
        <w:tc>
          <w:tcPr>
            <w:tcW w:w="1307" w:type="dxa"/>
            <w:vAlign w:val="center"/>
          </w:tcPr>
          <w:p>
            <w:pPr>
              <w:pStyle w:val="52"/>
              <w:jc w:val="center"/>
              <w:rPr>
                <w:rFonts w:ascii="Times New Roman" w:hAnsi="Times New Roman"/>
                <w:b/>
                <w:color w:val="auto"/>
                <w:sz w:val="24"/>
                <w:szCs w:val="24"/>
                <w:lang w:eastAsia="zh-CN"/>
              </w:rPr>
            </w:pPr>
            <w:r>
              <w:rPr>
                <w:rFonts w:hint="eastAsia" w:ascii="Times New Roman" w:hAnsi="Times New Roman"/>
                <w:b/>
                <w:color w:val="auto"/>
                <w:sz w:val="24"/>
                <w:szCs w:val="24"/>
                <w:lang w:eastAsia="zh-CN"/>
              </w:rPr>
              <w:t>投标人联系人及电话</w:t>
            </w:r>
          </w:p>
        </w:tc>
        <w:tc>
          <w:tcPr>
            <w:tcW w:w="698" w:type="dxa"/>
            <w:vAlign w:val="center"/>
          </w:tcPr>
          <w:p>
            <w:pPr>
              <w:pStyle w:val="52"/>
              <w:ind w:right="-101" w:rightChars="-46"/>
              <w:jc w:val="center"/>
              <w:rPr>
                <w:rFonts w:ascii="Times New Roman" w:hAnsi="Times New Roman"/>
                <w:b/>
                <w:color w:val="auto"/>
                <w:sz w:val="24"/>
                <w:szCs w:val="24"/>
              </w:rPr>
            </w:pPr>
            <w:r>
              <w:rPr>
                <w:rFonts w:hint="eastAsia" w:ascii="Times New Roman" w:hAnsi="Times New Roman"/>
                <w:b/>
                <w:color w:val="auto"/>
                <w:sz w:val="24"/>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lang w:eastAsia="zh-CN"/>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trPr>
        <w:tc>
          <w:tcPr>
            <w:tcW w:w="852" w:type="dxa"/>
          </w:tcPr>
          <w:p>
            <w:pPr>
              <w:pStyle w:val="52"/>
              <w:spacing w:line="364" w:lineRule="auto"/>
              <w:ind w:right="-100"/>
              <w:rPr>
                <w:rFonts w:ascii="Times New Roman" w:hAnsi="Times New Roman"/>
                <w:color w:val="auto"/>
                <w:sz w:val="24"/>
                <w:szCs w:val="24"/>
              </w:rPr>
            </w:pPr>
          </w:p>
        </w:tc>
        <w:tc>
          <w:tcPr>
            <w:tcW w:w="2334" w:type="dxa"/>
          </w:tcPr>
          <w:p>
            <w:pPr>
              <w:pStyle w:val="52"/>
              <w:spacing w:line="364" w:lineRule="auto"/>
              <w:ind w:right="-100"/>
              <w:rPr>
                <w:rFonts w:ascii="Times New Roman" w:hAnsi="Times New Roman"/>
                <w:color w:val="auto"/>
                <w:sz w:val="24"/>
                <w:szCs w:val="24"/>
              </w:rPr>
            </w:pPr>
          </w:p>
        </w:tc>
        <w:tc>
          <w:tcPr>
            <w:tcW w:w="1396" w:type="dxa"/>
          </w:tcPr>
          <w:p>
            <w:pPr>
              <w:pStyle w:val="52"/>
              <w:spacing w:line="364" w:lineRule="auto"/>
              <w:ind w:right="-100"/>
              <w:rPr>
                <w:rFonts w:ascii="Times New Roman" w:hAnsi="Times New Roman"/>
                <w:color w:val="auto"/>
                <w:sz w:val="24"/>
                <w:szCs w:val="24"/>
              </w:rPr>
            </w:pPr>
          </w:p>
        </w:tc>
        <w:tc>
          <w:tcPr>
            <w:tcW w:w="1262" w:type="dxa"/>
          </w:tcPr>
          <w:p>
            <w:pPr>
              <w:pStyle w:val="52"/>
              <w:spacing w:line="364" w:lineRule="auto"/>
              <w:ind w:right="-100"/>
              <w:rPr>
                <w:rFonts w:ascii="Times New Roman" w:hAnsi="Times New Roman"/>
                <w:color w:val="auto"/>
                <w:sz w:val="24"/>
                <w:szCs w:val="24"/>
              </w:rPr>
            </w:pPr>
          </w:p>
        </w:tc>
        <w:tc>
          <w:tcPr>
            <w:tcW w:w="1366" w:type="dxa"/>
          </w:tcPr>
          <w:p>
            <w:pPr>
              <w:pStyle w:val="52"/>
              <w:spacing w:line="364" w:lineRule="auto"/>
              <w:ind w:right="-100"/>
              <w:rPr>
                <w:rFonts w:ascii="Times New Roman" w:hAnsi="Times New Roman"/>
                <w:color w:val="auto"/>
                <w:sz w:val="24"/>
                <w:szCs w:val="24"/>
              </w:rPr>
            </w:pPr>
          </w:p>
        </w:tc>
        <w:tc>
          <w:tcPr>
            <w:tcW w:w="1307" w:type="dxa"/>
          </w:tcPr>
          <w:p>
            <w:pPr>
              <w:pStyle w:val="52"/>
              <w:spacing w:line="364" w:lineRule="auto"/>
              <w:ind w:right="-100"/>
              <w:rPr>
                <w:rFonts w:ascii="Times New Roman" w:hAnsi="Times New Roman"/>
                <w:color w:val="auto"/>
                <w:sz w:val="24"/>
                <w:szCs w:val="24"/>
              </w:rPr>
            </w:pPr>
          </w:p>
        </w:tc>
        <w:tc>
          <w:tcPr>
            <w:tcW w:w="698" w:type="dxa"/>
          </w:tcPr>
          <w:p>
            <w:pPr>
              <w:pStyle w:val="52"/>
              <w:spacing w:line="364" w:lineRule="auto"/>
              <w:ind w:right="-101" w:rightChars="-46"/>
              <w:rPr>
                <w:rFonts w:ascii="Times New Roman" w:hAnsi="Times New Roman"/>
                <w:color w:val="auto"/>
                <w:sz w:val="24"/>
                <w:szCs w:val="24"/>
              </w:rPr>
            </w:pPr>
          </w:p>
        </w:tc>
      </w:tr>
    </w:tbl>
    <w:p>
      <w:pPr>
        <w:pStyle w:val="12"/>
        <w:spacing w:before="10"/>
        <w:rPr>
          <w:rFonts w:ascii="Times New Roman" w:hAnsi="Times New Roman"/>
          <w:b/>
          <w:color w:val="auto"/>
        </w:rPr>
      </w:pPr>
    </w:p>
    <w:p>
      <w:pPr>
        <w:pStyle w:val="12"/>
        <w:spacing w:before="67"/>
        <w:ind w:left="460"/>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（盖章）</w:t>
      </w:r>
    </w:p>
    <w:p>
      <w:pPr>
        <w:pStyle w:val="12"/>
        <w:spacing w:before="67"/>
        <w:ind w:left="460"/>
        <w:rPr>
          <w:rFonts w:ascii="Times New Roman" w:hAnsi="Times New Roman"/>
          <w:color w:val="auto"/>
          <w:lang w:eastAsia="zh-CN"/>
        </w:rPr>
      </w:pPr>
    </w:p>
    <w:p>
      <w:pPr>
        <w:pStyle w:val="12"/>
        <w:spacing w:before="67"/>
        <w:ind w:left="460"/>
        <w:rPr>
          <w:rFonts w:ascii="Times New Roman" w:hAnsi="Times New Roman"/>
          <w:color w:val="auto"/>
          <w:lang w:eastAsia="zh-CN"/>
        </w:rPr>
      </w:pPr>
      <w:r>
        <w:rPr>
          <w:rFonts w:hint="eastAsia" w:ascii="Times New Roman" w:hAnsi="Times New Roman"/>
          <w:color w:val="auto"/>
          <w:lang w:eastAsia="zh-CN"/>
        </w:rPr>
        <w:t>投标人法定代表人或授权代表签字或盖章：</w:t>
      </w:r>
    </w:p>
    <w:p>
      <w:pPr>
        <w:pStyle w:val="12"/>
        <w:spacing w:before="67"/>
        <w:ind w:left="460"/>
        <w:rPr>
          <w:rFonts w:ascii="Times New Roman" w:hAnsi="Times New Roman"/>
          <w:color w:val="auto"/>
          <w:lang w:eastAsia="zh-CN"/>
        </w:rPr>
      </w:pPr>
    </w:p>
    <w:p>
      <w:pPr>
        <w:pStyle w:val="12"/>
        <w:spacing w:before="67"/>
        <w:ind w:left="460"/>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12"/>
        <w:spacing w:before="7"/>
        <w:rPr>
          <w:rFonts w:ascii="Times New Roman" w:hAnsi="Times New Roman"/>
          <w:color w:val="auto"/>
          <w:lang w:eastAsia="zh-CN"/>
        </w:rPr>
      </w:pPr>
    </w:p>
    <w:p>
      <w:pPr>
        <w:ind w:left="459" w:firstLine="482" w:firstLineChars="200"/>
        <w:rPr>
          <w:rFonts w:ascii="Times New Roman" w:hAnsi="Times New Roman"/>
          <w:b/>
          <w:color w:val="auto"/>
          <w:sz w:val="24"/>
          <w:szCs w:val="24"/>
          <w:lang w:eastAsia="zh-CN"/>
        </w:rPr>
      </w:pPr>
    </w:p>
    <w:p>
      <w:pPr>
        <w:ind w:left="459" w:firstLine="440" w:firstLineChars="200"/>
        <w:rPr>
          <w:rFonts w:ascii="Times New Roman"/>
          <w:color w:val="auto"/>
          <w:spacing w:val="10"/>
          <w:szCs w:val="24"/>
          <w:lang w:eastAsia="zh-CN"/>
        </w:rPr>
      </w:pPr>
      <w:r>
        <w:rPr>
          <w:rFonts w:ascii="Times New Roman"/>
          <w:color w:val="auto"/>
          <w:szCs w:val="24"/>
          <w:lang w:eastAsia="zh-CN"/>
        </w:rPr>
        <w:br w:type="page"/>
      </w:r>
    </w:p>
    <w:p>
      <w:pPr>
        <w:pStyle w:val="5"/>
        <w:keepNext w:val="0"/>
        <w:keepLines w:val="0"/>
        <w:spacing w:before="0" w:after="0" w:line="360" w:lineRule="auto"/>
        <w:rPr>
          <w:rFonts w:ascii="Times New Roman"/>
          <w:color w:val="auto"/>
          <w:spacing w:val="10"/>
        </w:rPr>
      </w:pPr>
      <w:r>
        <w:rPr>
          <w:rFonts w:hint="eastAsia" w:ascii="Times New Roman"/>
          <w:color w:val="auto"/>
          <w:spacing w:val="10"/>
        </w:rPr>
        <w:t>附件</w:t>
      </w:r>
      <w:r>
        <w:rPr>
          <w:rFonts w:ascii="Times New Roman"/>
          <w:color w:val="auto"/>
          <w:spacing w:val="10"/>
        </w:rPr>
        <w:t>8</w:t>
      </w:r>
      <w:r>
        <w:rPr>
          <w:rFonts w:hint="eastAsia" w:ascii="Times New Roman"/>
          <w:color w:val="auto"/>
          <w:spacing w:val="10"/>
        </w:rPr>
        <w:t>、中小企业声明函（原件，中小企业参加投标的）</w:t>
      </w:r>
    </w:p>
    <w:p>
      <w:pPr>
        <w:spacing w:before="240" w:beforeLines="100" w:line="360" w:lineRule="auto"/>
        <w:ind w:right="936"/>
        <w:jc w:val="center"/>
        <w:rPr>
          <w:rFonts w:ascii="Times New Roman" w:hAnsi="Times New Roman"/>
          <w:b/>
          <w:color w:val="auto"/>
          <w:sz w:val="24"/>
          <w:szCs w:val="24"/>
          <w:lang w:eastAsia="zh-CN"/>
        </w:rPr>
      </w:pPr>
      <w:r>
        <w:rPr>
          <w:rFonts w:hint="eastAsia" w:ascii="Times New Roman" w:hAnsi="Times New Roman"/>
          <w:b/>
          <w:color w:val="auto"/>
          <w:sz w:val="24"/>
          <w:szCs w:val="24"/>
          <w:lang w:eastAsia="zh-CN"/>
        </w:rPr>
        <w:t>中小企业声明函</w:t>
      </w:r>
    </w:p>
    <w:p>
      <w:pPr>
        <w:spacing w:before="26" w:line="254" w:lineRule="auto"/>
        <w:ind w:right="3"/>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（说明：投标人为代理商的，需同时提供产品生产厂家和投标人的中小企业声明函，否则将被视为未提供该声明函。投标人应保证该声明函与实际相符，否则采购人有权依法追究投标人的责任。）</w:t>
      </w:r>
    </w:p>
    <w:p>
      <w:pPr>
        <w:pStyle w:val="12"/>
        <w:spacing w:line="360" w:lineRule="auto"/>
        <w:ind w:firstLine="480" w:firstLineChars="200"/>
        <w:rPr>
          <w:rFonts w:ascii="Times New Roman" w:hAnsi="Times New Roman"/>
          <w:color w:val="auto"/>
          <w:lang w:eastAsia="zh-CN"/>
        </w:rPr>
      </w:pP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本公司郑重声明，根据《政府采购促进中小企业发展暂行办法》（财库</w:t>
      </w:r>
      <w:r>
        <w:rPr>
          <w:rFonts w:ascii="Times New Roman" w:hAnsi="Times New Roman"/>
          <w:color w:val="auto"/>
          <w:lang w:eastAsia="zh-CN"/>
        </w:rPr>
        <w:t>[2011]181</w:t>
      </w:r>
      <w:r>
        <w:rPr>
          <w:rFonts w:hint="eastAsia" w:ascii="Times New Roman" w:hAnsi="Times New Roman"/>
          <w:color w:val="auto"/>
          <w:lang w:eastAsia="zh-CN"/>
        </w:rPr>
        <w:t>号）的规定，本公司为</w:t>
      </w:r>
      <w:r>
        <w:rPr>
          <w:rFonts w:ascii="Times New Roman" w:hAnsi="Times New Roman" w:cs="Times New Roman"/>
          <w:color w:val="auto"/>
          <w:u w:val="single"/>
          <w:lang w:eastAsia="zh-CN"/>
        </w:rPr>
        <w:t>______</w:t>
      </w:r>
      <w:r>
        <w:rPr>
          <w:rFonts w:hint="eastAsia" w:ascii="Times New Roman" w:hAnsi="Times New Roman"/>
          <w:color w:val="auto"/>
          <w:lang w:eastAsia="zh-CN"/>
        </w:rPr>
        <w:t>（请填写：中型、小型、微型）企业。即，本公司同时满足以下条件：</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根据《工业和信息化部、国家统计局、国家发展和改革委员会、财政部关于印发中小企业划型标准规定的通知》（工信部联企业</w:t>
      </w:r>
      <w:r>
        <w:rPr>
          <w:rFonts w:ascii="Times New Roman" w:hAnsi="Times New Roman"/>
          <w:color w:val="auto"/>
          <w:lang w:eastAsia="zh-CN"/>
        </w:rPr>
        <w:t>[2011]300</w:t>
      </w:r>
      <w:r>
        <w:rPr>
          <w:rFonts w:hint="eastAsia" w:ascii="Times New Roman" w:hAnsi="Times New Roman"/>
          <w:color w:val="auto"/>
          <w:lang w:eastAsia="zh-CN"/>
        </w:rPr>
        <w:t>号）规定的划分标准，本公司为</w:t>
      </w:r>
      <w:r>
        <w:rPr>
          <w:rFonts w:ascii="Times New Roman" w:hAnsi="Times New Roman" w:cs="Times New Roman"/>
          <w:color w:val="auto"/>
          <w:u w:val="single"/>
          <w:lang w:eastAsia="zh-CN"/>
        </w:rPr>
        <w:t>______</w:t>
      </w:r>
      <w:r>
        <w:rPr>
          <w:rFonts w:hint="eastAsia" w:ascii="Times New Roman" w:hAnsi="Times New Roman"/>
          <w:color w:val="auto"/>
          <w:lang w:eastAsia="zh-CN"/>
        </w:rPr>
        <w:t>（请填写：中型、小型、微型）企业。</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本公司参加</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单位的</w:t>
      </w:r>
      <w:r>
        <w:rPr>
          <w:rFonts w:ascii="Times New Roman" w:hAnsi="Times New Roman" w:cs="Times New Roman"/>
          <w:color w:val="auto"/>
          <w:u w:val="single"/>
          <w:lang w:eastAsia="zh-CN"/>
        </w:rPr>
        <w:t>____________</w:t>
      </w:r>
      <w:r>
        <w:rPr>
          <w:rFonts w:hint="eastAsia" w:ascii="Times New Roman" w:hAnsi="Times New Roman"/>
          <w:color w:val="auto"/>
          <w:lang w:eastAsia="zh-CN"/>
        </w:rPr>
        <w:t>项目采购活动提供本企业制造的货物，由本企业承担工程、提供服务，或者提供其他</w:t>
      </w:r>
      <w:r>
        <w:rPr>
          <w:rFonts w:ascii="Times New Roman" w:hAnsi="Times New Roman" w:cs="Times New Roman"/>
          <w:color w:val="auto"/>
          <w:u w:val="single"/>
          <w:lang w:eastAsia="zh-CN"/>
        </w:rPr>
        <w:t>______</w:t>
      </w:r>
      <w:r>
        <w:rPr>
          <w:rFonts w:hint="eastAsia" w:ascii="Times New Roman" w:hAnsi="Times New Roman"/>
          <w:color w:val="auto"/>
          <w:lang w:eastAsia="zh-CN"/>
        </w:rPr>
        <w:t>（请填写：中型、小型、微型）企业制造的货物。本条所称货物不包括使用大型企业注册商标的货物。</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本公司对上述声明的真实性负责。如有虚假，将依法承担相应责任。</w:t>
      </w:r>
    </w:p>
    <w:p>
      <w:pPr>
        <w:pStyle w:val="12"/>
        <w:spacing w:line="360" w:lineRule="auto"/>
        <w:rPr>
          <w:rFonts w:ascii="Times New Roman" w:hAnsi="Times New Roman"/>
          <w:color w:val="auto"/>
          <w:lang w:eastAsia="zh-CN"/>
        </w:rPr>
      </w:pPr>
    </w:p>
    <w:p>
      <w:pPr>
        <w:pStyle w:val="12"/>
        <w:spacing w:line="360" w:lineRule="auto"/>
        <w:rPr>
          <w:rFonts w:ascii="Times New Roman" w:hAnsi="Times New Roman"/>
          <w:color w:val="auto"/>
          <w:lang w:eastAsia="zh-CN"/>
        </w:rPr>
      </w:pPr>
    </w:p>
    <w:p>
      <w:pPr>
        <w:pStyle w:val="12"/>
        <w:tabs>
          <w:tab w:val="left" w:pos="6339"/>
        </w:tabs>
        <w:spacing w:line="360" w:lineRule="auto"/>
        <w:ind w:left="5034" w:leftChars="2288" w:right="2" w:rightChars="1"/>
        <w:rPr>
          <w:rFonts w:ascii="Times New Roman" w:hAnsi="Times New Roman"/>
          <w:color w:val="auto"/>
          <w:lang w:eastAsia="zh-CN"/>
        </w:rPr>
      </w:pPr>
      <w:r>
        <w:rPr>
          <w:rFonts w:hint="eastAsia" w:ascii="Times New Roman" w:hAnsi="Times New Roman"/>
          <w:color w:val="auto"/>
          <w:lang w:eastAsia="zh-CN"/>
        </w:rPr>
        <w:t>投标人（盖章</w:t>
      </w:r>
      <w:r>
        <w:rPr>
          <w:rFonts w:hint="eastAsia" w:ascii="Times New Roman" w:hAnsi="Times New Roman"/>
          <w:color w:val="auto"/>
          <w:spacing w:val="-120"/>
          <w:lang w:eastAsia="zh-CN"/>
        </w:rPr>
        <w:t>）</w:t>
      </w:r>
      <w:r>
        <w:rPr>
          <w:rFonts w:hint="eastAsia" w:ascii="Times New Roman" w:hAnsi="Times New Roman"/>
          <w:color w:val="auto"/>
          <w:lang w:eastAsia="zh-CN"/>
        </w:rPr>
        <w:t>：</w:t>
      </w:r>
    </w:p>
    <w:p>
      <w:pPr>
        <w:pStyle w:val="12"/>
        <w:tabs>
          <w:tab w:val="left" w:pos="6339"/>
        </w:tabs>
        <w:spacing w:line="360" w:lineRule="auto"/>
        <w:ind w:left="5034" w:leftChars="2288" w:right="2" w:rightChars="1"/>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5"/>
        <w:keepNext w:val="0"/>
        <w:keepLines w:val="0"/>
        <w:spacing w:before="0" w:after="0" w:line="360" w:lineRule="auto"/>
        <w:rPr>
          <w:rFonts w:ascii="Times New Roman"/>
          <w:color w:val="auto"/>
          <w:spacing w:val="10"/>
        </w:rPr>
      </w:pPr>
      <w:r>
        <w:rPr>
          <w:rFonts w:ascii="Times New Roman"/>
          <w:color w:val="auto"/>
          <w:szCs w:val="24"/>
        </w:rPr>
        <w:br w:type="page"/>
      </w:r>
      <w:r>
        <w:rPr>
          <w:rFonts w:hint="eastAsia" w:ascii="Times New Roman"/>
          <w:color w:val="auto"/>
          <w:spacing w:val="10"/>
        </w:rPr>
        <w:t>附件</w:t>
      </w:r>
      <w:r>
        <w:rPr>
          <w:rFonts w:ascii="Times New Roman"/>
          <w:color w:val="auto"/>
          <w:spacing w:val="10"/>
        </w:rPr>
        <w:t>9</w:t>
      </w:r>
      <w:r>
        <w:rPr>
          <w:rFonts w:hint="eastAsia" w:ascii="Times New Roman"/>
          <w:color w:val="auto"/>
          <w:spacing w:val="10"/>
        </w:rPr>
        <w:t>、监狱企业证明材料（监狱企业参加的）</w:t>
      </w:r>
    </w:p>
    <w:p>
      <w:pPr>
        <w:pStyle w:val="12"/>
        <w:spacing w:before="240" w:beforeLines="100" w:line="360" w:lineRule="auto"/>
        <w:jc w:val="center"/>
        <w:rPr>
          <w:rFonts w:ascii="Times New Roman" w:hAnsi="Times New Roman"/>
          <w:color w:val="auto"/>
          <w:lang w:eastAsia="zh-CN"/>
        </w:rPr>
      </w:pPr>
      <w:r>
        <w:rPr>
          <w:rFonts w:hint="eastAsia" w:ascii="Times New Roman" w:hAnsi="Times New Roman"/>
          <w:b/>
          <w:color w:val="auto"/>
          <w:lang w:eastAsia="zh-CN"/>
        </w:rPr>
        <w:t>监狱企业证明材料</w:t>
      </w:r>
    </w:p>
    <w:p>
      <w:pPr>
        <w:pStyle w:val="12"/>
        <w:spacing w:line="360" w:lineRule="auto"/>
        <w:ind w:firstLine="480" w:firstLineChars="200"/>
        <w:jc w:val="both"/>
        <w:rPr>
          <w:rFonts w:ascii="Times New Roman" w:hAnsi="Times New Roman"/>
          <w:color w:val="auto"/>
          <w:lang w:eastAsia="zh-CN"/>
        </w:rPr>
      </w:pPr>
      <w:r>
        <w:rPr>
          <w:rFonts w:hint="eastAsia" w:ascii="Times New Roman" w:hAnsi="Times New Roman"/>
          <w:color w:val="auto"/>
          <w:lang w:eastAsia="zh-CN"/>
        </w:rPr>
        <w:t>根据《财政部</w:t>
      </w:r>
      <w:r>
        <w:rPr>
          <w:rFonts w:ascii="Times New Roman" w:hAnsi="Times New Roman"/>
          <w:color w:val="auto"/>
          <w:lang w:eastAsia="zh-CN"/>
        </w:rPr>
        <w:t xml:space="preserve"> </w:t>
      </w:r>
      <w:r>
        <w:rPr>
          <w:rFonts w:hint="eastAsia" w:ascii="Times New Roman" w:hAnsi="Times New Roman"/>
          <w:color w:val="auto"/>
          <w:lang w:eastAsia="zh-CN"/>
        </w:rPr>
        <w:t>司法部关于政府采购支持监狱企业发展有关问题的通知（财库</w:t>
      </w:r>
      <w:r>
        <w:rPr>
          <w:rFonts w:ascii="Times New Roman" w:hAnsi="Times New Roman"/>
          <w:color w:val="auto"/>
          <w:lang w:eastAsia="zh-CN"/>
        </w:rPr>
        <w:t xml:space="preserve">[2014]68 </w:t>
      </w:r>
      <w:r>
        <w:rPr>
          <w:rFonts w:hint="eastAsia" w:ascii="Times New Roman" w:hAnsi="Times New Roman"/>
          <w:color w:val="auto"/>
          <w:lang w:eastAsia="zh-CN"/>
        </w:rPr>
        <w:t>号</w:t>
      </w:r>
      <w:r>
        <w:rPr>
          <w:rFonts w:hint="eastAsia" w:ascii="Times New Roman" w:hAnsi="Times New Roman"/>
          <w:color w:val="auto"/>
          <w:spacing w:val="-120"/>
          <w:lang w:eastAsia="zh-CN"/>
        </w:rPr>
        <w:t>）</w:t>
      </w:r>
      <w:r>
        <w:rPr>
          <w:rFonts w:hint="eastAsia" w:ascii="Times New Roman" w:hAnsi="Times New Roman"/>
          <w:color w:val="auto"/>
          <w:spacing w:val="-20"/>
          <w:lang w:eastAsia="zh-CN"/>
        </w:rPr>
        <w:t>》、《北京市财政局</w:t>
      </w:r>
      <w:r>
        <w:rPr>
          <w:rFonts w:ascii="Times New Roman" w:hAnsi="Times New Roman"/>
          <w:color w:val="auto"/>
          <w:spacing w:val="-20"/>
          <w:lang w:eastAsia="zh-CN"/>
        </w:rPr>
        <w:t xml:space="preserve"> </w:t>
      </w:r>
      <w:r>
        <w:rPr>
          <w:rFonts w:hint="eastAsia" w:ascii="Times New Roman" w:hAnsi="Times New Roman"/>
          <w:color w:val="auto"/>
          <w:spacing w:val="-20"/>
          <w:lang w:eastAsia="zh-CN"/>
        </w:rPr>
        <w:t>北京市司法局关于政府采购支持监狱企业发展</w:t>
      </w:r>
      <w:r>
        <w:rPr>
          <w:rFonts w:hint="eastAsia" w:ascii="Times New Roman" w:hAnsi="Times New Roman"/>
          <w:color w:val="auto"/>
          <w:spacing w:val="-33"/>
          <w:lang w:eastAsia="zh-CN"/>
        </w:rPr>
        <w:t>有关问题的通知》</w:t>
      </w:r>
      <w:r>
        <w:rPr>
          <w:rFonts w:hint="eastAsia" w:ascii="Times New Roman" w:hAnsi="Times New Roman"/>
          <w:color w:val="auto"/>
          <w:lang w:eastAsia="zh-CN"/>
        </w:rPr>
        <w:t>（京财采购</w:t>
      </w:r>
      <w:r>
        <w:rPr>
          <w:rFonts w:ascii="Times New Roman" w:hAnsi="Times New Roman"/>
          <w:color w:val="auto"/>
          <w:lang w:eastAsia="zh-CN"/>
        </w:rPr>
        <w:t xml:space="preserve">[2014]2506 </w:t>
      </w:r>
      <w:r>
        <w:rPr>
          <w:rFonts w:hint="eastAsia" w:ascii="Times New Roman" w:hAnsi="Times New Roman"/>
          <w:color w:val="auto"/>
          <w:lang w:eastAsia="zh-CN"/>
        </w:rPr>
        <w:t>号）的规定提交有关部门出具的证明材料并加盖投标人公章。</w:t>
      </w:r>
    </w:p>
    <w:p>
      <w:pPr>
        <w:pStyle w:val="5"/>
        <w:keepNext w:val="0"/>
        <w:keepLines w:val="0"/>
        <w:spacing w:before="0" w:after="0" w:line="360" w:lineRule="auto"/>
        <w:rPr>
          <w:rFonts w:ascii="Times New Roman"/>
          <w:color w:val="auto"/>
          <w:spacing w:val="10"/>
        </w:rPr>
      </w:pPr>
      <w:r>
        <w:rPr>
          <w:rFonts w:ascii="Times New Roman"/>
          <w:color w:val="auto"/>
          <w:szCs w:val="24"/>
        </w:rPr>
        <w:br w:type="page"/>
      </w:r>
      <w:r>
        <w:rPr>
          <w:rFonts w:hint="eastAsia" w:ascii="Times New Roman"/>
          <w:color w:val="auto"/>
          <w:spacing w:val="10"/>
        </w:rPr>
        <w:t>附件</w:t>
      </w:r>
      <w:r>
        <w:rPr>
          <w:rFonts w:ascii="Times New Roman"/>
          <w:color w:val="auto"/>
          <w:spacing w:val="10"/>
        </w:rPr>
        <w:t>10</w:t>
      </w:r>
      <w:r>
        <w:rPr>
          <w:rFonts w:hint="eastAsia" w:ascii="Times New Roman"/>
          <w:color w:val="auto"/>
          <w:spacing w:val="10"/>
        </w:rPr>
        <w:t>、残疾人福利性单位证明材料（残疾人福利性单位参加的）</w:t>
      </w:r>
    </w:p>
    <w:p>
      <w:pPr>
        <w:pStyle w:val="12"/>
        <w:spacing w:before="240" w:beforeLines="100" w:line="360" w:lineRule="auto"/>
        <w:jc w:val="center"/>
        <w:rPr>
          <w:rFonts w:ascii="Times New Roman" w:hAnsi="Times New Roman"/>
          <w:b/>
          <w:color w:val="auto"/>
          <w:lang w:eastAsia="zh-CN"/>
        </w:rPr>
      </w:pPr>
      <w:r>
        <w:rPr>
          <w:rFonts w:hint="eastAsia" w:ascii="Times New Roman" w:hAnsi="Times New Roman"/>
          <w:b/>
          <w:color w:val="auto"/>
          <w:lang w:eastAsia="zh-CN"/>
        </w:rPr>
        <w:t>残疾人福利性单位证明材料</w:t>
      </w:r>
    </w:p>
    <w:p>
      <w:pPr>
        <w:spacing w:line="360" w:lineRule="auto"/>
        <w:ind w:firstLine="482" w:firstLineChars="200"/>
        <w:jc w:val="both"/>
        <w:rPr>
          <w:rFonts w:ascii="Times New Roman" w:hAnsi="Times New Roman"/>
          <w:b/>
          <w:color w:val="auto"/>
          <w:sz w:val="24"/>
          <w:szCs w:val="24"/>
          <w:lang w:eastAsia="zh-CN"/>
        </w:rPr>
      </w:pPr>
      <w:r>
        <w:rPr>
          <w:rFonts w:hint="eastAsia" w:ascii="Times New Roman" w:hAnsi="Times New Roman"/>
          <w:b/>
          <w:color w:val="auto"/>
          <w:sz w:val="24"/>
          <w:szCs w:val="24"/>
          <w:lang w:eastAsia="zh-CN"/>
        </w:rPr>
        <w:t>根据《财政部</w:t>
      </w:r>
      <w:r>
        <w:rPr>
          <w:rFonts w:ascii="Times New Roman" w:hAnsi="Times New Roman"/>
          <w:b/>
          <w:color w:val="auto"/>
          <w:sz w:val="24"/>
          <w:szCs w:val="24"/>
          <w:lang w:eastAsia="zh-CN"/>
        </w:rPr>
        <w:t xml:space="preserve"> </w:t>
      </w:r>
      <w:r>
        <w:rPr>
          <w:rFonts w:hint="eastAsia" w:ascii="Times New Roman" w:hAnsi="Times New Roman"/>
          <w:b/>
          <w:color w:val="auto"/>
          <w:sz w:val="24"/>
          <w:szCs w:val="24"/>
          <w:lang w:eastAsia="zh-CN"/>
        </w:rPr>
        <w:t>民政部</w:t>
      </w:r>
      <w:r>
        <w:rPr>
          <w:rFonts w:ascii="Times New Roman" w:hAnsi="Times New Roman"/>
          <w:b/>
          <w:color w:val="auto"/>
          <w:sz w:val="24"/>
          <w:szCs w:val="24"/>
          <w:lang w:eastAsia="zh-CN"/>
        </w:rPr>
        <w:t xml:space="preserve"> </w:t>
      </w:r>
      <w:r>
        <w:rPr>
          <w:rFonts w:hint="eastAsia" w:ascii="Times New Roman" w:hAnsi="Times New Roman"/>
          <w:b/>
          <w:color w:val="auto"/>
          <w:sz w:val="24"/>
          <w:szCs w:val="24"/>
          <w:lang w:eastAsia="zh-CN"/>
        </w:rPr>
        <w:t>中国残疾人联合会关于促进残疾人就业政府采购政策的通知》提交的声明函。投标人应当对声明的真实性负责，如提供的“残疾人福利性单位声明函”与事实不符，采购人有权依法追究投标人的责任。</w:t>
      </w:r>
    </w:p>
    <w:p>
      <w:pPr>
        <w:pStyle w:val="12"/>
        <w:rPr>
          <w:rFonts w:ascii="Times New Roman" w:hAnsi="Times New Roman"/>
          <w:b/>
          <w:color w:val="auto"/>
          <w:lang w:eastAsia="zh-CN"/>
        </w:rPr>
      </w:pPr>
    </w:p>
    <w:p>
      <w:pPr>
        <w:pStyle w:val="12"/>
        <w:spacing w:before="4"/>
        <w:rPr>
          <w:rFonts w:ascii="Times New Roman" w:hAnsi="Times New Roman"/>
          <w:b/>
          <w:color w:val="auto"/>
          <w:lang w:eastAsia="zh-CN"/>
        </w:rPr>
      </w:pPr>
    </w:p>
    <w:p>
      <w:pPr>
        <w:pStyle w:val="12"/>
        <w:spacing w:before="240" w:beforeLines="100" w:line="360" w:lineRule="auto"/>
        <w:jc w:val="center"/>
        <w:rPr>
          <w:rFonts w:ascii="Times New Roman" w:hAnsi="Times New Roman"/>
          <w:b/>
          <w:color w:val="auto"/>
          <w:lang w:eastAsia="zh-CN"/>
        </w:rPr>
      </w:pPr>
      <w:r>
        <w:rPr>
          <w:rFonts w:hint="eastAsia" w:ascii="Times New Roman" w:hAnsi="Times New Roman"/>
          <w:b/>
          <w:color w:val="auto"/>
          <w:lang w:eastAsia="zh-CN"/>
        </w:rPr>
        <w:t>残疾人福利性单位声明函</w:t>
      </w:r>
    </w:p>
    <w:p>
      <w:pPr>
        <w:pStyle w:val="12"/>
        <w:rPr>
          <w:rFonts w:ascii="Times New Roman" w:hAnsi="Times New Roman"/>
          <w:b/>
          <w:color w:val="auto"/>
          <w:lang w:eastAsia="zh-CN"/>
        </w:rPr>
      </w:pPr>
    </w:p>
    <w:p>
      <w:pPr>
        <w:pStyle w:val="12"/>
        <w:spacing w:before="3"/>
        <w:rPr>
          <w:rFonts w:ascii="Times New Roman" w:hAnsi="Times New Roman"/>
          <w:b/>
          <w:color w:val="auto"/>
          <w:lang w:eastAsia="zh-CN"/>
        </w:rPr>
      </w:pPr>
    </w:p>
    <w:p>
      <w:pPr>
        <w:pStyle w:val="12"/>
        <w:spacing w:line="360" w:lineRule="auto"/>
        <w:ind w:firstLine="508" w:firstLineChars="200"/>
        <w:jc w:val="both"/>
        <w:rPr>
          <w:rFonts w:ascii="Times New Roman" w:hAnsi="Times New Roman"/>
          <w:color w:val="auto"/>
          <w:lang w:eastAsia="zh-CN"/>
        </w:rPr>
      </w:pPr>
      <w:r>
        <w:rPr>
          <w:rFonts w:hint="eastAsia" w:ascii="Times New Roman" w:hAnsi="Times New Roman"/>
          <w:color w:val="auto"/>
          <w:spacing w:val="7"/>
          <w:lang w:eastAsia="zh-CN"/>
        </w:rPr>
        <w:t>本单位郑重声明，根据《财政部</w:t>
      </w:r>
      <w:r>
        <w:rPr>
          <w:rFonts w:ascii="Times New Roman" w:hAnsi="Times New Roman"/>
          <w:color w:val="auto"/>
          <w:spacing w:val="7"/>
          <w:lang w:eastAsia="zh-CN"/>
        </w:rPr>
        <w:t xml:space="preserve"> </w:t>
      </w:r>
      <w:r>
        <w:rPr>
          <w:rFonts w:hint="eastAsia" w:ascii="Times New Roman" w:hAnsi="Times New Roman"/>
          <w:color w:val="auto"/>
          <w:spacing w:val="7"/>
          <w:lang w:eastAsia="zh-CN"/>
        </w:rPr>
        <w:t>民政部</w:t>
      </w:r>
      <w:r>
        <w:rPr>
          <w:rFonts w:ascii="Times New Roman" w:hAnsi="Times New Roman"/>
          <w:color w:val="auto"/>
          <w:spacing w:val="7"/>
          <w:lang w:eastAsia="zh-CN"/>
        </w:rPr>
        <w:t xml:space="preserve"> </w:t>
      </w:r>
      <w:r>
        <w:rPr>
          <w:rFonts w:hint="eastAsia" w:ascii="Times New Roman" w:hAnsi="Times New Roman"/>
          <w:color w:val="auto"/>
          <w:spacing w:val="7"/>
          <w:lang w:eastAsia="zh-CN"/>
        </w:rPr>
        <w:t>中国残疾人联合会关于促进残疾人就业政府采购政策的通知</w:t>
      </w:r>
      <w:r>
        <w:rPr>
          <w:rFonts w:hint="eastAsia" w:ascii="Times New Roman" w:hAnsi="Times New Roman"/>
          <w:color w:val="auto"/>
          <w:spacing w:val="-142"/>
          <w:lang w:eastAsia="zh-CN"/>
        </w:rPr>
        <w:t>》</w:t>
      </w:r>
      <w:r>
        <w:rPr>
          <w:rFonts w:hint="eastAsia" w:ascii="Times New Roman" w:hAnsi="Times New Roman"/>
          <w:color w:val="auto"/>
          <w:spacing w:val="10"/>
          <w:lang w:eastAsia="zh-CN"/>
        </w:rPr>
        <w:t>（</w:t>
      </w:r>
      <w:r>
        <w:rPr>
          <w:rFonts w:hint="eastAsia" w:ascii="Times New Roman" w:hAnsi="Times New Roman"/>
          <w:color w:val="auto"/>
          <w:lang w:eastAsia="zh-CN"/>
        </w:rPr>
        <w:t>财库〔</w:t>
      </w:r>
      <w:r>
        <w:rPr>
          <w:rFonts w:ascii="Times New Roman" w:hAnsi="Times New Roman"/>
          <w:color w:val="auto"/>
          <w:lang w:eastAsia="zh-CN"/>
        </w:rPr>
        <w:t>2017</w:t>
      </w:r>
      <w:r>
        <w:rPr>
          <w:rFonts w:hint="eastAsia" w:ascii="Times New Roman" w:hAnsi="Times New Roman"/>
          <w:color w:val="auto"/>
          <w:spacing w:val="-5"/>
          <w:lang w:eastAsia="zh-CN"/>
        </w:rPr>
        <w:t>〕</w:t>
      </w:r>
      <w:r>
        <w:rPr>
          <w:rFonts w:ascii="Times New Roman" w:hAnsi="Times New Roman"/>
          <w:color w:val="auto"/>
          <w:spacing w:val="-5"/>
          <w:lang w:eastAsia="zh-CN"/>
        </w:rPr>
        <w:t xml:space="preserve"> </w:t>
      </w:r>
      <w:r>
        <w:rPr>
          <w:rFonts w:ascii="Times New Roman" w:hAnsi="Times New Roman"/>
          <w:color w:val="auto"/>
          <w:lang w:eastAsia="zh-CN"/>
        </w:rPr>
        <w:t>141</w:t>
      </w:r>
      <w:r>
        <w:rPr>
          <w:rFonts w:ascii="Times New Roman" w:hAnsi="Times New Roman"/>
          <w:color w:val="auto"/>
          <w:spacing w:val="-21"/>
          <w:lang w:eastAsia="zh-CN"/>
        </w:rPr>
        <w:t xml:space="preserve"> </w:t>
      </w:r>
      <w:r>
        <w:rPr>
          <w:rFonts w:hint="eastAsia" w:ascii="Times New Roman" w:hAnsi="Times New Roman"/>
          <w:color w:val="auto"/>
          <w:spacing w:val="-21"/>
          <w:lang w:eastAsia="zh-CN"/>
        </w:rPr>
        <w:t>号</w:t>
      </w:r>
      <w:r>
        <w:rPr>
          <w:rFonts w:hint="eastAsia" w:ascii="Times New Roman" w:hAnsi="Times New Roman"/>
          <w:color w:val="auto"/>
          <w:spacing w:val="-16"/>
          <w:lang w:eastAsia="zh-CN"/>
        </w:rPr>
        <w:t>）</w:t>
      </w:r>
      <w:r>
        <w:rPr>
          <w:rFonts w:hint="eastAsia" w:ascii="Times New Roman" w:hAnsi="Times New Roman"/>
          <w:color w:val="auto"/>
          <w:spacing w:val="5"/>
          <w:lang w:eastAsia="zh-CN"/>
        </w:rPr>
        <w:t>的规定，本单位为符合条件的残疾人福利性单位，且本单位参加</w:t>
      </w:r>
      <w:r>
        <w:rPr>
          <w:rFonts w:ascii="Times New Roman" w:hAnsi="Times New Roman" w:cs="Times New Roman"/>
          <w:color w:val="auto"/>
          <w:u w:val="single"/>
          <w:lang w:eastAsia="zh-CN"/>
        </w:rPr>
        <w:t>_________</w:t>
      </w:r>
      <w:r>
        <w:rPr>
          <w:rFonts w:hint="eastAsia" w:ascii="Times New Roman" w:hAnsi="Times New Roman"/>
          <w:color w:val="auto"/>
          <w:spacing w:val="10"/>
          <w:lang w:eastAsia="zh-CN"/>
        </w:rPr>
        <w:t>单位的</w:t>
      </w:r>
      <w:r>
        <w:rPr>
          <w:rFonts w:ascii="Times New Roman" w:hAnsi="Times New Roman" w:cs="Times New Roman"/>
          <w:color w:val="auto"/>
          <w:u w:val="single"/>
          <w:lang w:eastAsia="zh-CN"/>
        </w:rPr>
        <w:t>_________</w:t>
      </w:r>
      <w:r>
        <w:rPr>
          <w:rFonts w:hint="eastAsia" w:ascii="Times New Roman" w:hAnsi="Times New Roman"/>
          <w:color w:val="auto"/>
          <w:spacing w:val="10"/>
          <w:lang w:eastAsia="zh-CN"/>
        </w:rPr>
        <w:t>项目采购活动提供本单位制造的货物</w:t>
      </w:r>
      <w:r>
        <w:rPr>
          <w:rFonts w:hint="eastAsia" w:ascii="Times New Roman" w:hAnsi="Times New Roman"/>
          <w:color w:val="auto"/>
          <w:spacing w:val="11"/>
          <w:lang w:eastAsia="zh-CN"/>
        </w:rPr>
        <w:t>（由本单位承担工程</w:t>
      </w:r>
      <w:r>
        <w:rPr>
          <w:rFonts w:ascii="Times New Roman" w:hAnsi="Times New Roman"/>
          <w:color w:val="auto"/>
          <w:spacing w:val="5"/>
          <w:lang w:eastAsia="zh-CN"/>
        </w:rPr>
        <w:t>/</w:t>
      </w:r>
      <w:r>
        <w:rPr>
          <w:rFonts w:hint="eastAsia" w:ascii="Times New Roman" w:hAnsi="Times New Roman"/>
          <w:color w:val="auto"/>
          <w:spacing w:val="10"/>
          <w:lang w:eastAsia="zh-CN"/>
        </w:rPr>
        <w:t>提供服务</w:t>
      </w:r>
      <w:r>
        <w:rPr>
          <w:rFonts w:hint="eastAsia" w:ascii="Times New Roman" w:hAnsi="Times New Roman"/>
          <w:color w:val="auto"/>
          <w:spacing w:val="-114"/>
          <w:lang w:eastAsia="zh-CN"/>
        </w:rPr>
        <w:t>）</w:t>
      </w:r>
      <w:r>
        <w:rPr>
          <w:rFonts w:hint="eastAsia" w:ascii="Times New Roman" w:hAnsi="Times New Roman"/>
          <w:color w:val="auto"/>
          <w:spacing w:val="5"/>
          <w:lang w:eastAsia="zh-CN"/>
        </w:rPr>
        <w:t>，或者提供其他残</w:t>
      </w:r>
      <w:r>
        <w:rPr>
          <w:rFonts w:hint="eastAsia" w:ascii="Times New Roman" w:hAnsi="Times New Roman"/>
          <w:color w:val="auto"/>
          <w:spacing w:val="10"/>
          <w:lang w:eastAsia="zh-CN"/>
        </w:rPr>
        <w:t>疾人福利性单位制造的货物（不包括使用非残疾人福利性单位注册商标的货物</w:t>
      </w:r>
      <w:r>
        <w:rPr>
          <w:rFonts w:hint="eastAsia" w:ascii="Times New Roman" w:hAnsi="Times New Roman"/>
          <w:color w:val="auto"/>
          <w:spacing w:val="-114"/>
          <w:lang w:eastAsia="zh-CN"/>
        </w:rPr>
        <w:t>）</w:t>
      </w:r>
      <w:r>
        <w:rPr>
          <w:rFonts w:hint="eastAsia" w:ascii="Times New Roman" w:hAnsi="Times New Roman"/>
          <w:color w:val="auto"/>
          <w:lang w:eastAsia="zh-CN"/>
        </w:rPr>
        <w:t>。</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本单位对上述声明的真实性负责。如有虚假，将依法承担相应责任。</w:t>
      </w: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spacing w:before="8"/>
        <w:rPr>
          <w:rFonts w:ascii="Times New Roman" w:hAnsi="Times New Roman"/>
          <w:color w:val="auto"/>
          <w:lang w:eastAsia="zh-CN"/>
        </w:rPr>
      </w:pPr>
    </w:p>
    <w:p>
      <w:pPr>
        <w:pStyle w:val="12"/>
        <w:tabs>
          <w:tab w:val="left" w:pos="8505"/>
        </w:tabs>
        <w:spacing w:before="1" w:line="343" w:lineRule="auto"/>
        <w:ind w:left="4396" w:right="3" w:hanging="393"/>
        <w:rPr>
          <w:rFonts w:ascii="Times New Roman" w:hAnsi="Times New Roman"/>
          <w:color w:val="auto"/>
          <w:lang w:eastAsia="zh-CN"/>
        </w:rPr>
      </w:pPr>
      <w:r>
        <w:rPr>
          <w:rFonts w:hint="eastAsia" w:ascii="Times New Roman" w:hAnsi="Times New Roman"/>
          <w:color w:val="auto"/>
          <w:spacing w:val="11"/>
          <w:lang w:eastAsia="zh-CN"/>
        </w:rPr>
        <w:t>投标人（盖章）</w:t>
      </w:r>
      <w:r>
        <w:rPr>
          <w:rFonts w:hint="eastAsia" w:ascii="Times New Roman" w:hAnsi="Times New Roman"/>
          <w:color w:val="auto"/>
          <w:lang w:eastAsia="zh-CN"/>
        </w:rPr>
        <w:t>：</w:t>
      </w:r>
    </w:p>
    <w:p>
      <w:pPr>
        <w:pStyle w:val="12"/>
        <w:tabs>
          <w:tab w:val="left" w:pos="8505"/>
        </w:tabs>
        <w:spacing w:before="1" w:line="343" w:lineRule="auto"/>
        <w:ind w:left="4396" w:right="3" w:hanging="393"/>
        <w:rPr>
          <w:rFonts w:ascii="Times New Roman" w:hAnsi="Times New Roman"/>
          <w:color w:val="auto"/>
          <w:lang w:eastAsia="zh-CN"/>
        </w:rPr>
      </w:pPr>
    </w:p>
    <w:p>
      <w:pPr>
        <w:pStyle w:val="12"/>
        <w:tabs>
          <w:tab w:val="left" w:pos="8505"/>
        </w:tabs>
        <w:spacing w:before="1" w:line="343" w:lineRule="auto"/>
        <w:ind w:left="4396" w:right="3" w:hanging="393"/>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12"/>
        <w:spacing w:before="9"/>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spacing w:before="0" w:after="0" w:line="360" w:lineRule="auto"/>
        <w:rPr>
          <w:rFonts w:ascii="Times New Roman"/>
          <w:color w:val="auto"/>
          <w:spacing w:val="10"/>
        </w:rPr>
      </w:pPr>
      <w:r>
        <w:rPr>
          <w:rFonts w:hint="eastAsia" w:ascii="Times New Roman"/>
          <w:color w:val="auto"/>
          <w:spacing w:val="10"/>
        </w:rPr>
        <w:t>附件</w:t>
      </w:r>
      <w:r>
        <w:rPr>
          <w:rFonts w:ascii="Times New Roman"/>
          <w:color w:val="auto"/>
          <w:spacing w:val="10"/>
        </w:rPr>
        <w:t>11</w:t>
      </w:r>
      <w:r>
        <w:rPr>
          <w:rFonts w:hint="eastAsia" w:ascii="Times New Roman"/>
          <w:color w:val="auto"/>
          <w:spacing w:val="10"/>
        </w:rPr>
        <w:t>、服务工作方案</w:t>
      </w:r>
    </w:p>
    <w:p>
      <w:pPr>
        <w:pStyle w:val="12"/>
        <w:spacing w:before="240" w:beforeLines="100" w:line="360" w:lineRule="auto"/>
        <w:jc w:val="center"/>
        <w:rPr>
          <w:rFonts w:ascii="Times New Roman" w:hAnsi="Times New Roman"/>
          <w:b/>
          <w:color w:val="auto"/>
          <w:lang w:eastAsia="zh-CN"/>
        </w:rPr>
      </w:pPr>
      <w:r>
        <w:rPr>
          <w:rFonts w:hint="eastAsia" w:ascii="Times New Roman" w:hAnsi="Times New Roman"/>
          <w:b/>
          <w:color w:val="auto"/>
          <w:lang w:eastAsia="zh-CN"/>
        </w:rPr>
        <w:t>服务工作方案</w:t>
      </w:r>
    </w:p>
    <w:p>
      <w:pPr>
        <w:pStyle w:val="12"/>
        <w:spacing w:line="360" w:lineRule="auto"/>
        <w:jc w:val="center"/>
        <w:rPr>
          <w:rFonts w:ascii="Times New Roman" w:hAnsi="Times New Roman"/>
          <w:color w:val="auto"/>
          <w:lang w:eastAsia="zh-CN"/>
        </w:rPr>
      </w:pPr>
      <w:r>
        <w:rPr>
          <w:rFonts w:hint="eastAsia" w:ascii="Times New Roman" w:hAnsi="Times New Roman"/>
          <w:b/>
          <w:color w:val="auto"/>
          <w:lang w:eastAsia="zh-CN"/>
        </w:rPr>
        <w:t>（内容自拟）</w:t>
      </w: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spacing w:line="360" w:lineRule="auto"/>
        <w:ind w:left="459"/>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（盖章）</w:t>
      </w:r>
    </w:p>
    <w:p>
      <w:pPr>
        <w:pStyle w:val="12"/>
        <w:spacing w:line="360" w:lineRule="auto"/>
        <w:ind w:left="459"/>
        <w:rPr>
          <w:rFonts w:ascii="Times New Roman" w:hAnsi="Times New Roman"/>
          <w:color w:val="auto"/>
          <w:lang w:eastAsia="zh-CN"/>
        </w:rPr>
      </w:pPr>
      <w:r>
        <w:rPr>
          <w:rFonts w:hint="eastAsia" w:ascii="Times New Roman" w:hAnsi="Times New Roman"/>
          <w:color w:val="auto"/>
          <w:lang w:eastAsia="zh-CN"/>
        </w:rPr>
        <w:t>投标人法定代表人或授权代表签字或盖章：</w:t>
      </w:r>
    </w:p>
    <w:p>
      <w:pPr>
        <w:pStyle w:val="12"/>
        <w:spacing w:line="360" w:lineRule="auto"/>
        <w:ind w:left="459"/>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12"/>
        <w:spacing w:before="9"/>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spacing w:before="0" w:after="0" w:line="360" w:lineRule="auto"/>
        <w:rPr>
          <w:rFonts w:ascii="Times New Roman"/>
          <w:color w:val="auto"/>
          <w:spacing w:val="10"/>
        </w:rPr>
      </w:pPr>
      <w:bookmarkStart w:id="439" w:name="_Toc522884094"/>
      <w:r>
        <w:rPr>
          <w:rFonts w:hint="eastAsia" w:ascii="Times New Roman"/>
          <w:color w:val="auto"/>
          <w:spacing w:val="10"/>
        </w:rPr>
        <w:t>附件</w:t>
      </w:r>
      <w:r>
        <w:rPr>
          <w:rFonts w:ascii="Times New Roman"/>
          <w:color w:val="auto"/>
          <w:spacing w:val="10"/>
        </w:rPr>
        <w:t>12</w:t>
      </w:r>
      <w:r>
        <w:rPr>
          <w:rFonts w:hint="eastAsia" w:ascii="Times New Roman"/>
          <w:color w:val="auto"/>
          <w:spacing w:val="10"/>
        </w:rPr>
        <w:t>、服务承诺书</w:t>
      </w:r>
      <w:bookmarkEnd w:id="439"/>
    </w:p>
    <w:p>
      <w:pPr>
        <w:pStyle w:val="12"/>
        <w:spacing w:before="240" w:beforeLines="100" w:line="360" w:lineRule="auto"/>
        <w:jc w:val="center"/>
        <w:rPr>
          <w:rFonts w:ascii="Times New Roman" w:hAnsi="Times New Roman"/>
          <w:b/>
          <w:color w:val="auto"/>
          <w:lang w:eastAsia="zh-CN"/>
        </w:rPr>
      </w:pPr>
      <w:r>
        <w:rPr>
          <w:rFonts w:hint="eastAsia" w:ascii="Times New Roman" w:hAnsi="Times New Roman"/>
          <w:b/>
          <w:color w:val="auto"/>
          <w:lang w:eastAsia="zh-CN"/>
        </w:rPr>
        <w:t>服务承诺书</w:t>
      </w:r>
    </w:p>
    <w:p>
      <w:pPr>
        <w:pStyle w:val="12"/>
        <w:spacing w:line="360" w:lineRule="auto"/>
        <w:jc w:val="center"/>
        <w:rPr>
          <w:rFonts w:ascii="Times New Roman" w:hAnsi="Times New Roman"/>
          <w:b/>
          <w:color w:val="auto"/>
          <w:lang w:eastAsia="zh-CN"/>
        </w:rPr>
      </w:pPr>
      <w:r>
        <w:rPr>
          <w:rFonts w:hint="eastAsia" w:ascii="Times New Roman" w:hAnsi="Times New Roman"/>
          <w:b/>
          <w:color w:val="auto"/>
          <w:lang w:eastAsia="zh-CN"/>
        </w:rPr>
        <w:t>（内容自拟）</w:t>
      </w: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rPr>
          <w:rFonts w:ascii="Times New Roman" w:hAnsi="Times New Roman"/>
          <w:b/>
          <w:color w:val="auto"/>
          <w:lang w:eastAsia="zh-CN"/>
        </w:rPr>
      </w:pPr>
    </w:p>
    <w:p>
      <w:pPr>
        <w:pStyle w:val="12"/>
        <w:spacing w:before="13"/>
        <w:rPr>
          <w:rFonts w:ascii="Times New Roman" w:hAnsi="Times New Roman"/>
          <w:b/>
          <w:color w:val="auto"/>
          <w:lang w:eastAsia="zh-CN"/>
        </w:rPr>
      </w:pPr>
    </w:p>
    <w:p>
      <w:pPr>
        <w:pStyle w:val="12"/>
        <w:spacing w:line="360" w:lineRule="auto"/>
        <w:ind w:left="459"/>
        <w:rPr>
          <w:rFonts w:ascii="Times New Roman" w:hAnsi="Times New Roman"/>
          <w:color w:val="auto"/>
          <w:lang w:eastAsia="zh-CN"/>
        </w:rPr>
      </w:pPr>
      <w:r>
        <w:rPr>
          <w:rFonts w:hint="eastAsia" w:ascii="Times New Roman" w:hAnsi="Times New Roman"/>
          <w:color w:val="auto"/>
          <w:lang w:eastAsia="zh-CN"/>
        </w:rPr>
        <w:t>投标人：</w:t>
      </w:r>
      <w:r>
        <w:rPr>
          <w:rFonts w:ascii="Times New Roman" w:hAnsi="Times New Roman" w:cs="Times New Roman"/>
          <w:color w:val="auto"/>
          <w:u w:val="single"/>
          <w:lang w:eastAsia="zh-CN"/>
        </w:rPr>
        <w:t>__________________</w:t>
      </w:r>
      <w:r>
        <w:rPr>
          <w:rFonts w:hint="eastAsia" w:ascii="Times New Roman" w:hAnsi="Times New Roman"/>
          <w:color w:val="auto"/>
          <w:lang w:eastAsia="zh-CN"/>
        </w:rPr>
        <w:t>（盖章）</w:t>
      </w:r>
    </w:p>
    <w:p>
      <w:pPr>
        <w:pStyle w:val="12"/>
        <w:spacing w:line="360" w:lineRule="auto"/>
        <w:ind w:left="459" w:right="3"/>
        <w:rPr>
          <w:rFonts w:ascii="Times New Roman" w:hAnsi="Times New Roman"/>
          <w:color w:val="auto"/>
          <w:lang w:eastAsia="zh-CN"/>
        </w:rPr>
      </w:pPr>
      <w:r>
        <w:rPr>
          <w:rFonts w:hint="eastAsia" w:ascii="Times New Roman" w:hAnsi="Times New Roman"/>
          <w:color w:val="auto"/>
          <w:lang w:eastAsia="zh-CN"/>
        </w:rPr>
        <w:t>投标人法定代表人或授权代表签字或盖章：</w:t>
      </w:r>
    </w:p>
    <w:p>
      <w:pPr>
        <w:pStyle w:val="12"/>
        <w:spacing w:line="360" w:lineRule="auto"/>
        <w:ind w:left="459" w:right="3"/>
        <w:rPr>
          <w:rFonts w:ascii="Times New Roman" w:hAnsi="Times New Roman"/>
          <w:color w:val="auto"/>
          <w:lang w:eastAsia="zh-CN"/>
        </w:rPr>
      </w:pPr>
      <w:r>
        <w:rPr>
          <w:rFonts w:hint="eastAsia" w:cs="微软雅黑" w:asciiTheme="minorEastAsia" w:hAnsiTheme="minorEastAsia" w:eastAsiaTheme="minorEastAsia"/>
          <w:color w:val="auto"/>
          <w:lang w:eastAsia="zh-CN"/>
        </w:rPr>
        <w:t>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12"/>
        <w:spacing w:before="5"/>
        <w:rPr>
          <w:rFonts w:ascii="Times New Roman" w:hAnsi="Times New Roman"/>
          <w:color w:val="auto"/>
          <w:lang w:eastAsia="zh-CN"/>
        </w:rPr>
      </w:pPr>
      <w:r>
        <w:rPr>
          <w:rFonts w:ascii="Times New Roman" w:hAnsi="Times New Roman"/>
          <w:color w:val="auto"/>
          <w:lang w:eastAsia="zh-CN"/>
        </w:rPr>
        <w:br w:type="page"/>
      </w:r>
    </w:p>
    <w:p>
      <w:pPr>
        <w:pStyle w:val="5"/>
        <w:keepNext w:val="0"/>
        <w:keepLines w:val="0"/>
        <w:spacing w:before="0" w:after="0" w:line="360" w:lineRule="auto"/>
        <w:rPr>
          <w:rFonts w:ascii="Times New Roman"/>
          <w:color w:val="auto"/>
          <w:spacing w:val="10"/>
        </w:rPr>
      </w:pPr>
      <w:r>
        <w:rPr>
          <w:rFonts w:hint="eastAsia" w:ascii="Times New Roman"/>
          <w:color w:val="auto"/>
          <w:spacing w:val="10"/>
        </w:rPr>
        <w:t>附件</w:t>
      </w:r>
      <w:r>
        <w:rPr>
          <w:rFonts w:ascii="Times New Roman"/>
          <w:color w:val="auto"/>
          <w:spacing w:val="10"/>
        </w:rPr>
        <w:t>13</w:t>
      </w:r>
      <w:r>
        <w:rPr>
          <w:rFonts w:hint="eastAsia" w:ascii="Times New Roman"/>
          <w:color w:val="auto"/>
          <w:spacing w:val="10"/>
        </w:rPr>
        <w:t>、中标服务费承诺书</w:t>
      </w:r>
    </w:p>
    <w:p>
      <w:pPr>
        <w:tabs>
          <w:tab w:val="left" w:pos="1119"/>
        </w:tabs>
        <w:spacing w:before="9" w:line="297" w:lineRule="auto"/>
        <w:ind w:left="217" w:right="3"/>
        <w:rPr>
          <w:rFonts w:ascii="Times New Roman" w:hAnsi="Times New Roman"/>
          <w:b/>
          <w:color w:val="auto"/>
          <w:sz w:val="24"/>
          <w:szCs w:val="24"/>
          <w:lang w:eastAsia="zh-CN"/>
        </w:rPr>
      </w:pPr>
    </w:p>
    <w:p>
      <w:pPr>
        <w:tabs>
          <w:tab w:val="left" w:pos="1119"/>
        </w:tabs>
        <w:spacing w:before="9"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致：北京合信恒盛咨询有限公司</w:t>
      </w:r>
    </w:p>
    <w:p>
      <w:pPr>
        <w:pStyle w:val="12"/>
        <w:spacing w:line="360" w:lineRule="auto"/>
        <w:ind w:firstLine="504"/>
        <w:jc w:val="both"/>
        <w:rPr>
          <w:rFonts w:ascii="Times New Roman" w:hAnsi="Times New Roman"/>
          <w:color w:val="auto"/>
          <w:spacing w:val="7"/>
          <w:lang w:eastAsia="zh-CN"/>
        </w:rPr>
      </w:pPr>
      <w:r>
        <w:rPr>
          <w:rFonts w:hint="eastAsia" w:ascii="Times New Roman" w:hAnsi="Times New Roman"/>
          <w:color w:val="auto"/>
          <w:spacing w:val="7"/>
          <w:lang w:eastAsia="zh-CN"/>
        </w:rPr>
        <w:t>我们在贵公司代理的</w:t>
      </w:r>
      <w:r>
        <w:rPr>
          <w:rFonts w:ascii="Times New Roman" w:hAnsi="Times New Roman" w:cs="Times New Roman"/>
          <w:color w:val="auto"/>
          <w:u w:val="single"/>
          <w:lang w:eastAsia="zh-CN"/>
        </w:rPr>
        <w:t>____________</w:t>
      </w:r>
      <w:r>
        <w:rPr>
          <w:rFonts w:hint="eastAsia" w:ascii="Times New Roman" w:hAnsi="Times New Roman"/>
          <w:color w:val="auto"/>
          <w:spacing w:val="7"/>
          <w:lang w:eastAsia="zh-CN"/>
        </w:rPr>
        <w:t>项目（招标编号：</w:t>
      </w:r>
      <w:r>
        <w:rPr>
          <w:rFonts w:ascii="Times New Roman" w:hAnsi="Times New Roman" w:cs="Times New Roman"/>
          <w:color w:val="auto"/>
          <w:u w:val="single"/>
          <w:lang w:eastAsia="zh-CN"/>
        </w:rPr>
        <w:t>______</w:t>
      </w:r>
      <w:r>
        <w:rPr>
          <w:rFonts w:hint="eastAsia" w:ascii="Times New Roman" w:hAnsi="Times New Roman"/>
          <w:color w:val="auto"/>
          <w:spacing w:val="7"/>
          <w:lang w:eastAsia="zh-CN"/>
        </w:rPr>
        <w:t>）公开招标中若获中标，我们保证在领取中标通知书时按招标文件的规定，以支票、银行汇票、电汇或经贵公司认可的一种方式，向贵公司指定的银行账号，按照招标文件中中标服务费收取标准一次性支付中标服务费。</w:t>
      </w:r>
    </w:p>
    <w:p>
      <w:pPr>
        <w:pStyle w:val="12"/>
        <w:rPr>
          <w:rFonts w:ascii="Times New Roman" w:hAnsi="Times New Roman"/>
          <w:color w:val="auto"/>
          <w:lang w:eastAsia="zh-CN"/>
        </w:rPr>
      </w:pP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特此承诺。</w:t>
      </w: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rPr>
          <w:rFonts w:ascii="Times New Roman" w:hAnsi="Times New Roman"/>
          <w:color w:val="auto"/>
          <w:lang w:eastAsia="zh-CN"/>
        </w:rPr>
      </w:pPr>
    </w:p>
    <w:p>
      <w:pPr>
        <w:pStyle w:val="12"/>
        <w:spacing w:before="1"/>
        <w:rPr>
          <w:rFonts w:ascii="Times New Roman" w:hAnsi="Times New Roman"/>
          <w:color w:val="auto"/>
          <w:lang w:eastAsia="zh-CN"/>
        </w:rPr>
      </w:pP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承诺方（盖章</w:t>
      </w:r>
      <w:r>
        <w:rPr>
          <w:rFonts w:hint="eastAsia" w:ascii="Times New Roman" w:hAnsi="Times New Roman"/>
          <w:color w:val="auto"/>
          <w:spacing w:val="-120"/>
          <w:lang w:eastAsia="zh-CN"/>
        </w:rPr>
        <w:t>）</w:t>
      </w:r>
      <w:r>
        <w:rPr>
          <w:rFonts w:hint="eastAsia" w:ascii="Times New Roman" w:hAnsi="Times New Roman"/>
          <w:color w:val="auto"/>
          <w:lang w:eastAsia="zh-CN"/>
        </w:rPr>
        <w:t>：</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地址：</w:t>
      </w:r>
    </w:p>
    <w:p>
      <w:pPr>
        <w:pStyle w:val="12"/>
        <w:spacing w:line="360" w:lineRule="auto"/>
        <w:ind w:firstLine="480" w:firstLineChars="200"/>
        <w:jc w:val="both"/>
        <w:rPr>
          <w:rFonts w:ascii="Times New Roman" w:hAnsi="Times New Roman"/>
          <w:color w:val="auto"/>
          <w:lang w:eastAsia="zh-CN"/>
        </w:rPr>
      </w:pPr>
      <w:r>
        <w:rPr>
          <w:rFonts w:hint="eastAsia" w:ascii="Times New Roman" w:hAnsi="Times New Roman"/>
          <w:color w:val="auto"/>
          <w:lang w:eastAsia="zh-CN"/>
        </w:rPr>
        <w:t>电话：</w:t>
      </w:r>
    </w:p>
    <w:p>
      <w:pPr>
        <w:pStyle w:val="12"/>
        <w:spacing w:line="360" w:lineRule="auto"/>
        <w:ind w:firstLine="480" w:firstLineChars="200"/>
        <w:jc w:val="both"/>
        <w:rPr>
          <w:rFonts w:ascii="Times New Roman" w:hAnsi="Times New Roman"/>
          <w:color w:val="auto"/>
          <w:lang w:eastAsia="zh-CN"/>
        </w:rPr>
      </w:pPr>
      <w:r>
        <w:rPr>
          <w:rFonts w:hint="eastAsia" w:ascii="Times New Roman" w:hAnsi="Times New Roman"/>
          <w:color w:val="auto"/>
          <w:lang w:eastAsia="zh-CN"/>
        </w:rPr>
        <w:t>传真：</w:t>
      </w:r>
    </w:p>
    <w:p>
      <w:pPr>
        <w:pStyle w:val="12"/>
        <w:spacing w:line="360" w:lineRule="auto"/>
        <w:ind w:firstLine="480" w:firstLineChars="200"/>
        <w:jc w:val="both"/>
        <w:rPr>
          <w:rFonts w:ascii="Times New Roman" w:hAnsi="Times New Roman"/>
          <w:color w:val="auto"/>
          <w:lang w:eastAsia="zh-CN"/>
        </w:rPr>
      </w:pPr>
      <w:r>
        <w:rPr>
          <w:rFonts w:hint="eastAsia" w:ascii="Times New Roman" w:hAnsi="Times New Roman"/>
          <w:color w:val="auto"/>
          <w:lang w:eastAsia="zh-CN"/>
        </w:rPr>
        <w:t>邮编：</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承诺方法定代表人或授权代表签字或盖章：</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承诺日期：</w:t>
      </w:r>
      <w:r>
        <w:rPr>
          <w:rFonts w:ascii="Times New Roman" w:hAnsi="Times New Roman" w:cs="Times New Roman"/>
          <w:color w:val="auto"/>
          <w:u w:val="single"/>
          <w:lang w:eastAsia="zh-CN"/>
        </w:rPr>
        <w:t>______</w:t>
      </w:r>
      <w:r>
        <w:rPr>
          <w:rFonts w:hint="eastAsia"/>
          <w:bCs/>
          <w:color w:val="auto"/>
          <w:lang w:eastAsia="zh-CN"/>
        </w:rPr>
        <w:t>年</w:t>
      </w:r>
      <w:r>
        <w:rPr>
          <w:rFonts w:ascii="Times New Roman" w:hAnsi="Times New Roman" w:cs="Times New Roman"/>
          <w:color w:val="auto"/>
          <w:u w:val="single"/>
          <w:lang w:eastAsia="zh-CN"/>
        </w:rPr>
        <w:t>___</w:t>
      </w:r>
      <w:r>
        <w:rPr>
          <w:rFonts w:hint="eastAsia"/>
          <w:bCs/>
          <w:color w:val="auto"/>
          <w:lang w:eastAsia="zh-CN"/>
        </w:rPr>
        <w:t>月</w:t>
      </w:r>
      <w:r>
        <w:rPr>
          <w:rFonts w:ascii="Times New Roman" w:hAnsi="Times New Roman" w:cs="Times New Roman"/>
          <w:color w:val="auto"/>
          <w:u w:val="single"/>
          <w:lang w:eastAsia="zh-CN"/>
        </w:rPr>
        <w:t>___</w:t>
      </w:r>
      <w:r>
        <w:rPr>
          <w:rFonts w:hint="eastAsia"/>
          <w:bCs/>
          <w:color w:val="auto"/>
          <w:lang w:eastAsia="zh-CN"/>
        </w:rPr>
        <w:t>日</w:t>
      </w:r>
    </w:p>
    <w:p>
      <w:pPr>
        <w:pStyle w:val="5"/>
        <w:keepNext w:val="0"/>
        <w:keepLines w:val="0"/>
        <w:spacing w:before="0" w:after="0" w:line="360" w:lineRule="auto"/>
        <w:rPr>
          <w:rFonts w:ascii="Times New Roman"/>
          <w:color w:val="auto"/>
          <w:spacing w:val="10"/>
        </w:rPr>
      </w:pPr>
      <w:r>
        <w:rPr>
          <w:rFonts w:ascii="Times New Roman"/>
          <w:color w:val="auto"/>
          <w:szCs w:val="24"/>
        </w:rPr>
        <w:br w:type="page"/>
      </w:r>
      <w:r>
        <w:rPr>
          <w:rFonts w:hint="eastAsia" w:ascii="Times New Roman"/>
          <w:color w:val="auto"/>
          <w:spacing w:val="10"/>
        </w:rPr>
        <w:t>附件</w:t>
      </w:r>
      <w:r>
        <w:rPr>
          <w:rFonts w:ascii="Times New Roman"/>
          <w:color w:val="auto"/>
          <w:spacing w:val="10"/>
        </w:rPr>
        <w:t>14</w:t>
      </w:r>
      <w:r>
        <w:rPr>
          <w:rFonts w:hint="eastAsia" w:ascii="Times New Roman"/>
          <w:color w:val="auto"/>
          <w:spacing w:val="10"/>
        </w:rPr>
        <w:t>、履约保证金保函格式（中标后开具）</w:t>
      </w:r>
      <w:r>
        <w:rPr>
          <w:rFonts w:hint="eastAsia"/>
          <w:color w:val="auto"/>
        </w:rPr>
        <w:t>（不适用）</w:t>
      </w:r>
    </w:p>
    <w:p>
      <w:pPr>
        <w:pStyle w:val="6"/>
        <w:keepNext w:val="0"/>
        <w:keepLines w:val="0"/>
        <w:rPr>
          <w:rFonts w:ascii="Times New Roman" w:hAnsi="Times New Roman"/>
          <w:color w:val="auto"/>
        </w:rPr>
      </w:pPr>
      <w:r>
        <w:rPr>
          <w:rFonts w:hint="eastAsia" w:ascii="Times New Roman" w:hAnsi="Times New Roman"/>
          <w:color w:val="auto"/>
        </w:rPr>
        <w:t>附件</w:t>
      </w:r>
      <w:r>
        <w:rPr>
          <w:rFonts w:ascii="Times New Roman" w:hAnsi="Times New Roman"/>
          <w:color w:val="auto"/>
        </w:rPr>
        <w:t>14-1</w:t>
      </w:r>
      <w:r>
        <w:rPr>
          <w:rFonts w:hint="eastAsia" w:ascii="Times New Roman" w:hAnsi="Times New Roman"/>
          <w:color w:val="auto"/>
        </w:rPr>
        <w:t>银行履约保函</w:t>
      </w:r>
    </w:p>
    <w:p>
      <w:pPr>
        <w:tabs>
          <w:tab w:val="left" w:pos="8505"/>
        </w:tabs>
        <w:spacing w:before="42" w:line="228" w:lineRule="auto"/>
        <w:ind w:right="3"/>
        <w:rPr>
          <w:rFonts w:ascii="Times New Roman" w:hAnsi="Times New Roman"/>
          <w:color w:val="auto"/>
          <w:sz w:val="24"/>
          <w:szCs w:val="24"/>
          <w:lang w:eastAsia="zh-CN"/>
        </w:rPr>
      </w:pPr>
    </w:p>
    <w:p>
      <w:pPr>
        <w:tabs>
          <w:tab w:val="left" w:pos="8505"/>
        </w:tabs>
        <w:spacing w:before="42" w:line="228" w:lineRule="auto"/>
        <w:ind w:right="3"/>
        <w:rPr>
          <w:rFonts w:ascii="Times New Roman" w:hAnsi="Times New Roman"/>
          <w:color w:val="auto"/>
          <w:sz w:val="24"/>
          <w:szCs w:val="24"/>
          <w:lang w:eastAsia="zh-CN"/>
        </w:rPr>
      </w:pPr>
      <w:r>
        <w:rPr>
          <w:rFonts w:hint="eastAsia" w:ascii="Times New Roman" w:hAnsi="Times New Roman"/>
          <w:color w:val="auto"/>
          <w:sz w:val="24"/>
          <w:szCs w:val="24"/>
          <w:lang w:eastAsia="zh-CN"/>
        </w:rPr>
        <w:t>致：</w:t>
      </w:r>
      <w:r>
        <w:rPr>
          <w:rFonts w:hint="eastAsia" w:ascii="Times New Roman" w:hAnsi="Times New Roman"/>
          <w:color w:val="auto"/>
          <w:sz w:val="24"/>
          <w:szCs w:val="24"/>
          <w:u w:val="single"/>
          <w:lang w:val="en-US" w:eastAsia="zh-CN"/>
        </w:rPr>
        <w:t xml:space="preserve">         </w:t>
      </w:r>
      <w:r>
        <w:rPr>
          <w:rFonts w:hint="eastAsia" w:ascii="Times New Roman" w:hAnsi="Times New Roman"/>
          <w:color w:val="auto"/>
          <w:sz w:val="24"/>
          <w:szCs w:val="24"/>
          <w:lang w:eastAsia="zh-CN"/>
        </w:rPr>
        <w:t>（</w:t>
      </w:r>
      <w:r>
        <w:rPr>
          <w:rFonts w:hint="eastAsia" w:ascii="Times New Roman" w:hAnsi="Times New Roman"/>
          <w:i/>
          <w:color w:val="auto"/>
          <w:sz w:val="24"/>
          <w:szCs w:val="24"/>
          <w:lang w:eastAsia="zh-CN"/>
        </w:rPr>
        <w:t>买方名称</w:t>
      </w:r>
      <w:r>
        <w:rPr>
          <w:rFonts w:hint="eastAsia" w:ascii="Times New Roman" w:hAnsi="Times New Roman"/>
          <w:color w:val="auto"/>
          <w:sz w:val="24"/>
          <w:szCs w:val="24"/>
          <w:lang w:eastAsia="zh-CN"/>
        </w:rPr>
        <w:t>）</w:t>
      </w:r>
    </w:p>
    <w:p>
      <w:pPr>
        <w:pStyle w:val="12"/>
        <w:tabs>
          <w:tab w:val="left" w:pos="2039"/>
        </w:tabs>
        <w:spacing w:before="77"/>
        <w:ind w:right="477"/>
        <w:rPr>
          <w:rFonts w:ascii="Times New Roman" w:hAnsi="Times New Roman"/>
          <w:color w:val="auto"/>
          <w:lang w:eastAsia="zh-CN"/>
        </w:rPr>
      </w:pPr>
      <w:r>
        <w:rPr>
          <w:rFonts w:ascii="Times New Roman" w:hAnsi="Times New Roman" w:cs="Times New Roman"/>
          <w:color w:val="auto"/>
          <w:u w:val="single"/>
          <w:lang w:eastAsia="zh-CN"/>
        </w:rPr>
        <w:t>_________</w:t>
      </w:r>
      <w:r>
        <w:rPr>
          <w:rFonts w:hint="eastAsia" w:ascii="Times New Roman" w:hAnsi="Times New Roman"/>
          <w:color w:val="auto"/>
          <w:lang w:eastAsia="zh-CN"/>
        </w:rPr>
        <w:t>号合同履约保函</w:t>
      </w:r>
    </w:p>
    <w:p>
      <w:pPr>
        <w:pStyle w:val="12"/>
        <w:tabs>
          <w:tab w:val="left" w:pos="6725"/>
          <w:tab w:val="left" w:pos="7565"/>
          <w:tab w:val="left" w:pos="8286"/>
        </w:tabs>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本保函作为贵方与</w:t>
      </w:r>
      <w:r>
        <w:rPr>
          <w:rFonts w:ascii="Times New Roman" w:hAnsi="Times New Roman" w:cs="Times New Roman"/>
          <w:color w:val="auto"/>
          <w:u w:val="single"/>
          <w:lang w:eastAsia="zh-CN"/>
        </w:rPr>
        <w:t>________________________</w:t>
      </w:r>
      <w:r>
        <w:rPr>
          <w:rFonts w:hint="eastAsia" w:ascii="Times New Roman" w:hAnsi="Times New Roman"/>
          <w:color w:val="auto"/>
          <w:lang w:eastAsia="zh-CN"/>
        </w:rPr>
        <w:t>（</w:t>
      </w:r>
      <w:r>
        <w:rPr>
          <w:rFonts w:hint="eastAsia" w:ascii="Times New Roman" w:hAnsi="Times New Roman"/>
          <w:i/>
          <w:color w:val="auto"/>
          <w:lang w:eastAsia="zh-CN"/>
        </w:rPr>
        <w:t>卖方名称</w:t>
      </w:r>
      <w:r>
        <w:rPr>
          <w:rFonts w:hint="eastAsia" w:ascii="Times New Roman" w:hAnsi="Times New Roman"/>
          <w:color w:val="auto"/>
          <w:lang w:eastAsia="zh-CN"/>
        </w:rPr>
        <w:t>）（以下简称卖方）于</w:t>
      </w:r>
      <w:r>
        <w:rPr>
          <w:rFonts w:ascii="Times New Roman" w:hAnsi="Times New Roman" w:cs="Times New Roman"/>
          <w:color w:val="auto"/>
          <w:u w:val="single"/>
          <w:lang w:eastAsia="zh-CN"/>
        </w:rPr>
        <w:t>______</w:t>
      </w:r>
      <w:r>
        <w:rPr>
          <w:rFonts w:hint="eastAsia" w:ascii="Times New Roman" w:hAnsi="Times New Roman"/>
          <w:color w:val="auto"/>
          <w:lang w:eastAsia="zh-CN"/>
        </w:rPr>
        <w:t>年</w:t>
      </w:r>
      <w:r>
        <w:rPr>
          <w:rFonts w:ascii="Times New Roman" w:hAnsi="Times New Roman" w:cs="Times New Roman"/>
          <w:color w:val="auto"/>
          <w:u w:val="single"/>
          <w:lang w:eastAsia="zh-CN"/>
        </w:rPr>
        <w:t>___</w:t>
      </w:r>
      <w:r>
        <w:rPr>
          <w:rFonts w:hint="eastAsia" w:ascii="Times New Roman" w:hAnsi="Times New Roman"/>
          <w:color w:val="auto"/>
          <w:lang w:eastAsia="zh-CN"/>
        </w:rPr>
        <w:t>月</w:t>
      </w:r>
      <w:r>
        <w:rPr>
          <w:rFonts w:ascii="Times New Roman" w:hAnsi="Times New Roman" w:cs="Times New Roman"/>
          <w:color w:val="auto"/>
          <w:u w:val="single"/>
          <w:lang w:eastAsia="zh-CN"/>
        </w:rPr>
        <w:t>___</w:t>
      </w:r>
      <w:r>
        <w:rPr>
          <w:rFonts w:hint="eastAsia" w:ascii="Times New Roman" w:hAnsi="Times New Roman"/>
          <w:color w:val="auto"/>
          <w:lang w:eastAsia="zh-CN"/>
        </w:rPr>
        <w:t>日就项目</w:t>
      </w:r>
      <w:r>
        <w:rPr>
          <w:rFonts w:ascii="Times New Roman" w:hAnsi="Times New Roman" w:cs="Times New Roman"/>
          <w:color w:val="auto"/>
          <w:u w:val="single"/>
          <w:lang w:eastAsia="zh-CN"/>
        </w:rPr>
        <w:t>_________</w:t>
      </w:r>
      <w:r>
        <w:rPr>
          <w:rFonts w:hint="eastAsia" w:ascii="Times New Roman" w:hAnsi="Times New Roman"/>
          <w:color w:val="auto"/>
          <w:lang w:eastAsia="zh-CN"/>
        </w:rPr>
        <w:t>（以下简称项目）项下提供</w:t>
      </w:r>
      <w:r>
        <w:rPr>
          <w:rFonts w:ascii="Times New Roman" w:hAnsi="Times New Roman" w:cs="Times New Roman"/>
          <w:color w:val="auto"/>
          <w:u w:val="single"/>
          <w:lang w:eastAsia="zh-CN"/>
        </w:rPr>
        <w:t>______</w:t>
      </w:r>
      <w:r>
        <w:rPr>
          <w:rFonts w:hint="eastAsia" w:ascii="Times New Roman" w:hAnsi="Times New Roman"/>
          <w:color w:val="auto"/>
          <w:lang w:eastAsia="zh-CN"/>
        </w:rPr>
        <w:t>（</w:t>
      </w:r>
      <w:r>
        <w:rPr>
          <w:rFonts w:hint="eastAsia" w:ascii="Times New Roman" w:hAnsi="Times New Roman"/>
          <w:i/>
          <w:color w:val="auto"/>
          <w:lang w:eastAsia="zh-CN"/>
        </w:rPr>
        <w:t>货物名称</w:t>
      </w:r>
      <w:r>
        <w:rPr>
          <w:rFonts w:hint="eastAsia" w:ascii="Times New Roman" w:hAnsi="Times New Roman"/>
          <w:color w:val="auto"/>
          <w:lang w:eastAsia="zh-CN"/>
        </w:rPr>
        <w:t>）（以下简称货物）签订的</w:t>
      </w:r>
      <w:r>
        <w:rPr>
          <w:rFonts w:ascii="Times New Roman" w:hAnsi="Times New Roman" w:cs="Times New Roman"/>
          <w:color w:val="auto"/>
          <w:u w:val="single"/>
          <w:lang w:eastAsia="zh-CN"/>
        </w:rPr>
        <w:t>______</w:t>
      </w:r>
      <w:r>
        <w:rPr>
          <w:rFonts w:hint="eastAsia" w:ascii="Times New Roman" w:hAnsi="Times New Roman"/>
          <w:color w:val="auto"/>
          <w:lang w:eastAsia="zh-CN"/>
        </w:rPr>
        <w:t>（</w:t>
      </w:r>
      <w:r>
        <w:rPr>
          <w:rFonts w:hint="eastAsia" w:ascii="Times New Roman" w:hAnsi="Times New Roman"/>
          <w:i/>
          <w:color w:val="auto"/>
          <w:lang w:eastAsia="zh-CN"/>
        </w:rPr>
        <w:t>合同号</w:t>
      </w:r>
      <w:r>
        <w:rPr>
          <w:rFonts w:hint="eastAsia" w:ascii="Times New Roman" w:hAnsi="Times New Roman"/>
          <w:color w:val="auto"/>
          <w:lang w:eastAsia="zh-CN"/>
        </w:rPr>
        <w:t>）号合同的履约保函。</w:t>
      </w:r>
    </w:p>
    <w:p>
      <w:pPr>
        <w:pStyle w:val="12"/>
        <w:spacing w:line="360" w:lineRule="auto"/>
        <w:ind w:firstLine="480" w:firstLineChars="200"/>
        <w:rPr>
          <w:rFonts w:ascii="Times New Roman" w:hAnsi="Times New Roman"/>
          <w:color w:val="auto"/>
          <w:lang w:eastAsia="zh-CN"/>
        </w:rPr>
      </w:pPr>
      <w:r>
        <w:rPr>
          <w:rFonts w:ascii="Times New Roman" w:hAnsi="Times New Roman" w:cs="Times New Roman"/>
          <w:color w:val="auto"/>
          <w:u w:val="single"/>
          <w:lang w:eastAsia="zh-CN"/>
        </w:rPr>
        <w:t>____________</w:t>
      </w:r>
      <w:r>
        <w:rPr>
          <w:rFonts w:hint="eastAsia" w:ascii="Times New Roman" w:hAnsi="Times New Roman"/>
          <w:color w:val="auto"/>
          <w:w w:val="95"/>
          <w:lang w:eastAsia="zh-CN"/>
        </w:rPr>
        <w:t>（</w:t>
      </w:r>
      <w:r>
        <w:rPr>
          <w:rFonts w:hint="eastAsia" w:ascii="Times New Roman" w:hAnsi="Times New Roman"/>
          <w:i/>
          <w:color w:val="auto"/>
          <w:w w:val="95"/>
          <w:lang w:eastAsia="zh-CN"/>
        </w:rPr>
        <w:t>出具保函的银行名称</w:t>
      </w:r>
      <w:r>
        <w:rPr>
          <w:rFonts w:hint="eastAsia" w:ascii="Times New Roman" w:hAnsi="Times New Roman"/>
          <w:color w:val="auto"/>
          <w:w w:val="95"/>
          <w:lang w:eastAsia="zh-CN"/>
        </w:rPr>
        <w:t>）（以下简称银行）无条件地、不可撤销地具结保证本行、其继承人和受让人无追索地向贵方以</w:t>
      </w:r>
      <w:r>
        <w:rPr>
          <w:rFonts w:ascii="Times New Roman" w:hAnsi="Times New Roman" w:cs="Times New Roman"/>
          <w:color w:val="auto"/>
          <w:u w:val="single"/>
          <w:lang w:eastAsia="zh-CN"/>
        </w:rPr>
        <w:t>______</w:t>
      </w:r>
      <w:r>
        <w:rPr>
          <w:rFonts w:hint="eastAsia" w:ascii="Times New Roman" w:hAnsi="Times New Roman"/>
          <w:color w:val="auto"/>
          <w:w w:val="95"/>
          <w:lang w:eastAsia="zh-CN"/>
        </w:rPr>
        <w:t>（</w:t>
      </w:r>
      <w:r>
        <w:rPr>
          <w:rFonts w:hint="eastAsia" w:ascii="Times New Roman" w:hAnsi="Times New Roman"/>
          <w:i/>
          <w:color w:val="auto"/>
          <w:w w:val="95"/>
          <w:lang w:eastAsia="zh-CN"/>
        </w:rPr>
        <w:t>货币名称</w:t>
      </w:r>
      <w:r>
        <w:rPr>
          <w:rFonts w:hint="eastAsia" w:ascii="Times New Roman" w:hAnsi="Times New Roman"/>
          <w:color w:val="auto"/>
          <w:w w:val="95"/>
          <w:lang w:eastAsia="zh-CN"/>
        </w:rPr>
        <w:t>）支付总额不超过</w:t>
      </w:r>
      <w:r>
        <w:rPr>
          <w:rFonts w:hint="eastAsia" w:ascii="Times New Roman" w:hAnsi="Times New Roman" w:cs="Times New Roman"/>
          <w:color w:val="auto"/>
          <w:u w:val="single"/>
          <w:lang w:val="en-US" w:eastAsia="zh-CN"/>
        </w:rPr>
        <w:t xml:space="preserve">           </w:t>
      </w:r>
      <w:r>
        <w:rPr>
          <w:rFonts w:hint="eastAsia" w:ascii="Times New Roman" w:hAnsi="Times New Roman"/>
          <w:color w:val="auto"/>
          <w:w w:val="95"/>
          <w:lang w:eastAsia="zh-CN"/>
        </w:rPr>
        <w:t>（</w:t>
      </w:r>
      <w:r>
        <w:rPr>
          <w:rFonts w:hint="eastAsia" w:ascii="Times New Roman" w:hAnsi="Times New Roman"/>
          <w:i/>
          <w:color w:val="auto"/>
          <w:w w:val="95"/>
          <w:lang w:eastAsia="zh-CN"/>
        </w:rPr>
        <w:t>货币数量</w:t>
      </w:r>
      <w:r>
        <w:rPr>
          <w:rFonts w:hint="eastAsia" w:ascii="Times New Roman" w:hAnsi="Times New Roman"/>
          <w:color w:val="auto"/>
          <w:w w:val="95"/>
          <w:lang w:eastAsia="zh-CN"/>
        </w:rPr>
        <w:t>），即</w:t>
      </w:r>
      <w:r>
        <w:rPr>
          <w:rFonts w:ascii="Times New Roman" w:hAnsi="Times New Roman"/>
          <w:color w:val="auto"/>
          <w:w w:val="95"/>
          <w:lang w:eastAsia="zh-CN"/>
        </w:rPr>
        <w:t xml:space="preserve"> </w:t>
      </w:r>
      <w:r>
        <w:rPr>
          <w:rFonts w:hint="eastAsia" w:ascii="Times New Roman" w:hAnsi="Times New Roman"/>
          <w:color w:val="auto"/>
          <w:lang w:eastAsia="zh-CN"/>
        </w:rPr>
        <w:t>相当于合同价格的</w:t>
      </w:r>
      <w:r>
        <w:rPr>
          <w:rFonts w:hint="eastAsia" w:ascii="Times New Roman" w:hAnsi="Times New Roman" w:cs="Times New Roman"/>
          <w:color w:val="auto"/>
          <w:u w:val="single"/>
          <w:lang w:val="en-US" w:eastAsia="zh-CN"/>
        </w:rPr>
        <w:t xml:space="preserve">       </w:t>
      </w:r>
      <w:r>
        <w:rPr>
          <w:rFonts w:ascii="Times New Roman" w:hAnsi="Times New Roman"/>
          <w:color w:val="auto"/>
          <w:lang w:eastAsia="zh-CN"/>
        </w:rPr>
        <w:t>%</w:t>
      </w:r>
      <w:r>
        <w:rPr>
          <w:rFonts w:hint="eastAsia" w:ascii="Times New Roman" w:hAnsi="Times New Roman"/>
          <w:color w:val="auto"/>
          <w:lang w:eastAsia="zh-CN"/>
        </w:rPr>
        <w:t>，并以此约定如下：</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只要贵方确定卖方未能忠实地履行所有合同文件的规定和双方此后一致同意的修改、补充和变动，包括更改和</w:t>
      </w:r>
      <w:r>
        <w:rPr>
          <w:rFonts w:ascii="Times New Roman" w:hAnsi="Times New Roman"/>
          <w:color w:val="auto"/>
          <w:lang w:eastAsia="zh-CN"/>
        </w:rPr>
        <w:t>/</w:t>
      </w:r>
      <w:r>
        <w:rPr>
          <w:rFonts w:hint="eastAsia" w:ascii="Times New Roman" w:hAnsi="Times New Roman"/>
          <w:color w:val="auto"/>
          <w:lang w:eastAsia="zh-CN"/>
        </w:rPr>
        <w:t>或修补贵方认为有缺陷的货物（以下简称违约），无论卖方有任何反对，本行将凭贵方关于卖方违约说明的书面通知，立即按贵方提出的累计总额不超过上述金额的款项和按贵方通知规定的方式付给贵方。</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本保函项下的任何支付应为免税和净值。对于现有或将来的税收、关税、</w:t>
      </w:r>
      <w:r>
        <w:rPr>
          <w:rFonts w:hint="eastAsia" w:ascii="Times New Roman" w:hAnsi="Times New Roman"/>
          <w:color w:val="auto"/>
          <w:spacing w:val="-9"/>
          <w:lang w:eastAsia="zh-CN"/>
        </w:rPr>
        <w:t>收费、费用扣减或预提税款，不论这些款项是何种性质和由谁征收，都不应从本保函项下的支付中扣除。</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3.</w:t>
      </w:r>
      <w:r>
        <w:rPr>
          <w:rFonts w:hint="eastAsia" w:ascii="Times New Roman" w:hAnsi="Times New Roman"/>
          <w:color w:val="auto"/>
          <w:spacing w:val="-3"/>
          <w:lang w:eastAsia="zh-CN"/>
        </w:rPr>
        <w:t>本保函的条款构成本行无条件的、不可撤销的直接责任。对即将履行的合</w:t>
      </w:r>
      <w:r>
        <w:rPr>
          <w:rFonts w:hint="eastAsia" w:ascii="Times New Roman" w:hAnsi="Times New Roman"/>
          <w:color w:val="auto"/>
          <w:spacing w:val="-11"/>
          <w:lang w:eastAsia="zh-CN"/>
        </w:rPr>
        <w:t>同条款的任何变更、贵方在时间上的宽限、或由贵方采取的如果没有本款可能免除本行责任的任何其他行为，均不能解除或免除本行在本保函项下的责任。</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4.</w:t>
      </w:r>
      <w:r>
        <w:rPr>
          <w:rFonts w:hint="eastAsia" w:ascii="Times New Roman" w:hAnsi="Times New Roman"/>
          <w:color w:val="auto"/>
          <w:lang w:eastAsia="zh-CN"/>
        </w:rPr>
        <w:t>本保函在本合同规定的保证期期满前完全有效。</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谨启</w:t>
      </w:r>
    </w:p>
    <w:p>
      <w:pPr>
        <w:pStyle w:val="12"/>
        <w:spacing w:line="360" w:lineRule="auto"/>
        <w:rPr>
          <w:rFonts w:ascii="Times New Roman" w:hAnsi="Times New Roman"/>
          <w:color w:val="auto"/>
          <w:u w:val="single"/>
          <w:lang w:eastAsia="zh-CN"/>
        </w:rPr>
      </w:pPr>
      <w:r>
        <w:rPr>
          <w:rFonts w:hint="eastAsia" w:ascii="Times New Roman" w:hAnsi="Times New Roman"/>
          <w:color w:val="auto"/>
          <w:lang w:eastAsia="zh-CN"/>
        </w:rPr>
        <w:t>出具保函银行名称：</w:t>
      </w:r>
      <w:r>
        <w:rPr>
          <w:rFonts w:ascii="Times New Roman" w:hAnsi="Times New Roman" w:cs="Times New Roman"/>
          <w:color w:val="auto"/>
          <w:u w:val="single"/>
          <w:lang w:eastAsia="zh-CN"/>
        </w:rPr>
        <w:t>_________</w:t>
      </w:r>
    </w:p>
    <w:p>
      <w:pPr>
        <w:pStyle w:val="12"/>
        <w:tabs>
          <w:tab w:val="left" w:pos="0"/>
        </w:tabs>
        <w:spacing w:line="360" w:lineRule="auto"/>
        <w:rPr>
          <w:rFonts w:ascii="Times New Roman" w:hAnsi="Times New Roman"/>
          <w:color w:val="auto"/>
          <w:u w:val="single"/>
          <w:lang w:eastAsia="zh-CN"/>
        </w:rPr>
      </w:pPr>
      <w:r>
        <w:rPr>
          <w:rFonts w:hint="eastAsia" w:ascii="Times New Roman" w:hAnsi="Times New Roman"/>
          <w:color w:val="auto"/>
          <w:lang w:eastAsia="zh-CN"/>
        </w:rPr>
        <w:t>签字或盖章人姓名和职务：</w:t>
      </w:r>
      <w:r>
        <w:rPr>
          <w:rFonts w:ascii="Times New Roman" w:hAnsi="Times New Roman" w:cs="Times New Roman"/>
          <w:color w:val="auto"/>
          <w:u w:val="single"/>
          <w:lang w:eastAsia="zh-CN"/>
        </w:rPr>
        <w:t>_________</w:t>
      </w:r>
    </w:p>
    <w:p>
      <w:pPr>
        <w:pStyle w:val="12"/>
        <w:spacing w:line="360" w:lineRule="auto"/>
        <w:rPr>
          <w:rFonts w:ascii="Times New Roman" w:hAnsi="Times New Roman"/>
          <w:color w:val="auto"/>
          <w:u w:val="single"/>
          <w:lang w:eastAsia="zh-CN"/>
        </w:rPr>
      </w:pPr>
      <w:r>
        <w:rPr>
          <w:rFonts w:hint="eastAsia" w:ascii="Times New Roman" w:hAnsi="Times New Roman"/>
          <w:color w:val="auto"/>
          <w:lang w:eastAsia="zh-CN"/>
        </w:rPr>
        <w:t>签字或盖章人签名：</w:t>
      </w:r>
      <w:r>
        <w:rPr>
          <w:rFonts w:ascii="Times New Roman" w:hAnsi="Times New Roman" w:cs="Times New Roman"/>
          <w:color w:val="auto"/>
          <w:u w:val="single"/>
          <w:lang w:eastAsia="zh-CN"/>
        </w:rPr>
        <w:t>_________</w:t>
      </w:r>
    </w:p>
    <w:p>
      <w:pPr>
        <w:pStyle w:val="12"/>
        <w:spacing w:line="360" w:lineRule="auto"/>
        <w:rPr>
          <w:rFonts w:ascii="Times New Roman" w:hAnsi="Times New Roman"/>
          <w:color w:val="auto"/>
          <w:u w:val="single"/>
          <w:lang w:eastAsia="zh-CN"/>
        </w:rPr>
      </w:pPr>
      <w:r>
        <w:rPr>
          <w:rFonts w:hint="eastAsia" w:ascii="Times New Roman" w:hAnsi="Times New Roman"/>
          <w:color w:val="auto"/>
          <w:lang w:eastAsia="zh-CN"/>
        </w:rPr>
        <w:t>公章：</w:t>
      </w:r>
      <w:r>
        <w:rPr>
          <w:rFonts w:ascii="Times New Roman" w:hAnsi="Times New Roman" w:cs="Times New Roman"/>
          <w:color w:val="auto"/>
          <w:u w:val="single"/>
          <w:lang w:eastAsia="zh-CN"/>
        </w:rPr>
        <w:t>_______________</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日期：</w:t>
      </w:r>
      <w:r>
        <w:rPr>
          <w:rFonts w:hint="eastAsia" w:ascii="Times New Roman" w:hAnsi="Times New Roman" w:cs="Times New Roman"/>
          <w:color w:val="auto"/>
          <w:u w:val="single"/>
          <w:lang w:val="en-US" w:eastAsia="zh-CN"/>
        </w:rPr>
        <w:t xml:space="preserve">        </w:t>
      </w:r>
      <w:r>
        <w:rPr>
          <w:rFonts w:hint="eastAsia"/>
          <w:bCs/>
          <w:color w:val="auto"/>
          <w:lang w:eastAsia="zh-CN"/>
        </w:rPr>
        <w:t>年</w:t>
      </w:r>
      <w:r>
        <w:rPr>
          <w:rFonts w:hint="eastAsia" w:ascii="Times New Roman" w:hAnsi="Times New Roman" w:cs="Times New Roman"/>
          <w:color w:val="auto"/>
          <w:u w:val="single"/>
          <w:lang w:val="en-US" w:eastAsia="zh-CN"/>
        </w:rPr>
        <w:t xml:space="preserve">    </w:t>
      </w:r>
      <w:r>
        <w:rPr>
          <w:rFonts w:hint="eastAsia"/>
          <w:bCs/>
          <w:color w:val="auto"/>
          <w:lang w:eastAsia="zh-CN"/>
        </w:rPr>
        <w:t>月</w:t>
      </w:r>
      <w:r>
        <w:rPr>
          <w:rFonts w:hint="eastAsia" w:ascii="Times New Roman" w:hAnsi="Times New Roman" w:cs="Times New Roman"/>
          <w:color w:val="auto"/>
          <w:u w:val="single"/>
          <w:lang w:val="en-US" w:eastAsia="zh-CN"/>
        </w:rPr>
        <w:t xml:space="preserve">     </w:t>
      </w:r>
      <w:r>
        <w:rPr>
          <w:rFonts w:hint="eastAsia"/>
          <w:bCs/>
          <w:color w:val="auto"/>
          <w:lang w:eastAsia="zh-CN"/>
        </w:rPr>
        <w:t>日</w:t>
      </w:r>
    </w:p>
    <w:p>
      <w:pPr>
        <w:pStyle w:val="6"/>
        <w:keepNext w:val="0"/>
        <w:keepLines w:val="0"/>
        <w:spacing w:before="0" w:after="0" w:line="360" w:lineRule="auto"/>
        <w:rPr>
          <w:rFonts w:ascii="Times New Roman" w:hAnsi="Times New Roman"/>
          <w:color w:val="auto"/>
          <w:szCs w:val="24"/>
        </w:rPr>
      </w:pPr>
      <w:r>
        <w:rPr>
          <w:rFonts w:ascii="Times New Roman" w:hAnsi="Times New Roman"/>
          <w:color w:val="auto"/>
          <w:szCs w:val="24"/>
        </w:rPr>
        <w:br w:type="page"/>
      </w:r>
      <w:r>
        <w:rPr>
          <w:rFonts w:hint="eastAsia" w:ascii="Times New Roman" w:hAnsi="Times New Roman"/>
          <w:color w:val="auto"/>
        </w:rPr>
        <w:t>附件</w:t>
      </w:r>
      <w:r>
        <w:rPr>
          <w:rFonts w:ascii="Times New Roman" w:hAnsi="Times New Roman"/>
          <w:color w:val="auto"/>
        </w:rPr>
        <w:t>14-2</w:t>
      </w:r>
      <w:r>
        <w:rPr>
          <w:rFonts w:hint="eastAsia" w:ascii="Times New Roman" w:hAnsi="Times New Roman"/>
          <w:color w:val="auto"/>
        </w:rPr>
        <w:t>履约担保保函</w:t>
      </w:r>
      <w:r>
        <w:rPr>
          <w:rFonts w:hint="eastAsia" w:ascii="Times New Roman"/>
          <w:color w:val="auto"/>
          <w:spacing w:val="10"/>
        </w:rPr>
        <w:t>（中标后开具）</w:t>
      </w:r>
      <w:r>
        <w:rPr>
          <w:rFonts w:hint="eastAsia"/>
          <w:color w:val="auto"/>
        </w:rPr>
        <w:t>（不适用）</w:t>
      </w:r>
    </w:p>
    <w:p>
      <w:pPr>
        <w:spacing w:line="360" w:lineRule="auto"/>
        <w:jc w:val="center"/>
        <w:rPr>
          <w:rFonts w:ascii="Times New Roman" w:hAnsi="Times New Roman"/>
          <w:b/>
          <w:color w:val="auto"/>
          <w:sz w:val="24"/>
          <w:szCs w:val="24"/>
          <w:lang w:eastAsia="zh-CN"/>
        </w:rPr>
      </w:pPr>
      <w:r>
        <w:rPr>
          <w:rFonts w:hint="eastAsia" w:ascii="Times New Roman" w:hAnsi="Times New Roman"/>
          <w:b/>
          <w:color w:val="auto"/>
          <w:sz w:val="24"/>
          <w:szCs w:val="24"/>
          <w:lang w:eastAsia="zh-CN"/>
        </w:rPr>
        <w:t>政府采购履约担保函</w:t>
      </w:r>
    </w:p>
    <w:p>
      <w:pPr>
        <w:pStyle w:val="12"/>
        <w:spacing w:line="360" w:lineRule="auto"/>
        <w:jc w:val="center"/>
        <w:rPr>
          <w:rFonts w:ascii="Times New Roman" w:hAnsi="Times New Roman"/>
          <w:color w:val="auto"/>
          <w:lang w:eastAsia="zh-CN"/>
        </w:rPr>
      </w:pPr>
      <w:r>
        <w:rPr>
          <w:rFonts w:hint="eastAsia" w:ascii="Times New Roman" w:hAnsi="Times New Roman"/>
          <w:color w:val="auto"/>
          <w:lang w:eastAsia="zh-CN"/>
        </w:rPr>
        <w:t>编号：</w:t>
      </w:r>
    </w:p>
    <w:p>
      <w:pPr>
        <w:pStyle w:val="12"/>
        <w:tabs>
          <w:tab w:val="left" w:pos="0"/>
        </w:tabs>
        <w:spacing w:line="360" w:lineRule="auto"/>
        <w:rPr>
          <w:rFonts w:ascii="Times New Roman" w:hAnsi="Times New Roman"/>
          <w:color w:val="auto"/>
          <w:lang w:eastAsia="zh-CN"/>
        </w:rPr>
      </w:pPr>
      <w:r>
        <w:rPr>
          <w:rFonts w:ascii="Times New Roman" w:hAnsi="Times New Roman" w:cs="Times New Roman"/>
          <w:color w:val="auto"/>
          <w:u w:val="single"/>
          <w:lang w:eastAsia="zh-CN"/>
        </w:rPr>
        <w:t>____________</w:t>
      </w:r>
      <w:r>
        <w:rPr>
          <w:rFonts w:hint="eastAsia" w:ascii="Times New Roman" w:hAnsi="Times New Roman"/>
          <w:color w:val="auto"/>
          <w:lang w:eastAsia="zh-CN"/>
        </w:rPr>
        <w:t>（采购人</w:t>
      </w:r>
      <w:r>
        <w:rPr>
          <w:rFonts w:hint="eastAsia" w:ascii="Times New Roman" w:hAnsi="Times New Roman"/>
          <w:color w:val="auto"/>
          <w:spacing w:val="-120"/>
          <w:lang w:eastAsia="zh-CN"/>
        </w:rPr>
        <w:t>）</w:t>
      </w:r>
      <w:r>
        <w:rPr>
          <w:rFonts w:hint="eastAsia" w:ascii="Times New Roman" w:hAnsi="Times New Roman"/>
          <w:color w:val="auto"/>
          <w:lang w:eastAsia="zh-CN"/>
        </w:rPr>
        <w:t>：</w:t>
      </w:r>
    </w:p>
    <w:p>
      <w:pPr>
        <w:pStyle w:val="12"/>
        <w:tabs>
          <w:tab w:val="left" w:pos="3099"/>
          <w:tab w:val="left" w:pos="4193"/>
          <w:tab w:val="left" w:pos="5573"/>
        </w:tabs>
        <w:spacing w:line="360" w:lineRule="auto"/>
        <w:ind w:firstLine="480"/>
        <w:jc w:val="both"/>
        <w:rPr>
          <w:rFonts w:ascii="Times New Roman" w:hAnsi="Times New Roman"/>
          <w:color w:val="auto"/>
          <w:lang w:eastAsia="zh-CN"/>
        </w:rPr>
      </w:pPr>
      <w:r>
        <w:rPr>
          <w:rFonts w:hint="eastAsia" w:ascii="Times New Roman" w:hAnsi="Times New Roman"/>
          <w:color w:val="auto"/>
          <w:lang w:eastAsia="zh-CN"/>
        </w:rPr>
        <w:t>鉴于你方与</w:t>
      </w:r>
      <w:r>
        <w:rPr>
          <w:rFonts w:ascii="Times New Roman" w:hAnsi="Times New Roman" w:cs="Times New Roman"/>
          <w:color w:val="auto"/>
          <w:u w:val="single"/>
          <w:lang w:eastAsia="zh-CN"/>
        </w:rPr>
        <w:t>_______________</w:t>
      </w:r>
      <w:r>
        <w:rPr>
          <w:rFonts w:hint="eastAsia" w:ascii="Times New Roman" w:hAnsi="Times New Roman"/>
          <w:color w:val="auto"/>
          <w:lang w:eastAsia="zh-CN"/>
        </w:rPr>
        <w:t>（以下简称供应商</w:t>
      </w:r>
      <w:r>
        <w:rPr>
          <w:rFonts w:hint="eastAsia" w:ascii="Times New Roman" w:hAnsi="Times New Roman"/>
          <w:color w:val="auto"/>
          <w:spacing w:val="-107"/>
          <w:lang w:eastAsia="zh-CN"/>
        </w:rPr>
        <w:t>）</w:t>
      </w:r>
      <w:r>
        <w:rPr>
          <w:rFonts w:hint="eastAsia" w:ascii="Times New Roman" w:hAnsi="Times New Roman"/>
          <w:color w:val="auto"/>
          <w:lang w:eastAsia="zh-CN"/>
        </w:rPr>
        <w:t>于</w:t>
      </w:r>
      <w:r>
        <w:rPr>
          <w:rFonts w:ascii="Times New Roman" w:hAnsi="Times New Roman" w:cs="Times New Roman"/>
          <w:color w:val="auto"/>
          <w:u w:val="single"/>
          <w:lang w:eastAsia="zh-CN"/>
        </w:rPr>
        <w:t>______</w:t>
      </w:r>
      <w:r>
        <w:rPr>
          <w:rFonts w:ascii="Times New Roman" w:hAnsi="Times New Roman"/>
          <w:color w:val="auto"/>
          <w:u w:val="single"/>
          <w:lang w:eastAsia="zh-CN"/>
        </w:rPr>
        <w:t xml:space="preserve"> </w:t>
      </w:r>
      <w:r>
        <w:rPr>
          <w:rFonts w:hint="eastAsia" w:ascii="Times New Roman" w:hAnsi="Times New Roman"/>
          <w:color w:val="auto"/>
          <w:lang w:eastAsia="zh-CN"/>
        </w:rPr>
        <w:t>年</w:t>
      </w:r>
      <w:r>
        <w:rPr>
          <w:rFonts w:ascii="Times New Roman" w:hAnsi="Times New Roman" w:cs="Times New Roman"/>
          <w:color w:val="auto"/>
          <w:u w:val="single"/>
          <w:lang w:eastAsia="zh-CN"/>
        </w:rPr>
        <w:t>___</w:t>
      </w:r>
      <w:r>
        <w:rPr>
          <w:rFonts w:hint="eastAsia" w:ascii="Times New Roman" w:hAnsi="Times New Roman"/>
          <w:color w:val="auto"/>
          <w:lang w:eastAsia="zh-CN"/>
        </w:rPr>
        <w:t>月</w:t>
      </w:r>
      <w:r>
        <w:rPr>
          <w:rFonts w:ascii="Times New Roman" w:hAnsi="Times New Roman" w:cs="Times New Roman"/>
          <w:color w:val="auto"/>
          <w:u w:val="single"/>
          <w:lang w:eastAsia="zh-CN"/>
        </w:rPr>
        <w:t>___</w:t>
      </w:r>
      <w:r>
        <w:rPr>
          <w:rFonts w:hint="eastAsia" w:ascii="Times New Roman" w:hAnsi="Times New Roman"/>
          <w:color w:val="auto"/>
          <w:lang w:eastAsia="zh-CN"/>
        </w:rPr>
        <w:t>日签订编号为</w:t>
      </w:r>
      <w:r>
        <w:rPr>
          <w:rFonts w:ascii="Times New Roman" w:hAnsi="Times New Roman" w:cs="Times New Roman"/>
          <w:color w:val="auto"/>
          <w:u w:val="single"/>
          <w:lang w:eastAsia="zh-CN"/>
        </w:rPr>
        <w:t>_________</w:t>
      </w:r>
      <w:r>
        <w:rPr>
          <w:rFonts w:hint="eastAsia" w:ascii="Times New Roman" w:hAnsi="Times New Roman"/>
          <w:color w:val="auto"/>
          <w:spacing w:val="-47"/>
          <w:lang w:eastAsia="zh-CN"/>
        </w:rPr>
        <w:t>的</w:t>
      </w:r>
      <w:r>
        <w:rPr>
          <w:rFonts w:hint="eastAsia" w:ascii="Times New Roman" w:hAnsi="Times New Roman"/>
          <w:color w:val="auto"/>
          <w:lang w:eastAsia="zh-CN"/>
        </w:rPr>
        <w:t>《</w:t>
      </w:r>
      <w:r>
        <w:rPr>
          <w:rFonts w:ascii="Times New Roman" w:hAnsi="Times New Roman" w:cs="Times New Roman"/>
          <w:color w:val="auto"/>
          <w:u w:val="single"/>
          <w:lang w:eastAsia="zh-CN"/>
        </w:rPr>
        <w:t>____________</w:t>
      </w:r>
      <w:r>
        <w:rPr>
          <w:rFonts w:hint="eastAsia" w:ascii="Times New Roman" w:hAnsi="Times New Roman"/>
          <w:color w:val="auto"/>
          <w:lang w:eastAsia="zh-CN"/>
        </w:rPr>
        <w:t>政府采购合同</w:t>
      </w:r>
      <w:r>
        <w:rPr>
          <w:rFonts w:hint="eastAsia" w:ascii="Times New Roman" w:hAnsi="Times New Roman"/>
          <w:color w:val="auto"/>
          <w:spacing w:val="-167"/>
          <w:lang w:eastAsia="zh-CN"/>
        </w:rPr>
        <w:t>》</w:t>
      </w:r>
      <w:r>
        <w:rPr>
          <w:rFonts w:hint="eastAsia" w:ascii="Times New Roman" w:hAnsi="Times New Roman"/>
          <w:color w:val="auto"/>
          <w:lang w:eastAsia="zh-CN"/>
        </w:rPr>
        <w:t>（以下简称主合同</w:t>
      </w:r>
      <w:r>
        <w:rPr>
          <w:rFonts w:hint="eastAsia" w:ascii="Times New Roman" w:hAnsi="Times New Roman"/>
          <w:color w:val="auto"/>
          <w:spacing w:val="-84"/>
          <w:lang w:eastAsia="zh-CN"/>
        </w:rPr>
        <w:t>），</w:t>
      </w:r>
      <w:r>
        <w:rPr>
          <w:rFonts w:hint="eastAsia" w:ascii="Times New Roman" w:hAnsi="Times New Roman"/>
          <w:color w:val="auto"/>
          <w:lang w:eastAsia="zh-CN"/>
        </w:rPr>
        <w:t>且依据该合同的约定</w:t>
      </w:r>
      <w:r>
        <w:rPr>
          <w:rFonts w:hint="eastAsia" w:ascii="Times New Roman" w:hAnsi="Times New Roman"/>
          <w:color w:val="auto"/>
          <w:spacing w:val="-47"/>
          <w:lang w:eastAsia="zh-CN"/>
        </w:rPr>
        <w:t>，</w:t>
      </w:r>
      <w:r>
        <w:rPr>
          <w:rFonts w:hint="eastAsia" w:ascii="Times New Roman" w:hAnsi="Times New Roman"/>
          <w:color w:val="auto"/>
          <w:lang w:eastAsia="zh-CN"/>
        </w:rPr>
        <w:t>供应商应在年月日前向你方交纳履约保证金</w:t>
      </w:r>
      <w:r>
        <w:rPr>
          <w:rFonts w:hint="eastAsia" w:ascii="Times New Roman" w:hAnsi="Times New Roman"/>
          <w:color w:val="auto"/>
          <w:spacing w:val="-32"/>
          <w:lang w:eastAsia="zh-CN"/>
        </w:rPr>
        <w:t>，</w:t>
      </w:r>
      <w:r>
        <w:rPr>
          <w:rFonts w:hint="eastAsia" w:ascii="Times New Roman" w:hAnsi="Times New Roman"/>
          <w:color w:val="auto"/>
          <w:lang w:eastAsia="zh-CN"/>
        </w:rPr>
        <w:t>且可以履约担保函的形式交纳履约保证金</w:t>
      </w:r>
      <w:r>
        <w:rPr>
          <w:rFonts w:hint="eastAsia" w:ascii="Times New Roman" w:hAnsi="Times New Roman"/>
          <w:color w:val="auto"/>
          <w:spacing w:val="-32"/>
          <w:lang w:eastAsia="zh-CN"/>
        </w:rPr>
        <w:t>。</w:t>
      </w:r>
      <w:r>
        <w:rPr>
          <w:rFonts w:hint="eastAsia" w:ascii="Times New Roman" w:hAnsi="Times New Roman"/>
          <w:color w:val="auto"/>
          <w:lang w:eastAsia="zh-CN"/>
        </w:rPr>
        <w:t>应供应商的申请</w:t>
      </w:r>
      <w:r>
        <w:rPr>
          <w:rFonts w:hint="eastAsia" w:ascii="Times New Roman" w:hAnsi="Times New Roman"/>
          <w:color w:val="auto"/>
          <w:spacing w:val="-32"/>
          <w:lang w:eastAsia="zh-CN"/>
        </w:rPr>
        <w:t>，</w:t>
      </w:r>
      <w:r>
        <w:rPr>
          <w:rFonts w:hint="eastAsia" w:ascii="Times New Roman" w:hAnsi="Times New Roman"/>
          <w:color w:val="auto"/>
          <w:lang w:eastAsia="zh-CN"/>
        </w:rPr>
        <w:t>我方以保证的方式向你方提供如下履约保证金担保：</w:t>
      </w:r>
    </w:p>
    <w:p>
      <w:pPr>
        <w:spacing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一、保证责任的情形及保证金额</w:t>
      </w:r>
    </w:p>
    <w:p>
      <w:pPr>
        <w:pStyle w:val="12"/>
        <w:spacing w:line="360" w:lineRule="auto"/>
        <w:rPr>
          <w:rFonts w:ascii="Times New Roman" w:hAnsi="Times New Roman"/>
          <w:color w:val="auto"/>
          <w:lang w:eastAsia="zh-CN"/>
        </w:rPr>
      </w:pPr>
      <w:r>
        <w:rPr>
          <w:rFonts w:hint="eastAsia" w:ascii="Times New Roman" w:hAnsi="Times New Roman"/>
          <w:color w:val="auto"/>
          <w:lang w:eastAsia="zh-CN"/>
        </w:rPr>
        <w:t>（一）在供应商出现下列情形之一时，我方承担保证责任：</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spacing w:val="-10"/>
          <w:lang w:eastAsia="zh-CN"/>
        </w:rPr>
        <w:t>、将中标项目转让给他人，或者在投标文件中未说明，且未经采购人同意，</w:t>
      </w:r>
      <w:r>
        <w:rPr>
          <w:rFonts w:ascii="Times New Roman" w:hAnsi="Times New Roman"/>
          <w:color w:val="auto"/>
          <w:spacing w:val="-10"/>
          <w:lang w:eastAsia="zh-CN"/>
        </w:rPr>
        <w:t xml:space="preserve"> </w:t>
      </w:r>
      <w:r>
        <w:rPr>
          <w:rFonts w:hint="eastAsia" w:ascii="Times New Roman" w:hAnsi="Times New Roman"/>
          <w:color w:val="auto"/>
          <w:spacing w:val="-10"/>
          <w:lang w:eastAsia="zh-CN"/>
        </w:rPr>
        <w:t>将中标项目分包给他人的；</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、主合同约定的应当缴纳履约保证金的情形：</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w:t>
      </w:r>
      <w:r>
        <w:rPr>
          <w:rFonts w:ascii="Times New Roman" w:hAnsi="Times New Roman"/>
          <w:color w:val="auto"/>
          <w:lang w:eastAsia="zh-CN"/>
        </w:rPr>
        <w:t>1</w:t>
      </w:r>
      <w:r>
        <w:rPr>
          <w:rFonts w:hint="eastAsia" w:ascii="Times New Roman" w:hAnsi="Times New Roman"/>
          <w:color w:val="auto"/>
          <w:lang w:eastAsia="zh-CN"/>
        </w:rPr>
        <w:t>）未按主合同约定的质量、数量和期限供应货物</w:t>
      </w:r>
      <w:r>
        <w:rPr>
          <w:rFonts w:ascii="Times New Roman" w:hAnsi="Times New Roman"/>
          <w:color w:val="auto"/>
          <w:lang w:eastAsia="zh-CN"/>
        </w:rPr>
        <w:t>/</w:t>
      </w:r>
      <w:r>
        <w:rPr>
          <w:rFonts w:hint="eastAsia" w:ascii="Times New Roman" w:hAnsi="Times New Roman"/>
          <w:color w:val="auto"/>
          <w:lang w:eastAsia="zh-CN"/>
        </w:rPr>
        <w:t>提供服务</w:t>
      </w:r>
      <w:r>
        <w:rPr>
          <w:rFonts w:ascii="Times New Roman" w:hAnsi="Times New Roman"/>
          <w:color w:val="auto"/>
          <w:lang w:eastAsia="zh-CN"/>
        </w:rPr>
        <w:t>/</w:t>
      </w:r>
      <w:r>
        <w:rPr>
          <w:rFonts w:hint="eastAsia" w:ascii="Times New Roman" w:hAnsi="Times New Roman"/>
          <w:color w:val="auto"/>
          <w:lang w:eastAsia="zh-CN"/>
        </w:rPr>
        <w:t>完成工程的；</w:t>
      </w:r>
    </w:p>
    <w:p>
      <w:pPr>
        <w:pStyle w:val="12"/>
        <w:tabs>
          <w:tab w:val="left" w:pos="5619"/>
        </w:tabs>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w:t>
      </w:r>
      <w:r>
        <w:rPr>
          <w:rFonts w:ascii="Times New Roman" w:hAnsi="Times New Roman"/>
          <w:color w:val="auto"/>
          <w:lang w:eastAsia="zh-CN"/>
        </w:rPr>
        <w:t>2</w:t>
      </w:r>
      <w:r>
        <w:rPr>
          <w:rFonts w:hint="eastAsia" w:ascii="Times New Roman" w:hAnsi="Times New Roman"/>
          <w:color w:val="auto"/>
          <w:lang w:eastAsia="zh-CN"/>
        </w:rPr>
        <w:t>）</w:t>
      </w:r>
      <w:r>
        <w:rPr>
          <w:rFonts w:ascii="Times New Roman" w:hAnsi="Times New Roman" w:cs="Times New Roman"/>
          <w:color w:val="auto"/>
          <w:u w:val="single"/>
          <w:lang w:eastAsia="zh-CN"/>
        </w:rPr>
        <w:t>______________________________</w:t>
      </w:r>
      <w:r>
        <w:rPr>
          <w:rFonts w:hint="eastAsia" w:ascii="Times New Roman" w:hAnsi="Times New Roman"/>
          <w:color w:val="auto"/>
          <w:lang w:eastAsia="zh-CN"/>
        </w:rPr>
        <w:t>。</w:t>
      </w:r>
    </w:p>
    <w:p>
      <w:pPr>
        <w:pStyle w:val="12"/>
        <w:tabs>
          <w:tab w:val="left" w:pos="2259"/>
          <w:tab w:val="left" w:pos="4539"/>
          <w:tab w:val="left" w:pos="7585"/>
        </w:tabs>
        <w:spacing w:line="360" w:lineRule="auto"/>
        <w:rPr>
          <w:rFonts w:ascii="Times New Roman" w:hAnsi="Times New Roman"/>
          <w:color w:val="auto"/>
          <w:lang w:eastAsia="zh-CN"/>
        </w:rPr>
      </w:pPr>
      <w:r>
        <w:rPr>
          <w:rFonts w:hint="eastAsia" w:ascii="Times New Roman" w:hAnsi="Times New Roman"/>
          <w:color w:val="auto"/>
          <w:spacing w:val="5"/>
          <w:lang w:eastAsia="zh-CN"/>
        </w:rPr>
        <w:t>（二）我方的保证范围是主</w:t>
      </w:r>
      <w:r>
        <w:rPr>
          <w:rFonts w:hint="eastAsia" w:ascii="Times New Roman" w:hAnsi="Times New Roman"/>
          <w:color w:val="auto"/>
          <w:spacing w:val="2"/>
          <w:lang w:eastAsia="zh-CN"/>
        </w:rPr>
        <w:t>合</w:t>
      </w:r>
      <w:r>
        <w:rPr>
          <w:rFonts w:hint="eastAsia" w:ascii="Times New Roman" w:hAnsi="Times New Roman"/>
          <w:color w:val="auto"/>
          <w:spacing w:val="5"/>
          <w:lang w:eastAsia="zh-CN"/>
        </w:rPr>
        <w:t>同约定的合同价款总额的</w:t>
      </w:r>
      <w:r>
        <w:rPr>
          <w:rFonts w:ascii="Times New Roman" w:hAnsi="Times New Roman" w:cs="Times New Roman"/>
          <w:color w:val="auto"/>
          <w:u w:val="single"/>
          <w:lang w:eastAsia="zh-CN"/>
        </w:rPr>
        <w:t>___</w:t>
      </w:r>
      <w:r>
        <w:rPr>
          <w:rFonts w:ascii="Times New Roman" w:hAnsi="Times New Roman"/>
          <w:color w:val="auto"/>
          <w:spacing w:val="5"/>
          <w:lang w:eastAsia="zh-CN"/>
        </w:rPr>
        <w:t>%</w:t>
      </w:r>
      <w:r>
        <w:rPr>
          <w:rFonts w:hint="eastAsia" w:ascii="Times New Roman" w:hAnsi="Times New Roman"/>
          <w:color w:val="auto"/>
          <w:spacing w:val="5"/>
          <w:lang w:eastAsia="zh-CN"/>
        </w:rPr>
        <w:t>，数额为</w:t>
      </w:r>
      <w:r>
        <w:rPr>
          <w:rFonts w:hint="eastAsia" w:ascii="Times New Roman" w:hAnsi="Times New Roman"/>
          <w:color w:val="auto"/>
          <w:lang w:eastAsia="zh-CN"/>
        </w:rPr>
        <w:t>元（大写</w:t>
      </w:r>
      <w:r>
        <w:rPr>
          <w:rFonts w:ascii="Times New Roman" w:hAnsi="Times New Roman" w:cs="Times New Roman"/>
          <w:color w:val="auto"/>
          <w:u w:val="single"/>
          <w:lang w:eastAsia="zh-CN"/>
        </w:rPr>
        <w:t>______</w:t>
      </w:r>
      <w:r>
        <w:rPr>
          <w:rFonts w:hint="eastAsia" w:ascii="Times New Roman" w:hAnsi="Times New Roman"/>
          <w:color w:val="auto"/>
          <w:spacing w:val="-120"/>
          <w:lang w:eastAsia="zh-CN"/>
        </w:rPr>
        <w:t>）</w:t>
      </w:r>
      <w:r>
        <w:rPr>
          <w:rFonts w:hint="eastAsia" w:ascii="Times New Roman" w:hAnsi="Times New Roman"/>
          <w:color w:val="auto"/>
          <w:lang w:eastAsia="zh-CN"/>
        </w:rPr>
        <w:t>，币种为</w:t>
      </w:r>
      <w:r>
        <w:rPr>
          <w:rFonts w:ascii="Times New Roman" w:hAnsi="Times New Roman" w:cs="Times New Roman"/>
          <w:color w:val="auto"/>
          <w:u w:val="single"/>
          <w:lang w:eastAsia="zh-CN"/>
        </w:rPr>
        <w:t>______</w:t>
      </w:r>
      <w:r>
        <w:rPr>
          <w:rFonts w:hint="eastAsia" w:ascii="Times New Roman" w:hAnsi="Times New Roman"/>
          <w:color w:val="auto"/>
          <w:spacing w:val="-120"/>
          <w:lang w:eastAsia="zh-CN"/>
        </w:rPr>
        <w:t>。</w:t>
      </w:r>
      <w:r>
        <w:rPr>
          <w:rFonts w:hint="eastAsia" w:ascii="Times New Roman" w:hAnsi="Times New Roman"/>
          <w:color w:val="auto"/>
          <w:lang w:eastAsia="zh-CN"/>
        </w:rPr>
        <w:t>（即主合同履约保证金金额）</w:t>
      </w:r>
    </w:p>
    <w:p>
      <w:pPr>
        <w:spacing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二、保证的方式及保证期间</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我方保证的方式为：连带责任保证。</w:t>
      </w:r>
    </w:p>
    <w:p>
      <w:pPr>
        <w:pStyle w:val="12"/>
        <w:tabs>
          <w:tab w:val="left" w:pos="2619"/>
        </w:tabs>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我方保证的期间为：自本合同生效之日起至供应商按照主合同约定的供货</w:t>
      </w:r>
      <w:r>
        <w:rPr>
          <w:rFonts w:ascii="Times New Roman" w:hAnsi="Times New Roman"/>
          <w:color w:val="auto"/>
          <w:lang w:eastAsia="zh-CN"/>
        </w:rPr>
        <w:t xml:space="preserve">/ </w:t>
      </w:r>
      <w:r>
        <w:rPr>
          <w:rFonts w:hint="eastAsia" w:ascii="Times New Roman" w:hAnsi="Times New Roman"/>
          <w:color w:val="auto"/>
          <w:lang w:eastAsia="zh-CN"/>
        </w:rPr>
        <w:t>完工期限届满后</w:t>
      </w:r>
      <w:r>
        <w:rPr>
          <w:rFonts w:ascii="Times New Roman" w:hAnsi="Times New Roman" w:cs="Times New Roman"/>
          <w:color w:val="auto"/>
          <w:u w:val="single"/>
          <w:lang w:eastAsia="zh-CN"/>
        </w:rPr>
        <w:t>___</w:t>
      </w:r>
      <w:r>
        <w:rPr>
          <w:rFonts w:hint="eastAsia" w:ascii="Times New Roman" w:hAnsi="Times New Roman"/>
          <w:color w:val="auto"/>
          <w:lang w:eastAsia="zh-CN"/>
        </w:rPr>
        <w:t>日内。</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如果供应商未按主合同约定向贵方供应货物</w:t>
      </w:r>
      <w:r>
        <w:rPr>
          <w:rFonts w:ascii="Times New Roman" w:hAnsi="Times New Roman"/>
          <w:color w:val="auto"/>
          <w:lang w:eastAsia="zh-CN"/>
        </w:rPr>
        <w:t>/</w:t>
      </w:r>
      <w:r>
        <w:rPr>
          <w:rFonts w:hint="eastAsia" w:ascii="Times New Roman" w:hAnsi="Times New Roman"/>
          <w:color w:val="auto"/>
          <w:lang w:eastAsia="zh-CN"/>
        </w:rPr>
        <w:t>提供服务</w:t>
      </w:r>
      <w:r>
        <w:rPr>
          <w:rFonts w:ascii="Times New Roman" w:hAnsi="Times New Roman"/>
          <w:color w:val="auto"/>
          <w:lang w:eastAsia="zh-CN"/>
        </w:rPr>
        <w:t>/</w:t>
      </w:r>
      <w:r>
        <w:rPr>
          <w:rFonts w:hint="eastAsia" w:ascii="Times New Roman" w:hAnsi="Times New Roman"/>
          <w:color w:val="auto"/>
          <w:lang w:eastAsia="zh-CN"/>
        </w:rPr>
        <w:t>完成工程的，由我方在保证金额内向你方支付上述款项。</w:t>
      </w:r>
    </w:p>
    <w:p>
      <w:pPr>
        <w:spacing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三、承担保证责任的程序</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、你方要求我方承担保证责任的，应在本保函保证期间内向我方发出书面</w:t>
      </w:r>
      <w:r>
        <w:rPr>
          <w:rFonts w:hint="eastAsia" w:ascii="Times New Roman" w:hAnsi="Times New Roman"/>
          <w:color w:val="auto"/>
          <w:spacing w:val="-9"/>
          <w:lang w:eastAsia="zh-CN"/>
        </w:rPr>
        <w:t>索赔通知。索赔通知应写明要求索赔的金额，支付款项应到达的账号，并附有证明供应商违约事实的证明材料。</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如果你方与供应商因货物质量问题发生争议，你方还需同时提供</w:t>
      </w:r>
      <w:r>
        <w:rPr>
          <w:rFonts w:ascii="Times New Roman" w:hAnsi="Times New Roman" w:cs="Times New Roman"/>
          <w:color w:val="auto"/>
          <w:u w:val="single"/>
          <w:lang w:eastAsia="zh-CN"/>
        </w:rPr>
        <w:t>______</w:t>
      </w:r>
      <w:r>
        <w:rPr>
          <w:rFonts w:hint="eastAsia" w:ascii="Times New Roman" w:hAnsi="Times New Roman"/>
          <w:color w:val="auto"/>
          <w:lang w:eastAsia="zh-CN"/>
        </w:rPr>
        <w:t>部门出具的质量检测报告</w:t>
      </w:r>
      <w:r>
        <w:rPr>
          <w:rFonts w:hint="eastAsia" w:ascii="Times New Roman" w:hAnsi="Times New Roman"/>
          <w:color w:val="auto"/>
          <w:spacing w:val="-20"/>
          <w:lang w:eastAsia="zh-CN"/>
        </w:rPr>
        <w:t>，</w:t>
      </w:r>
      <w:r>
        <w:rPr>
          <w:rFonts w:hint="eastAsia" w:ascii="Times New Roman" w:hAnsi="Times New Roman"/>
          <w:color w:val="auto"/>
          <w:lang w:eastAsia="zh-CN"/>
        </w:rPr>
        <w:t>或经诉</w:t>
      </w:r>
      <w:r>
        <w:rPr>
          <w:rFonts w:hint="eastAsia" w:ascii="Times New Roman" w:hAnsi="Times New Roman"/>
          <w:color w:val="auto"/>
          <w:spacing w:val="-20"/>
          <w:lang w:eastAsia="zh-CN"/>
        </w:rPr>
        <w:t>讼</w:t>
      </w:r>
      <w:r>
        <w:rPr>
          <w:rFonts w:hint="eastAsia" w:ascii="Times New Roman" w:hAnsi="Times New Roman"/>
          <w:color w:val="auto"/>
          <w:lang w:eastAsia="zh-CN"/>
        </w:rPr>
        <w:t>（仲裁</w:t>
      </w:r>
      <w:r>
        <w:rPr>
          <w:rFonts w:hint="eastAsia" w:ascii="Times New Roman" w:hAnsi="Times New Roman"/>
          <w:color w:val="auto"/>
          <w:spacing w:val="-20"/>
          <w:lang w:eastAsia="zh-CN"/>
        </w:rPr>
        <w:t>）</w:t>
      </w:r>
      <w:r>
        <w:rPr>
          <w:rFonts w:hint="eastAsia" w:ascii="Times New Roman" w:hAnsi="Times New Roman"/>
          <w:color w:val="auto"/>
          <w:lang w:eastAsia="zh-CN"/>
        </w:rPr>
        <w:t>程序裁决后的裁决书</w:t>
      </w:r>
      <w:r>
        <w:rPr>
          <w:rFonts w:hint="eastAsia" w:ascii="Times New Roman" w:hAnsi="Times New Roman"/>
          <w:color w:val="auto"/>
          <w:spacing w:val="-20"/>
          <w:lang w:eastAsia="zh-CN"/>
        </w:rPr>
        <w:t>、</w:t>
      </w:r>
      <w:r>
        <w:rPr>
          <w:rFonts w:hint="eastAsia" w:ascii="Times New Roman" w:hAnsi="Times New Roman"/>
          <w:color w:val="auto"/>
          <w:lang w:eastAsia="zh-CN"/>
        </w:rPr>
        <w:t>调解书</w:t>
      </w:r>
      <w:r>
        <w:rPr>
          <w:rFonts w:hint="eastAsia" w:ascii="Times New Roman" w:hAnsi="Times New Roman"/>
          <w:color w:val="auto"/>
          <w:spacing w:val="-20"/>
          <w:lang w:eastAsia="zh-CN"/>
        </w:rPr>
        <w:t>，</w:t>
      </w:r>
      <w:r>
        <w:rPr>
          <w:rFonts w:hint="eastAsia" w:ascii="Times New Roman" w:hAnsi="Times New Roman"/>
          <w:color w:val="auto"/>
          <w:lang w:eastAsia="zh-CN"/>
        </w:rPr>
        <w:t>本保证人即按照检测结果或裁决书、调解书决定是否承担保证责任。</w:t>
      </w:r>
    </w:p>
    <w:p>
      <w:pPr>
        <w:pStyle w:val="12"/>
        <w:tabs>
          <w:tab w:val="left" w:pos="6846"/>
        </w:tabs>
        <w:spacing w:line="360" w:lineRule="auto"/>
        <w:ind w:firstLine="480" w:firstLineChars="20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spacing w:val="-47"/>
          <w:lang w:eastAsia="zh-CN"/>
        </w:rPr>
        <w:t>、</w:t>
      </w:r>
      <w:r>
        <w:rPr>
          <w:rFonts w:hint="eastAsia" w:ascii="Times New Roman" w:hAnsi="Times New Roman"/>
          <w:color w:val="auto"/>
          <w:lang w:eastAsia="zh-CN"/>
        </w:rPr>
        <w:t>我方收到你方的书面索赔通知及相应证明材料</w:t>
      </w:r>
      <w:r>
        <w:rPr>
          <w:rFonts w:hint="eastAsia" w:ascii="Times New Roman" w:hAnsi="Times New Roman"/>
          <w:color w:val="auto"/>
          <w:spacing w:val="-47"/>
          <w:lang w:eastAsia="zh-CN"/>
        </w:rPr>
        <w:t>，</w:t>
      </w:r>
      <w:r>
        <w:rPr>
          <w:rFonts w:hint="eastAsia" w:ascii="Times New Roman" w:hAnsi="Times New Roman"/>
          <w:color w:val="auto"/>
          <w:lang w:eastAsia="zh-CN"/>
        </w:rPr>
        <w:t>在</w:t>
      </w:r>
      <w:r>
        <w:rPr>
          <w:rFonts w:ascii="Times New Roman" w:hAnsi="Times New Roman" w:cs="Times New Roman"/>
          <w:color w:val="auto"/>
          <w:u w:val="single"/>
          <w:lang w:eastAsia="zh-CN"/>
        </w:rPr>
        <w:t>___</w:t>
      </w:r>
      <w:r>
        <w:rPr>
          <w:rFonts w:hint="eastAsia" w:ascii="Times New Roman" w:hAnsi="Times New Roman"/>
          <w:color w:val="auto"/>
          <w:lang w:eastAsia="zh-CN"/>
        </w:rPr>
        <w:t>工作日内进行核定后按照本保函的承诺承担保证责任。</w:t>
      </w:r>
    </w:p>
    <w:p>
      <w:pPr>
        <w:spacing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四、保证责任的终止</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、保证期间届满你方未向我方书面主张保证责任的，自保证期间届满次日起，我方保证责任自动终止。保证期间届满前，主合同约定的货物</w:t>
      </w:r>
      <w:r>
        <w:rPr>
          <w:rFonts w:ascii="Times New Roman" w:hAnsi="Times New Roman"/>
          <w:color w:val="auto"/>
          <w:lang w:eastAsia="zh-CN"/>
        </w:rPr>
        <w:t>/</w:t>
      </w:r>
      <w:r>
        <w:rPr>
          <w:rFonts w:hint="eastAsia" w:ascii="Times New Roman" w:hAnsi="Times New Roman"/>
          <w:color w:val="auto"/>
          <w:lang w:eastAsia="zh-CN"/>
        </w:rPr>
        <w:t>工程</w:t>
      </w:r>
      <w:r>
        <w:rPr>
          <w:rFonts w:ascii="Times New Roman" w:hAnsi="Times New Roman"/>
          <w:color w:val="auto"/>
          <w:lang w:eastAsia="zh-CN"/>
        </w:rPr>
        <w:t>/</w:t>
      </w:r>
      <w:r>
        <w:rPr>
          <w:rFonts w:hint="eastAsia" w:ascii="Times New Roman" w:hAnsi="Times New Roman"/>
          <w:color w:val="auto"/>
          <w:lang w:eastAsia="zh-CN"/>
        </w:rPr>
        <w:t>服务全部验收合格的，自验收合格日起，我方保证责任自动终止。</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、我方按照本保函向你方履行了保证责任后，自我方向你方支付款项（支付款项自我方账户划出）之日起，保证责任即终止。</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3</w:t>
      </w:r>
      <w:r>
        <w:rPr>
          <w:rFonts w:hint="eastAsia" w:ascii="Times New Roman" w:hAnsi="Times New Roman"/>
          <w:color w:val="auto"/>
          <w:lang w:eastAsia="zh-CN"/>
        </w:rPr>
        <w:t>、按照法律法规的规定或出现应终止我方保证责任的其他情形的，我方在本保函项下的保证责任亦终止。</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4</w:t>
      </w:r>
      <w:r>
        <w:rPr>
          <w:rFonts w:hint="eastAsia" w:ascii="Times New Roman" w:hAnsi="Times New Roman"/>
          <w:color w:val="auto"/>
          <w:lang w:eastAsia="zh-CN"/>
        </w:rPr>
        <w:t>、你方与供应商修改主合同，加重我方保证责任的，我方对加重部分不承</w:t>
      </w:r>
      <w:r>
        <w:rPr>
          <w:rFonts w:hint="eastAsia" w:ascii="Times New Roman" w:hAnsi="Times New Roman"/>
          <w:color w:val="auto"/>
          <w:spacing w:val="-9"/>
          <w:lang w:eastAsia="zh-CN"/>
        </w:rPr>
        <w:t>担保证责任，但该等修改事先经我方书面同意的除外；你方与供应商修改主合同</w:t>
      </w:r>
      <w:r>
        <w:rPr>
          <w:rFonts w:hint="eastAsia" w:ascii="Times New Roman" w:hAnsi="Times New Roman"/>
          <w:color w:val="auto"/>
          <w:spacing w:val="-12"/>
          <w:lang w:eastAsia="zh-CN"/>
        </w:rPr>
        <w:t>履行期限，我方保证期间仍依修改前的履行期限计算，但该等修改事先经我方书面同意的除外。</w:t>
      </w:r>
    </w:p>
    <w:p>
      <w:pPr>
        <w:spacing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五、免责条款</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1</w:t>
      </w:r>
      <w:r>
        <w:rPr>
          <w:rFonts w:hint="eastAsia" w:ascii="Times New Roman" w:hAnsi="Times New Roman"/>
          <w:color w:val="auto"/>
          <w:lang w:eastAsia="zh-CN"/>
        </w:rPr>
        <w:t>、因你方违反主合同约定致使供应商不能履行义务的，我方不承担保证责任。</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2</w:t>
      </w:r>
      <w:r>
        <w:rPr>
          <w:rFonts w:hint="eastAsia" w:ascii="Times New Roman" w:hAnsi="Times New Roman"/>
          <w:color w:val="auto"/>
          <w:lang w:eastAsia="zh-CN"/>
        </w:rPr>
        <w:t>、依照法律法规的规定或你方与供应商的另行约定，全部或部分免除供应商应缴纳的保证金义务的，我方亦免除相应的保证责任。</w:t>
      </w:r>
    </w:p>
    <w:p>
      <w:pPr>
        <w:pStyle w:val="12"/>
        <w:spacing w:line="360" w:lineRule="auto"/>
        <w:ind w:firstLine="480" w:firstLineChars="200"/>
        <w:rPr>
          <w:rFonts w:ascii="Times New Roman" w:hAnsi="Times New Roman"/>
          <w:color w:val="auto"/>
          <w:lang w:eastAsia="zh-CN"/>
        </w:rPr>
      </w:pPr>
      <w:r>
        <w:rPr>
          <w:rFonts w:ascii="Times New Roman" w:hAnsi="Times New Roman"/>
          <w:color w:val="auto"/>
          <w:lang w:eastAsia="zh-CN"/>
        </w:rPr>
        <w:t>3</w:t>
      </w:r>
      <w:r>
        <w:rPr>
          <w:rFonts w:hint="eastAsia" w:ascii="Times New Roman" w:hAnsi="Times New Roman"/>
          <w:color w:val="auto"/>
          <w:lang w:eastAsia="zh-CN"/>
        </w:rPr>
        <w:t>、因不可抗力造成供应商不能履行供货义务的，我方不承担保证责任。</w:t>
      </w:r>
    </w:p>
    <w:p>
      <w:pPr>
        <w:pStyle w:val="12"/>
        <w:spacing w:line="360" w:lineRule="auto"/>
        <w:rPr>
          <w:rFonts w:ascii="Times New Roman" w:hAnsi="Times New Roman"/>
          <w:b/>
          <w:color w:val="auto"/>
          <w:lang w:eastAsia="zh-CN"/>
        </w:rPr>
      </w:pPr>
      <w:r>
        <w:rPr>
          <w:rFonts w:hint="eastAsia" w:ascii="Times New Roman" w:hAnsi="Times New Roman"/>
          <w:b/>
          <w:color w:val="auto"/>
          <w:lang w:eastAsia="zh-CN"/>
        </w:rPr>
        <w:t>六、争议的解决</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因本保函发生的纠纷</w:t>
      </w:r>
      <w:r>
        <w:rPr>
          <w:rFonts w:hint="eastAsia" w:ascii="Times New Roman" w:hAnsi="Times New Roman"/>
          <w:color w:val="auto"/>
          <w:spacing w:val="-32"/>
          <w:lang w:eastAsia="zh-CN"/>
        </w:rPr>
        <w:t>，</w:t>
      </w:r>
      <w:r>
        <w:rPr>
          <w:rFonts w:hint="eastAsia" w:ascii="Times New Roman" w:hAnsi="Times New Roman"/>
          <w:color w:val="auto"/>
          <w:lang w:eastAsia="zh-CN"/>
        </w:rPr>
        <w:t>由你我双方协商解决</w:t>
      </w:r>
      <w:r>
        <w:rPr>
          <w:rFonts w:hint="eastAsia" w:ascii="Times New Roman" w:hAnsi="Times New Roman"/>
          <w:color w:val="auto"/>
          <w:spacing w:val="-32"/>
          <w:lang w:eastAsia="zh-CN"/>
        </w:rPr>
        <w:t>，</w:t>
      </w:r>
      <w:r>
        <w:rPr>
          <w:rFonts w:hint="eastAsia" w:ascii="Times New Roman" w:hAnsi="Times New Roman"/>
          <w:color w:val="auto"/>
          <w:lang w:eastAsia="zh-CN"/>
        </w:rPr>
        <w:t>协商不成的</w:t>
      </w:r>
      <w:r>
        <w:rPr>
          <w:rFonts w:hint="eastAsia" w:ascii="Times New Roman" w:hAnsi="Times New Roman"/>
          <w:color w:val="auto"/>
          <w:spacing w:val="-32"/>
          <w:lang w:eastAsia="zh-CN"/>
        </w:rPr>
        <w:t>，</w:t>
      </w:r>
      <w:r>
        <w:rPr>
          <w:rFonts w:hint="eastAsia" w:ascii="Times New Roman" w:hAnsi="Times New Roman"/>
          <w:color w:val="auto"/>
          <w:lang w:eastAsia="zh-CN"/>
        </w:rPr>
        <w:t>通过诉讼程序解决，诉讼管辖地法院为</w:t>
      </w:r>
      <w:r>
        <w:rPr>
          <w:rFonts w:hint="eastAsia" w:ascii="Times New Roman" w:hAnsi="Times New Roman" w:cs="Times New Roman"/>
          <w:color w:val="auto"/>
          <w:u w:val="single"/>
          <w:lang w:val="en-US" w:eastAsia="zh-CN"/>
        </w:rPr>
        <w:t xml:space="preserve">           </w:t>
      </w:r>
      <w:r>
        <w:rPr>
          <w:rFonts w:hint="eastAsia" w:ascii="Times New Roman" w:hAnsi="Times New Roman"/>
          <w:color w:val="auto"/>
          <w:lang w:eastAsia="zh-CN"/>
        </w:rPr>
        <w:t>法院。</w:t>
      </w:r>
    </w:p>
    <w:p>
      <w:pPr>
        <w:spacing w:line="360" w:lineRule="auto"/>
        <w:rPr>
          <w:rFonts w:ascii="Times New Roman" w:hAnsi="Times New Roman"/>
          <w:b/>
          <w:color w:val="auto"/>
          <w:sz w:val="24"/>
          <w:szCs w:val="24"/>
          <w:lang w:eastAsia="zh-CN"/>
        </w:rPr>
      </w:pPr>
      <w:r>
        <w:rPr>
          <w:rFonts w:hint="eastAsia" w:ascii="Times New Roman" w:hAnsi="Times New Roman"/>
          <w:b/>
          <w:color w:val="auto"/>
          <w:sz w:val="24"/>
          <w:szCs w:val="24"/>
          <w:lang w:eastAsia="zh-CN"/>
        </w:rPr>
        <w:t>七、保函的生效</w:t>
      </w:r>
    </w:p>
    <w:p>
      <w:pPr>
        <w:pStyle w:val="12"/>
        <w:spacing w:line="360" w:lineRule="auto"/>
        <w:ind w:firstLine="480" w:firstLineChars="200"/>
        <w:rPr>
          <w:rFonts w:ascii="Times New Roman" w:hAnsi="Times New Roman"/>
          <w:color w:val="auto"/>
          <w:lang w:eastAsia="zh-CN"/>
        </w:rPr>
      </w:pPr>
      <w:r>
        <w:rPr>
          <w:rFonts w:hint="eastAsia" w:ascii="Times New Roman" w:hAnsi="Times New Roman"/>
          <w:color w:val="auto"/>
          <w:lang w:eastAsia="zh-CN"/>
        </w:rPr>
        <w:t>本保函自我方加盖公章之日起生效。</w:t>
      </w:r>
    </w:p>
    <w:p>
      <w:pPr>
        <w:pStyle w:val="12"/>
        <w:tabs>
          <w:tab w:val="left" w:pos="0"/>
        </w:tabs>
        <w:spacing w:line="360" w:lineRule="auto"/>
        <w:rPr>
          <w:rFonts w:ascii="Times New Roman" w:hAnsi="Times New Roman"/>
          <w:color w:val="auto"/>
          <w:lang w:eastAsia="zh-CN"/>
        </w:rPr>
      </w:pPr>
      <w:r>
        <w:rPr>
          <w:rFonts w:hint="eastAsia" w:ascii="Times New Roman" w:hAnsi="Times New Roman"/>
          <w:color w:val="auto"/>
          <w:lang w:eastAsia="zh-CN"/>
        </w:rPr>
        <w:t>保证人</w:t>
      </w:r>
      <w:r>
        <w:rPr>
          <w:rFonts w:hint="eastAsia" w:ascii="Times New Roman" w:hAnsi="Times New Roman"/>
          <w:color w:val="auto"/>
          <w:spacing w:val="-120"/>
          <w:lang w:eastAsia="zh-CN"/>
        </w:rPr>
        <w:t>：</w:t>
      </w:r>
      <w:r>
        <w:rPr>
          <w:rFonts w:ascii="Times New Roman" w:hAnsi="Times New Roman" w:cs="Times New Roman"/>
          <w:color w:val="auto"/>
          <w:u w:val="single"/>
          <w:lang w:eastAsia="zh-CN"/>
        </w:rPr>
        <w:t>_________</w:t>
      </w:r>
      <w:r>
        <w:rPr>
          <w:rFonts w:hint="eastAsia" w:ascii="Times New Roman" w:hAnsi="Times New Roman"/>
          <w:color w:val="auto"/>
          <w:lang w:eastAsia="zh-CN"/>
        </w:rPr>
        <w:t>（公章）</w:t>
      </w:r>
    </w:p>
    <w:p>
      <w:pPr>
        <w:pStyle w:val="12"/>
        <w:tabs>
          <w:tab w:val="left" w:pos="0"/>
        </w:tabs>
        <w:spacing w:line="360" w:lineRule="auto"/>
        <w:rPr>
          <w:rFonts w:ascii="Times New Roman" w:hAnsi="Times New Roman"/>
          <w:color w:val="auto"/>
          <w:lang w:eastAsia="zh-CN"/>
        </w:rPr>
      </w:pPr>
      <w:r>
        <w:rPr>
          <w:rFonts w:hint="eastAsia" w:ascii="Times New Roman" w:hAnsi="Times New Roman"/>
          <w:color w:val="auto"/>
          <w:lang w:eastAsia="zh-CN"/>
        </w:rPr>
        <w:t>日期：</w:t>
      </w:r>
      <w:r>
        <w:rPr>
          <w:rFonts w:hint="eastAsia" w:ascii="Times New Roman" w:hAnsi="Times New Roman"/>
          <w:color w:val="auto"/>
          <w:u w:val="single"/>
          <w:lang w:val="en-US" w:eastAsia="zh-CN"/>
        </w:rPr>
        <w:t xml:space="preserve">           </w:t>
      </w:r>
      <w:r>
        <w:rPr>
          <w:rFonts w:hint="eastAsia"/>
          <w:bCs/>
          <w:color w:val="auto"/>
          <w:lang w:eastAsia="zh-CN"/>
        </w:rPr>
        <w:t>年</w:t>
      </w:r>
      <w:r>
        <w:rPr>
          <w:rFonts w:hint="eastAsia" w:ascii="Times New Roman" w:hAnsi="Times New Roman" w:cs="Times New Roman"/>
          <w:color w:val="auto"/>
          <w:u w:val="single"/>
          <w:lang w:val="en-US" w:eastAsia="zh-CN"/>
        </w:rPr>
        <w:t xml:space="preserve">       </w:t>
      </w:r>
      <w:r>
        <w:rPr>
          <w:rFonts w:hint="eastAsia"/>
          <w:bCs/>
          <w:color w:val="auto"/>
          <w:lang w:eastAsia="zh-CN"/>
        </w:rPr>
        <w:t>月</w:t>
      </w:r>
      <w:r>
        <w:rPr>
          <w:rFonts w:hint="eastAsia" w:ascii="Times New Roman" w:hAnsi="Times New Roman" w:cs="Times New Roman"/>
          <w:color w:val="auto"/>
          <w:u w:val="single"/>
          <w:lang w:val="en-US" w:eastAsia="zh-CN"/>
        </w:rPr>
        <w:t xml:space="preserve">      </w:t>
      </w:r>
      <w:r>
        <w:rPr>
          <w:rFonts w:hint="eastAsia"/>
          <w:bCs/>
          <w:color w:val="auto"/>
          <w:lang w:eastAsia="zh-CN"/>
        </w:rPr>
        <w:t>日</w:t>
      </w:r>
    </w:p>
    <w:p>
      <w:pPr>
        <w:pStyle w:val="5"/>
        <w:keepNext w:val="0"/>
        <w:keepLines w:val="0"/>
        <w:spacing w:before="0" w:after="0" w:line="360" w:lineRule="auto"/>
        <w:rPr>
          <w:rFonts w:ascii="Times New Roman"/>
          <w:color w:val="auto"/>
          <w:spacing w:val="10"/>
        </w:rPr>
      </w:pPr>
      <w:r>
        <w:rPr>
          <w:rFonts w:ascii="Times New Roman"/>
          <w:b w:val="0"/>
          <w:bCs/>
          <w:color w:val="auto"/>
        </w:rPr>
        <w:br w:type="page"/>
      </w:r>
      <w:r>
        <w:rPr>
          <w:rFonts w:hint="eastAsia" w:ascii="Times New Roman"/>
          <w:color w:val="auto"/>
          <w:spacing w:val="10"/>
        </w:rPr>
        <w:t>附件</w:t>
      </w:r>
      <w:r>
        <w:rPr>
          <w:rFonts w:ascii="Times New Roman"/>
          <w:color w:val="auto"/>
          <w:spacing w:val="10"/>
        </w:rPr>
        <w:t>15</w:t>
      </w:r>
      <w:r>
        <w:rPr>
          <w:rFonts w:hint="eastAsia" w:ascii="Times New Roman"/>
          <w:color w:val="auto"/>
          <w:spacing w:val="10"/>
        </w:rPr>
        <w:t>、投标人认为必要的辅助资料（如有）</w:t>
      </w:r>
    </w:p>
    <w:sectPr>
      <w:headerReference r:id="rId13" w:type="default"/>
      <w:pgSz w:w="11910" w:h="16840"/>
      <w:pgMar w:top="1588" w:right="1588" w:bottom="1418" w:left="1814" w:header="731" w:footer="99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宋体瀗.烥栀.">
    <w:altName w:val="宋体"/>
    <w:panose1 w:val="00000000000000000000"/>
    <w:charset w:val="86"/>
    <w:family w:val="roma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等线 Light">
    <w:panose1 w:val="02010600030101010101"/>
    <w:charset w:val="86"/>
    <w:family w:val="auto"/>
    <w:pitch w:val="default"/>
    <w:sig w:usb0="A00002BF" w:usb1="38CF7CFA" w:usb2="00000016" w:usb3="00000000" w:csb0="0004000F" w:csb1="00000000"/>
  </w:font>
  <w:font w:name="MS Mincho">
    <w:panose1 w:val="02020609040205080304"/>
    <w:charset w:val="80"/>
    <w:family w:val="roman"/>
    <w:pitch w:val="default"/>
    <w:sig w:usb0="A00002BF" w:usb1="68C7FCFB" w:usb2="00000010" w:usb3="00000000" w:csb0="4002009F" w:csb1="DFD70000"/>
  </w:font>
  <w:font w:name="MS Gothic">
    <w:panose1 w:val="020B0609070205080204"/>
    <w:charset w:val="80"/>
    <w:family w:val="modern"/>
    <w:pitch w:val="default"/>
    <w:sig w:usb0="E00002FF" w:usb1="6AC7FDFB" w:usb2="08000012" w:usb3="00000000" w:csb0="4002009F" w:csb1="DFD70000"/>
  </w:font>
  <w:font w:name="宋体..蓥栀.">
    <w:altName w:val="宋体"/>
    <w:panose1 w:val="00000000000000000000"/>
    <w:charset w:val="86"/>
    <w:family w:val="roma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eastAsia="zh-CN"/>
      </w:rPr>
      <mc:AlternateContent>
        <mc:Choice Requires="wps">
          <w:drawing>
            <wp:anchor distT="0" distB="0" distL="114300" distR="114300" simplePos="0" relativeHeight="503169024" behindDoc="1" locked="0" layoutInCell="1" allowOverlap="1">
              <wp:simplePos x="0" y="0"/>
              <wp:positionH relativeFrom="page">
                <wp:posOffset>3697605</wp:posOffset>
              </wp:positionH>
              <wp:positionV relativeFrom="page">
                <wp:posOffset>9921875</wp:posOffset>
              </wp:positionV>
              <wp:extent cx="165100" cy="152400"/>
              <wp:effectExtent l="0" t="0" r="6350" b="0"/>
              <wp:wrapNone/>
              <wp:docPr id="2" name="Text Box 43"/>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wps:txbx>
                    <wps:bodyPr rot="0" vert="horz" wrap="square" lIns="0" tIns="0" rIns="0" bIns="0" anchor="t" anchorCtr="0" upright="1">
                      <a:noAutofit/>
                    </wps:bodyPr>
                  </wps:wsp>
                </a:graphicData>
              </a:graphic>
            </wp:anchor>
          </w:drawing>
        </mc:Choice>
        <mc:Fallback>
          <w:pict>
            <v:shape id="Text Box 43" o:spid="_x0000_s1026" o:spt="202" type="#_x0000_t202" style="position:absolute;left:0pt;margin-left:291.15pt;margin-top:781.25pt;height:12pt;width:13pt;mso-position-horizontal-relative:page;mso-position-vertical-relative:page;z-index:-147456;mso-width-relative:page;mso-height-relative:page;" filled="f" stroked="f" coordsize="21600,21600" o:gfxdata="UEsDBAoAAAAAAIdO4kAAAAAAAAAAAAAAAAAEAAAAZHJzL1BLAwQUAAAACACHTuJAyl900tkAAAAN&#10;AQAADwAAAGRycy9kb3ducmV2LnhtbE2PzU7DMBCE70i8g7VI3KjdoFghxKkQghMSIg0Hjk7sJlbj&#10;dYjdH96e7QmOO/NpdqbanP3EjnaJLqCC9UoAs9gH43BQ8Nm+3hXAYtJo9BTQKvixETb19VWlSxNO&#10;2NjjNg2MQjCWWsGY0lxyHvvReh1XYbZI3i4sXic6l4GbRZ8o3E88E0Jyrx3Sh1HP9nm0/X578Aqe&#10;vrB5cd/v3Ueza1zbPgh8k3ulbm/W4hFYsuf0B8OlPlWHmjp14YAmsklBXmT3hJKRyywHRogUBUnd&#10;RSpkDryu+P8V9S9QSwMEFAAAAAgAh07iQF+s+wHgAQAAtgMAAA4AAABkcnMvZTJvRG9jLnhtbK1T&#10;227bMAx9H7B/EPS+2M7aYjDiFF2LDgO6C9DuAxhZtoXZokYpsbOvHyXHabe9DXsRaF4ODw/pzfU0&#10;9OKgyRu0lSxWuRTaKqyNbSv57en+zTspfABbQ49WV/Kovbzevn61GV2p19hhX2sSDGJ9ObpKdiG4&#10;Msu86vQAfoVOWw42SAME/qQ2qwlGRh/6bJ3nV9mIVDtCpb1n790clNuE3zRahS9N43UQfSWZW0gv&#10;pXcX32y7gbIlcJ1RJxrwDywGMJabnqHuIIDYk/kLajCK0GMTVgqHDJvGKJ1m4GmK/I9pHjtwOs3C&#10;4nh3lsn/P1j1+fCVhKkruZbCwsAretJTEO9xEhdvozyj8yVnPTrOCxP7ec1pVO8eUH33wuJtB7bV&#10;N0Q4dhpqplfEyuxF6YzjI8hu/IQ194F9wAQ0NTRE7VgNwei8puN5NZGLii2vLoucI4pDxeX6gu3Y&#10;Acql2JEPHzQOIhqVJN58AofDgw9z6pISe1m8N33Pfih7+5uDMaMnkY98Z+Zh2k2cHSfaYX3kMQjn&#10;Y+LjZ6ND+inFyIdUSf9jD6Sl6D9aliJe3WLQYuwWA6zi0koGKWbzNszXuXdk2o6RZ7Et3rBcjUmj&#10;PLM48eTjSGKcDjle38vvlPX8u2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pfdNLZAAAADQEA&#10;AA8AAAAAAAAAAQAgAAAAIgAAAGRycy9kb3ducmV2LnhtbFBLAQIUABQAAAAIAIdO4kBfrPsB4AEA&#10;ALYDAAAOAAAAAAAAAAEAIAAAACgBAABkcnMvZTJvRG9jLnhtbFBLBQYAAAAABgAGAFkBAAB6BQAA&#10;A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1"/>
      </w:rPr>
    </w:pPr>
    <w:r>
      <w:rPr>
        <w:rStyle w:val="41"/>
      </w:rPr>
      <w:fldChar w:fldCharType="begin"/>
    </w:r>
    <w:r>
      <w:rPr>
        <w:rStyle w:val="41"/>
      </w:rPr>
      <w:instrText xml:space="preserve">PAGE  </w:instrText>
    </w:r>
    <w:r>
      <w:rPr>
        <w:rStyle w:val="41"/>
      </w:rPr>
      <w:fldChar w:fldCharType="separate"/>
    </w:r>
    <w:r>
      <w:rPr>
        <w:rStyle w:val="41"/>
      </w:rPr>
      <w:t>65</w:t>
    </w:r>
    <w:r>
      <w:rPr>
        <w:rStyle w:val="41"/>
      </w:rPr>
      <w:fldChar w:fldCharType="end"/>
    </w:r>
  </w:p>
  <w:p>
    <w:pPr>
      <w:pStyle w:val="22"/>
      <w:jc w:val="center"/>
    </w:pPr>
    <w:r>
      <w:rPr>
        <w:szCs w:val="21"/>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spacing w:line="14" w:lineRule="auto"/>
      <w:rPr>
        <w:sz w:val="20"/>
      </w:rPr>
    </w:pPr>
    <w:r>
      <w:rPr>
        <w:lang w:eastAsia="zh-CN"/>
      </w:rPr>
      <mc:AlternateContent>
        <mc:Choice Requires="wps">
          <w:drawing>
            <wp:anchor distT="0" distB="0" distL="114300" distR="114300" simplePos="0" relativeHeight="503171072" behindDoc="1" locked="0" layoutInCell="1" allowOverlap="1">
              <wp:simplePos x="0" y="0"/>
              <wp:positionH relativeFrom="page">
                <wp:posOffset>3354705</wp:posOffset>
              </wp:positionH>
              <wp:positionV relativeFrom="page">
                <wp:posOffset>10010775</wp:posOffset>
              </wp:positionV>
              <wp:extent cx="165100" cy="152400"/>
              <wp:effectExtent l="0" t="0" r="6350" b="0"/>
              <wp:wrapNone/>
              <wp:docPr id="1" name="Text Box 15"/>
              <wp:cNvGraphicFramePr/>
              <a:graphic xmlns:a="http://schemas.openxmlformats.org/drawingml/2006/main">
                <a:graphicData uri="http://schemas.microsoft.com/office/word/2010/wordprocessingShape">
                  <wps:wsp>
                    <wps:cNvSpPr txBox="1">
                      <a:spLocks noChangeArrowheads="1"/>
                    </wps:cNvSpPr>
                    <wps:spPr bwMode="auto">
                      <a:xfrm>
                        <a:off x="0" y="0"/>
                        <a:ext cx="165100" cy="152400"/>
                      </a:xfrm>
                      <a:prstGeom prst="rect">
                        <a:avLst/>
                      </a:prstGeom>
                      <a:noFill/>
                      <a:ln>
                        <a:noFill/>
                      </a:ln>
                    </wps:spPr>
                    <wps:txbx>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101</w:t>
                          </w:r>
                          <w:r>
                            <w:fldChar w:fldCharType="end"/>
                          </w:r>
                        </w:p>
                      </w:txbxContent>
                    </wps:txbx>
                    <wps:bodyPr rot="0" vert="horz" wrap="square" lIns="0" tIns="0" rIns="0" bIns="0" anchor="t" anchorCtr="0" upright="1">
                      <a:noAutofit/>
                    </wps:bodyPr>
                  </wps:wsp>
                </a:graphicData>
              </a:graphic>
            </wp:anchor>
          </w:drawing>
        </mc:Choice>
        <mc:Fallback>
          <w:pict>
            <v:shape id="Text Box 15" o:spid="_x0000_s1026" o:spt="202" type="#_x0000_t202" style="position:absolute;left:0pt;margin-left:264.15pt;margin-top:788.25pt;height:12pt;width:13pt;mso-position-horizontal-relative:page;mso-position-vertical-relative:page;z-index:-145408;mso-width-relative:page;mso-height-relative:page;" filled="f" stroked="f" coordsize="21600,21600" o:gfxdata="UEsDBAoAAAAAAIdO4kAAAAAAAAAAAAAAAAAEAAAAZHJzL1BLAwQUAAAACACHTuJAVNfFfNoAAAAN&#10;AQAADwAAAGRycy9kb3ducmV2LnhtbE2PzU7DMBCE70i8g7VI3KjdgkObxqkQghMSahoOHJ3YTazG&#10;6xC7P7w9ywmOO/NpdqbYXPzATnaKLqCC+UwAs9gG47BT8FG/3i2BxaTR6CGgVfBtI2zK66tC5yac&#10;sbKnXeoYhWDMtYI+pTHnPLa99TrOwmiRvH2YvE50Th03kz5TuB/4QoiMe+2QPvR6tM+9bQ+7o1fw&#10;9InVi/t6b7bVvnJ1vRL4lh2Uur2ZizWwZC/pD4bf+lQdSurUhCOayAYFcrG8J5QM+ZhJYIRI+UBS&#10;Q1ImhAReFvz/ivIHUEsDBBQAAAAIAIdO4kBKU8Zd3gEAALYDAAAOAAAAZHJzL2Uyb0RvYy54bWyt&#10;U9tu2zAMfR+wfxD0vtgOlmIw4hRdiw4DugvQ7gNoWY6F2aJGKbGzrx8lx2m3vQ17EWheDs8h6e31&#10;NPTiqMkbtJUsVrkU2ipsjN1X8tvT/Zt3UvgAtoEera7kSXt5vXv9aju6Uq+xw77RJBjE+nJ0lexC&#10;cGWWedXpAfwKnbYcbJEGCPxJ+6whGBl96LN1nl9lI1LjCJX2nr13c1DuEn7bahW+tK3XQfSVZG4h&#10;vZTeOr7ZbgvlnsB1Rp1pwD+wGMBYbnqBuoMA4kDmL6jBKEKPbVgpHDJsW6N00sBqivwPNY8dOJ20&#10;8HC8u4zJ/z9Y9fn4lYRpeHdSWBh4RU96CuI9TqLYxPGMzpec9eg4L0zsj6lRqncPqL57YfG2A7vX&#10;N0Q4dhoaplfEyuxF6YzjI0g9fsKG+8AhYAKaWhoiIE9DMDqv6XRZTeSiYsurTZFzRHGo2Kzfsh07&#10;QLkUO/Lhg8ZBRKOSxJtP4HB88GFOXVJiL4v3pu/ZD2Vvf3MwZvQk8pHvzDxM9cTZUVGNzYllEM7H&#10;xMfPRof0U4qRD6mS/scBSEvRf7Q8inh1i0GLUS8GWMWllQxSzOZtmK/z4MjsO0aeh23xhsfVmiTl&#10;mcWZJx9HGsb5kOP1vfxOWc+/2+4X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VNfFfNoAAAANAQAA&#10;DwAAAAAAAAABACAAAAAiAAAAZHJzL2Rvd25yZXYueG1sUEsBAhQAFAAAAAgAh07iQEpTxl3eAQAA&#10;tgMAAA4AAAAAAAAAAQAgAAAAKQEAAGRycy9lMm9Eb2MueG1sUEsFBgAAAAAGAAYAWQEAAHkFAAAA&#10;AA==&#10;">
              <v:fill on="f" focussize="0,0"/>
              <v:stroke on="f"/>
              <v:imagedata o:title=""/>
              <o:lock v:ext="edit" aspectratio="f"/>
              <v:textbox inset="0mm,0mm,0mm,0mm">
                <w:txbxContent>
                  <w:p>
                    <w:pPr>
                      <w:spacing w:before="12"/>
                      <w:ind w:left="40"/>
                      <w:rPr>
                        <w:rFonts w:ascii="Times New Roman"/>
                        <w:sz w:val="18"/>
                      </w:rPr>
                    </w:pPr>
                    <w:r>
                      <w:fldChar w:fldCharType="begin"/>
                    </w:r>
                    <w:r>
                      <w:rPr>
                        <w:rFonts w:ascii="Times New Roman"/>
                        <w:sz w:val="18"/>
                      </w:rPr>
                      <w:instrText xml:space="preserve"> PAGE </w:instrText>
                    </w:r>
                    <w:r>
                      <w:fldChar w:fldCharType="separate"/>
                    </w:r>
                    <w:r>
                      <w:rPr>
                        <w:rFonts w:ascii="Times New Roman"/>
                        <w:sz w:val="18"/>
                      </w:rPr>
                      <w:t>101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792484"/>
      <w:docPartObj>
        <w:docPartGallery w:val="autotext"/>
      </w:docPartObj>
    </w:sdtPr>
    <w:sdtContent>
      <w:p>
        <w:pPr>
          <w:pStyle w:val="22"/>
          <w:jc w:val="center"/>
        </w:pPr>
        <w:r>
          <w:fldChar w:fldCharType="begin"/>
        </w:r>
        <w:r>
          <w:instrText xml:space="preserve">PAGE   \* MERGEFORMAT</w:instrText>
        </w:r>
        <w:r>
          <w:fldChar w:fldCharType="separate"/>
        </w:r>
        <w:r>
          <w:rPr>
            <w:lang w:val="zh-CN" w:eastAsia="zh-CN"/>
          </w:rPr>
          <w:t>117</w:t>
        </w:r>
        <w:r>
          <w:rPr>
            <w:lang w:val="zh-CN" w:eastAsia="zh-CN"/>
          </w:rPr>
          <w:fldChar w:fldCharType="end"/>
        </w:r>
      </w:p>
    </w:sdtContent>
  </w:sdt>
  <w:p>
    <w:pPr>
      <w:pStyle w:val="12"/>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wordWrap w:val="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20"/>
      <w:rPr>
        <w:sz w:val="18"/>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038616"/>
    <w:multiLevelType w:val="singleLevel"/>
    <w:tmpl w:val="88038616"/>
    <w:lvl w:ilvl="0" w:tentative="0">
      <w:start w:val="8"/>
      <w:numFmt w:val="decimal"/>
      <w:suff w:val="nothing"/>
      <w:lvlText w:val="%1、"/>
      <w:lvlJc w:val="left"/>
    </w:lvl>
  </w:abstractNum>
  <w:abstractNum w:abstractNumId="1">
    <w:nsid w:val="02D314FE"/>
    <w:multiLevelType w:val="multilevel"/>
    <w:tmpl w:val="02D314FE"/>
    <w:lvl w:ilvl="0" w:tentative="0">
      <w:start w:val="1"/>
      <w:numFmt w:val="decimal"/>
      <w:lvlText w:val="%1"/>
      <w:lvlJc w:val="left"/>
      <w:pPr>
        <w:ind w:left="937" w:hanging="720"/>
      </w:pPr>
      <w:rPr>
        <w:rFonts w:hint="default"/>
      </w:rPr>
    </w:lvl>
    <w:lvl w:ilvl="1" w:tentative="0">
      <w:start w:val="1"/>
      <w:numFmt w:val="decimal"/>
      <w:lvlText w:val="%1.%2"/>
      <w:lvlJc w:val="left"/>
      <w:pPr>
        <w:ind w:left="937" w:hanging="720"/>
      </w:pPr>
      <w:rPr>
        <w:rFonts w:hint="default" w:ascii="Times New Roman" w:hAnsi="Times New Roman" w:eastAsia="Times New Roman" w:cs="Times New Roman"/>
        <w:spacing w:val="-29"/>
        <w:w w:val="100"/>
        <w:sz w:val="24"/>
        <w:szCs w:val="24"/>
      </w:rPr>
    </w:lvl>
    <w:lvl w:ilvl="2" w:tentative="0">
      <w:start w:val="1"/>
      <w:numFmt w:val="decimal"/>
      <w:lvlText w:val="%1.%2.%3"/>
      <w:lvlJc w:val="left"/>
      <w:pPr>
        <w:ind w:left="937" w:hanging="720"/>
      </w:pPr>
      <w:rPr>
        <w:rFonts w:hint="default" w:ascii="Times New Roman" w:hAnsi="Times New Roman" w:eastAsia="Times New Roman" w:cs="Times New Roman"/>
        <w:spacing w:val="0"/>
        <w:w w:val="100"/>
        <w:sz w:val="24"/>
        <w:szCs w:val="24"/>
      </w:rPr>
    </w:lvl>
    <w:lvl w:ilvl="3" w:tentative="0">
      <w:start w:val="0"/>
      <w:numFmt w:val="bullet"/>
      <w:lvlText w:val="•"/>
      <w:lvlJc w:val="left"/>
      <w:pPr>
        <w:ind w:left="2869" w:hanging="720"/>
      </w:pPr>
      <w:rPr>
        <w:rFonts w:hint="default"/>
      </w:rPr>
    </w:lvl>
    <w:lvl w:ilvl="4" w:tentative="0">
      <w:start w:val="0"/>
      <w:numFmt w:val="bullet"/>
      <w:lvlText w:val="•"/>
      <w:lvlJc w:val="left"/>
      <w:pPr>
        <w:ind w:left="3774" w:hanging="720"/>
      </w:pPr>
      <w:rPr>
        <w:rFonts w:hint="default"/>
      </w:rPr>
    </w:lvl>
    <w:lvl w:ilvl="5" w:tentative="0">
      <w:start w:val="0"/>
      <w:numFmt w:val="bullet"/>
      <w:lvlText w:val="•"/>
      <w:lvlJc w:val="left"/>
      <w:pPr>
        <w:ind w:left="4679" w:hanging="720"/>
      </w:pPr>
      <w:rPr>
        <w:rFonts w:hint="default"/>
      </w:rPr>
    </w:lvl>
    <w:lvl w:ilvl="6" w:tentative="0">
      <w:start w:val="0"/>
      <w:numFmt w:val="bullet"/>
      <w:lvlText w:val="•"/>
      <w:lvlJc w:val="left"/>
      <w:pPr>
        <w:ind w:left="5584" w:hanging="720"/>
      </w:pPr>
      <w:rPr>
        <w:rFonts w:hint="default"/>
      </w:rPr>
    </w:lvl>
    <w:lvl w:ilvl="7" w:tentative="0">
      <w:start w:val="0"/>
      <w:numFmt w:val="bullet"/>
      <w:lvlText w:val="•"/>
      <w:lvlJc w:val="left"/>
      <w:pPr>
        <w:ind w:left="6489" w:hanging="720"/>
      </w:pPr>
      <w:rPr>
        <w:rFonts w:hint="default"/>
      </w:rPr>
    </w:lvl>
    <w:lvl w:ilvl="8" w:tentative="0">
      <w:start w:val="0"/>
      <w:numFmt w:val="bullet"/>
      <w:lvlText w:val="•"/>
      <w:lvlJc w:val="left"/>
      <w:pPr>
        <w:ind w:left="7394" w:hanging="720"/>
      </w:pPr>
      <w:rPr>
        <w:rFonts w:hint="default"/>
      </w:rPr>
    </w:lvl>
  </w:abstractNum>
  <w:abstractNum w:abstractNumId="2">
    <w:nsid w:val="0CAF48D2"/>
    <w:multiLevelType w:val="multilevel"/>
    <w:tmpl w:val="0CAF48D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EFC79EB"/>
    <w:multiLevelType w:val="multilevel"/>
    <w:tmpl w:val="0EFC79EB"/>
    <w:lvl w:ilvl="0" w:tentative="0">
      <w:start w:val="1"/>
      <w:numFmt w:val="chineseCountingThousand"/>
      <w:lvlText w:val="%1、"/>
      <w:lvlJc w:val="left"/>
      <w:pPr>
        <w:ind w:left="420" w:hanging="420"/>
      </w:pPr>
    </w:lvl>
    <w:lvl w:ilvl="1" w:tentative="0">
      <w:start w:val="1"/>
      <w:numFmt w:val="chineseCountingThousand"/>
      <w:lvlText w:val="%2、"/>
      <w:lvlJc w:val="left"/>
      <w:pPr>
        <w:ind w:left="840" w:hanging="420"/>
      </w:pPr>
    </w:lvl>
    <w:lvl w:ilvl="2" w:tentative="0">
      <w:start w:val="1"/>
      <w:numFmt w:val="decimal"/>
      <w:lvlText w:val="%3."/>
      <w:lvlJc w:val="left"/>
      <w:pPr>
        <w:ind w:left="1200" w:hanging="360"/>
      </w:pPr>
      <w:rPr>
        <w:rFonts w:hint="default"/>
      </w:rPr>
    </w:lvl>
    <w:lvl w:ilvl="3" w:tentative="0">
      <w:start w:val="1"/>
      <w:numFmt w:val="decimalEnclosedCircle"/>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FF85191"/>
    <w:multiLevelType w:val="multilevel"/>
    <w:tmpl w:val="0FF85191"/>
    <w:lvl w:ilvl="0" w:tentative="0">
      <w:start w:val="1"/>
      <w:numFmt w:val="decimal"/>
      <w:lvlText w:val="%1."/>
      <w:lvlJc w:val="left"/>
      <w:pPr>
        <w:ind w:left="420" w:hanging="420"/>
      </w:pPr>
    </w:lvl>
    <w:lvl w:ilvl="1" w:tentative="0">
      <w:start w:val="1"/>
      <w:numFmt w:val="decimal"/>
      <w:isLgl/>
      <w:lvlText w:val="%1.%2"/>
      <w:lvlJc w:val="left"/>
      <w:pPr>
        <w:ind w:left="644" w:hanging="360"/>
      </w:pPr>
      <w:rPr>
        <w:rFonts w:hint="default" w:ascii="Times New Roman" w:eastAsia="Times New Roman"/>
        <w:b w:val="0"/>
      </w:rPr>
    </w:lvl>
    <w:lvl w:ilvl="2" w:tentative="0">
      <w:start w:val="1"/>
      <w:numFmt w:val="decimal"/>
      <w:isLgl/>
      <w:lvlText w:val="%1.%2.%3"/>
      <w:lvlJc w:val="left"/>
      <w:pPr>
        <w:ind w:left="1154" w:hanging="720"/>
      </w:pPr>
      <w:rPr>
        <w:rFonts w:hint="default" w:ascii="Times New Roman" w:eastAsia="Times New Roman"/>
      </w:rPr>
    </w:lvl>
    <w:lvl w:ilvl="3" w:tentative="0">
      <w:start w:val="1"/>
      <w:numFmt w:val="decimal"/>
      <w:isLgl/>
      <w:lvlText w:val="%1.%2.%3.%4"/>
      <w:lvlJc w:val="left"/>
      <w:pPr>
        <w:ind w:left="1731" w:hanging="1080"/>
      </w:pPr>
      <w:rPr>
        <w:rFonts w:hint="default" w:ascii="Times New Roman" w:eastAsia="Times New Roman"/>
      </w:rPr>
    </w:lvl>
    <w:lvl w:ilvl="4" w:tentative="0">
      <w:start w:val="1"/>
      <w:numFmt w:val="decimal"/>
      <w:isLgl/>
      <w:lvlText w:val="%1.%2.%3.%4.%5"/>
      <w:lvlJc w:val="left"/>
      <w:pPr>
        <w:ind w:left="1948" w:hanging="1080"/>
      </w:pPr>
      <w:rPr>
        <w:rFonts w:hint="default" w:ascii="Times New Roman" w:eastAsia="Times New Roman"/>
      </w:rPr>
    </w:lvl>
    <w:lvl w:ilvl="5" w:tentative="0">
      <w:start w:val="1"/>
      <w:numFmt w:val="decimal"/>
      <w:isLgl/>
      <w:lvlText w:val="%1.%2.%3.%4.%5.%6"/>
      <w:lvlJc w:val="left"/>
      <w:pPr>
        <w:ind w:left="2525" w:hanging="1440"/>
      </w:pPr>
      <w:rPr>
        <w:rFonts w:hint="default" w:ascii="Times New Roman" w:eastAsia="Times New Roman"/>
      </w:rPr>
    </w:lvl>
    <w:lvl w:ilvl="6" w:tentative="0">
      <w:start w:val="1"/>
      <w:numFmt w:val="decimal"/>
      <w:isLgl/>
      <w:lvlText w:val="%1.%2.%3.%4.%5.%6.%7"/>
      <w:lvlJc w:val="left"/>
      <w:pPr>
        <w:ind w:left="3102" w:hanging="1800"/>
      </w:pPr>
      <w:rPr>
        <w:rFonts w:hint="default" w:ascii="Times New Roman" w:eastAsia="Times New Roman"/>
      </w:rPr>
    </w:lvl>
    <w:lvl w:ilvl="7" w:tentative="0">
      <w:start w:val="1"/>
      <w:numFmt w:val="decimal"/>
      <w:isLgl/>
      <w:lvlText w:val="%1.%2.%3.%4.%5.%6.%7.%8"/>
      <w:lvlJc w:val="left"/>
      <w:pPr>
        <w:ind w:left="3319" w:hanging="1800"/>
      </w:pPr>
      <w:rPr>
        <w:rFonts w:hint="default" w:ascii="Times New Roman" w:eastAsia="Times New Roman"/>
      </w:rPr>
    </w:lvl>
    <w:lvl w:ilvl="8" w:tentative="0">
      <w:start w:val="1"/>
      <w:numFmt w:val="decimal"/>
      <w:isLgl/>
      <w:lvlText w:val="%1.%2.%3.%4.%5.%6.%7.%8.%9"/>
      <w:lvlJc w:val="left"/>
      <w:pPr>
        <w:ind w:left="3896" w:hanging="2160"/>
      </w:pPr>
      <w:rPr>
        <w:rFonts w:hint="default" w:ascii="Times New Roman" w:eastAsia="Times New Roman"/>
      </w:rPr>
    </w:lvl>
  </w:abstractNum>
  <w:abstractNum w:abstractNumId="5">
    <w:nsid w:val="14E30784"/>
    <w:multiLevelType w:val="multilevel"/>
    <w:tmpl w:val="14E30784"/>
    <w:lvl w:ilvl="0" w:tentative="0">
      <w:start w:val="1"/>
      <w:numFmt w:val="decimal"/>
      <w:lvlText w:val="%1)"/>
      <w:lvlJc w:val="left"/>
      <w:pPr>
        <w:ind w:left="910" w:hanging="420"/>
      </w:pPr>
    </w:lvl>
    <w:lvl w:ilvl="1" w:tentative="0">
      <w:start w:val="1"/>
      <w:numFmt w:val="lowerLetter"/>
      <w:lvlText w:val="%2)"/>
      <w:lvlJc w:val="left"/>
      <w:pPr>
        <w:ind w:left="1330" w:hanging="420"/>
      </w:pPr>
    </w:lvl>
    <w:lvl w:ilvl="2" w:tentative="0">
      <w:start w:val="1"/>
      <w:numFmt w:val="decimal"/>
      <w:lvlText w:val="（%3）"/>
      <w:lvlJc w:val="left"/>
      <w:pPr>
        <w:ind w:left="1750" w:hanging="420"/>
      </w:pPr>
      <w:rPr>
        <w:rFonts w:hint="eastAsia"/>
      </w:rPr>
    </w:lvl>
    <w:lvl w:ilvl="3" w:tentative="0">
      <w:start w:val="1"/>
      <w:numFmt w:val="decimal"/>
      <w:lvlText w:val="%4."/>
      <w:lvlJc w:val="left"/>
      <w:pPr>
        <w:ind w:left="2170" w:hanging="420"/>
      </w:pPr>
    </w:lvl>
    <w:lvl w:ilvl="4" w:tentative="0">
      <w:start w:val="1"/>
      <w:numFmt w:val="lowerLetter"/>
      <w:lvlText w:val="%5)"/>
      <w:lvlJc w:val="left"/>
      <w:pPr>
        <w:ind w:left="2590" w:hanging="420"/>
      </w:pPr>
    </w:lvl>
    <w:lvl w:ilvl="5" w:tentative="0">
      <w:start w:val="1"/>
      <w:numFmt w:val="lowerRoman"/>
      <w:lvlText w:val="%6."/>
      <w:lvlJc w:val="right"/>
      <w:pPr>
        <w:ind w:left="3010" w:hanging="420"/>
      </w:pPr>
    </w:lvl>
    <w:lvl w:ilvl="6" w:tentative="0">
      <w:start w:val="1"/>
      <w:numFmt w:val="decimal"/>
      <w:lvlText w:val="%7."/>
      <w:lvlJc w:val="left"/>
      <w:pPr>
        <w:ind w:left="3430" w:hanging="420"/>
      </w:pPr>
    </w:lvl>
    <w:lvl w:ilvl="7" w:tentative="0">
      <w:start w:val="1"/>
      <w:numFmt w:val="lowerLetter"/>
      <w:lvlText w:val="%8)"/>
      <w:lvlJc w:val="left"/>
      <w:pPr>
        <w:ind w:left="3850" w:hanging="420"/>
      </w:pPr>
    </w:lvl>
    <w:lvl w:ilvl="8" w:tentative="0">
      <w:start w:val="1"/>
      <w:numFmt w:val="lowerRoman"/>
      <w:lvlText w:val="%9."/>
      <w:lvlJc w:val="right"/>
      <w:pPr>
        <w:ind w:left="4270" w:hanging="420"/>
      </w:pPr>
    </w:lvl>
  </w:abstractNum>
  <w:abstractNum w:abstractNumId="6">
    <w:nsid w:val="159D5C12"/>
    <w:multiLevelType w:val="multilevel"/>
    <w:tmpl w:val="159D5C12"/>
    <w:lvl w:ilvl="0" w:tentative="0">
      <w:start w:val="1"/>
      <w:numFmt w:val="decimal"/>
      <w:pStyle w:val="87"/>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1637667F"/>
    <w:multiLevelType w:val="multilevel"/>
    <w:tmpl w:val="1637667F"/>
    <w:lvl w:ilvl="0" w:tentative="0">
      <w:start w:val="1"/>
      <w:numFmt w:val="decimal"/>
      <w:lvlText w:val="（%1）"/>
      <w:lvlJc w:val="left"/>
      <w:pPr>
        <w:tabs>
          <w:tab w:val="left" w:pos="1079"/>
        </w:tabs>
        <w:ind w:left="1079" w:hanging="720"/>
      </w:pPr>
      <w:rPr>
        <w:rFonts w:hint="default"/>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8">
    <w:nsid w:val="186509D8"/>
    <w:multiLevelType w:val="multilevel"/>
    <w:tmpl w:val="186509D8"/>
    <w:lvl w:ilvl="0" w:tentative="0">
      <w:start w:val="1"/>
      <w:numFmt w:val="decimal"/>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decimal"/>
      <w:lvlText w:val="（%3）"/>
      <w:lvlJc w:val="left"/>
      <w:pPr>
        <w:ind w:left="1560" w:hanging="720"/>
      </w:pPr>
      <w:rPr>
        <w:rFonts w:hint="default"/>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D3246B4"/>
    <w:multiLevelType w:val="multilevel"/>
    <w:tmpl w:val="1D3246B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3192741"/>
    <w:multiLevelType w:val="multilevel"/>
    <w:tmpl w:val="23192741"/>
    <w:lvl w:ilvl="0" w:tentative="0">
      <w:start w:val="1"/>
      <w:numFmt w:val="decimal"/>
      <w:lvlText w:val="（%1）"/>
      <w:lvlJc w:val="left"/>
      <w:pPr>
        <w:tabs>
          <w:tab w:val="left" w:pos="1079"/>
        </w:tabs>
        <w:ind w:left="1079" w:hanging="720"/>
      </w:pPr>
      <w:rPr>
        <w:rFonts w:hint="default"/>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1">
    <w:nsid w:val="25D175DC"/>
    <w:multiLevelType w:val="multilevel"/>
    <w:tmpl w:val="25D175DC"/>
    <w:lvl w:ilvl="0" w:tentative="0">
      <w:start w:val="1"/>
      <w:numFmt w:val="decimal"/>
      <w:lvlText w:val="（%1）"/>
      <w:lvlJc w:val="left"/>
      <w:pPr>
        <w:tabs>
          <w:tab w:val="left" w:pos="1245"/>
        </w:tabs>
        <w:ind w:left="1245" w:hanging="720"/>
      </w:pPr>
      <w:rPr>
        <w:rFonts w:hint="default"/>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12">
    <w:nsid w:val="26D57A62"/>
    <w:multiLevelType w:val="multilevel"/>
    <w:tmpl w:val="26D57A6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EnclosedCircle"/>
      <w:lvlText w:val="%4"/>
      <w:lvlJc w:val="left"/>
      <w:pPr>
        <w:ind w:left="1620" w:hanging="36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6F8205C"/>
    <w:multiLevelType w:val="multilevel"/>
    <w:tmpl w:val="26F8205C"/>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4">
    <w:nsid w:val="2FD8271D"/>
    <w:multiLevelType w:val="multilevel"/>
    <w:tmpl w:val="2FD8271D"/>
    <w:lvl w:ilvl="0" w:tentative="0">
      <w:start w:val="1"/>
      <w:numFmt w:val="decimal"/>
      <w:lvlText w:val="%1."/>
      <w:lvlJc w:val="left"/>
      <w:pPr>
        <w:ind w:left="420" w:hanging="420"/>
      </w:pPr>
      <w:rPr>
        <w:rFonts w:hint="eastAsia"/>
      </w:rPr>
    </w:lvl>
    <w:lvl w:ilvl="1" w:tentative="0">
      <w:start w:val="1"/>
      <w:numFmt w:val="decimal"/>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38D211FB"/>
    <w:multiLevelType w:val="multilevel"/>
    <w:tmpl w:val="38D211FB"/>
    <w:lvl w:ilvl="0" w:tentative="0">
      <w:start w:val="1"/>
      <w:numFmt w:val="decimal"/>
      <w:lvlText w:val="%1."/>
      <w:lvlJc w:val="left"/>
      <w:pPr>
        <w:ind w:left="100" w:hanging="264"/>
      </w:pPr>
      <w:rPr>
        <w:rFonts w:hint="default" w:ascii="Times New Roman" w:hAnsi="Times New Roman" w:eastAsia="Times New Roman" w:cs="Times New Roman"/>
        <w:w w:val="100"/>
        <w:sz w:val="21"/>
        <w:szCs w:val="21"/>
      </w:rPr>
    </w:lvl>
    <w:lvl w:ilvl="1" w:tentative="0">
      <w:start w:val="0"/>
      <w:numFmt w:val="bullet"/>
      <w:lvlText w:val="•"/>
      <w:lvlJc w:val="left"/>
      <w:pPr>
        <w:ind w:left="996" w:hanging="264"/>
      </w:pPr>
      <w:rPr>
        <w:rFonts w:hint="default"/>
      </w:rPr>
    </w:lvl>
    <w:lvl w:ilvl="2" w:tentative="0">
      <w:start w:val="0"/>
      <w:numFmt w:val="bullet"/>
      <w:lvlText w:val="•"/>
      <w:lvlJc w:val="left"/>
      <w:pPr>
        <w:ind w:left="1892" w:hanging="264"/>
      </w:pPr>
      <w:rPr>
        <w:rFonts w:hint="default"/>
      </w:rPr>
    </w:lvl>
    <w:lvl w:ilvl="3" w:tentative="0">
      <w:start w:val="0"/>
      <w:numFmt w:val="bullet"/>
      <w:lvlText w:val="•"/>
      <w:lvlJc w:val="left"/>
      <w:pPr>
        <w:ind w:left="2788" w:hanging="264"/>
      </w:pPr>
      <w:rPr>
        <w:rFonts w:hint="default"/>
      </w:rPr>
    </w:lvl>
    <w:lvl w:ilvl="4" w:tentative="0">
      <w:start w:val="0"/>
      <w:numFmt w:val="bullet"/>
      <w:lvlText w:val="•"/>
      <w:lvlJc w:val="left"/>
      <w:pPr>
        <w:ind w:left="3684" w:hanging="264"/>
      </w:pPr>
      <w:rPr>
        <w:rFonts w:hint="default"/>
      </w:rPr>
    </w:lvl>
    <w:lvl w:ilvl="5" w:tentative="0">
      <w:start w:val="0"/>
      <w:numFmt w:val="bullet"/>
      <w:lvlText w:val="•"/>
      <w:lvlJc w:val="left"/>
      <w:pPr>
        <w:ind w:left="4580" w:hanging="264"/>
      </w:pPr>
      <w:rPr>
        <w:rFonts w:hint="default"/>
      </w:rPr>
    </w:lvl>
    <w:lvl w:ilvl="6" w:tentative="0">
      <w:start w:val="0"/>
      <w:numFmt w:val="bullet"/>
      <w:lvlText w:val="•"/>
      <w:lvlJc w:val="left"/>
      <w:pPr>
        <w:ind w:left="5476" w:hanging="264"/>
      </w:pPr>
      <w:rPr>
        <w:rFonts w:hint="default"/>
      </w:rPr>
    </w:lvl>
    <w:lvl w:ilvl="7" w:tentative="0">
      <w:start w:val="0"/>
      <w:numFmt w:val="bullet"/>
      <w:lvlText w:val="•"/>
      <w:lvlJc w:val="left"/>
      <w:pPr>
        <w:ind w:left="6372" w:hanging="264"/>
      </w:pPr>
      <w:rPr>
        <w:rFonts w:hint="default"/>
      </w:rPr>
    </w:lvl>
    <w:lvl w:ilvl="8" w:tentative="0">
      <w:start w:val="0"/>
      <w:numFmt w:val="bullet"/>
      <w:lvlText w:val="•"/>
      <w:lvlJc w:val="left"/>
      <w:pPr>
        <w:ind w:left="7268" w:hanging="264"/>
      </w:pPr>
      <w:rPr>
        <w:rFonts w:hint="default"/>
      </w:rPr>
    </w:lvl>
  </w:abstractNum>
  <w:abstractNum w:abstractNumId="16">
    <w:nsid w:val="45B02441"/>
    <w:multiLevelType w:val="multilevel"/>
    <w:tmpl w:val="45B02441"/>
    <w:lvl w:ilvl="0" w:tentative="0">
      <w:start w:val="1"/>
      <w:numFmt w:val="decimal"/>
      <w:suff w:val="space"/>
      <w:lvlText w:val="附件%1."/>
      <w:lvlJc w:val="left"/>
      <w:pPr>
        <w:ind w:left="0" w:firstLine="25"/>
      </w:pPr>
      <w:rPr>
        <w:rFonts w:hint="eastAsia"/>
      </w:rPr>
    </w:lvl>
    <w:lvl w:ilvl="1" w:tentative="0">
      <w:start w:val="1"/>
      <w:numFmt w:val="lowerLetter"/>
      <w:lvlText w:val="%2)"/>
      <w:lvlJc w:val="left"/>
      <w:pPr>
        <w:ind w:left="-68" w:hanging="420"/>
      </w:pPr>
    </w:lvl>
    <w:lvl w:ilvl="2" w:tentative="0">
      <w:start w:val="1"/>
      <w:numFmt w:val="lowerRoman"/>
      <w:lvlText w:val="%3."/>
      <w:lvlJc w:val="right"/>
      <w:pPr>
        <w:ind w:left="352" w:hanging="420"/>
      </w:pPr>
    </w:lvl>
    <w:lvl w:ilvl="3" w:tentative="0">
      <w:start w:val="1"/>
      <w:numFmt w:val="decimal"/>
      <w:lvlText w:val="%4."/>
      <w:lvlJc w:val="left"/>
      <w:pPr>
        <w:ind w:left="772" w:hanging="420"/>
      </w:pPr>
    </w:lvl>
    <w:lvl w:ilvl="4" w:tentative="0">
      <w:start w:val="1"/>
      <w:numFmt w:val="lowerLetter"/>
      <w:lvlText w:val="%5)"/>
      <w:lvlJc w:val="left"/>
      <w:pPr>
        <w:ind w:left="1192" w:hanging="420"/>
      </w:pPr>
    </w:lvl>
    <w:lvl w:ilvl="5" w:tentative="0">
      <w:start w:val="1"/>
      <w:numFmt w:val="lowerRoman"/>
      <w:lvlText w:val="%6."/>
      <w:lvlJc w:val="right"/>
      <w:pPr>
        <w:ind w:left="1612" w:hanging="420"/>
      </w:pPr>
    </w:lvl>
    <w:lvl w:ilvl="6" w:tentative="0">
      <w:start w:val="1"/>
      <w:numFmt w:val="decimal"/>
      <w:lvlText w:val="%7."/>
      <w:lvlJc w:val="left"/>
      <w:pPr>
        <w:ind w:left="2032" w:hanging="420"/>
      </w:pPr>
    </w:lvl>
    <w:lvl w:ilvl="7" w:tentative="0">
      <w:start w:val="1"/>
      <w:numFmt w:val="lowerLetter"/>
      <w:lvlText w:val="%8)"/>
      <w:lvlJc w:val="left"/>
      <w:pPr>
        <w:ind w:left="2452" w:hanging="420"/>
      </w:pPr>
    </w:lvl>
    <w:lvl w:ilvl="8" w:tentative="0">
      <w:start w:val="1"/>
      <w:numFmt w:val="lowerRoman"/>
      <w:lvlText w:val="%9."/>
      <w:lvlJc w:val="right"/>
      <w:pPr>
        <w:ind w:left="2872" w:hanging="420"/>
      </w:pPr>
    </w:lvl>
  </w:abstractNum>
  <w:abstractNum w:abstractNumId="17">
    <w:nsid w:val="48260D2F"/>
    <w:multiLevelType w:val="multilevel"/>
    <w:tmpl w:val="48260D2F"/>
    <w:lvl w:ilvl="0" w:tentative="0">
      <w:start w:val="1"/>
      <w:numFmt w:val="chineseCountingThousand"/>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8">
    <w:nsid w:val="4CC44B92"/>
    <w:multiLevelType w:val="multilevel"/>
    <w:tmpl w:val="4CC44B9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4EBE10AE"/>
    <w:multiLevelType w:val="multilevel"/>
    <w:tmpl w:val="4EBE10AE"/>
    <w:lvl w:ilvl="0" w:tentative="0">
      <w:start w:val="1"/>
      <w:numFmt w:val="decimal"/>
      <w:lvlText w:val="%1."/>
      <w:lvlJc w:val="left"/>
      <w:pPr>
        <w:ind w:left="425" w:hanging="425"/>
      </w:pPr>
      <w:rPr>
        <w:rFonts w:hint="eastAsia"/>
      </w:rPr>
    </w:lvl>
    <w:lvl w:ilvl="1" w:tentative="0">
      <w:start w:val="1"/>
      <w:numFmt w:val="decimal"/>
      <w:lvlText w:val="%1.%2"/>
      <w:lvlJc w:val="left"/>
      <w:pPr>
        <w:ind w:left="567" w:hanging="567"/>
      </w:pPr>
      <w:rPr>
        <w:rFonts w:hint="eastAsia"/>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0">
    <w:nsid w:val="518524BD"/>
    <w:multiLevelType w:val="multilevel"/>
    <w:tmpl w:val="518524BD"/>
    <w:lvl w:ilvl="0" w:tentative="0">
      <w:start w:val="1"/>
      <w:numFmt w:val="decimal"/>
      <w:lvlText w:val="（%1）"/>
      <w:lvlJc w:val="left"/>
      <w:pPr>
        <w:tabs>
          <w:tab w:val="left" w:pos="1079"/>
        </w:tabs>
        <w:ind w:left="1079" w:hanging="720"/>
      </w:pPr>
      <w:rPr>
        <w:rFonts w:hint="default"/>
        <w:b w:val="0"/>
      </w:rPr>
    </w:lvl>
    <w:lvl w:ilvl="1" w:tentative="0">
      <w:start w:val="1"/>
      <w:numFmt w:val="lowerLetter"/>
      <w:lvlText w:val="%2)"/>
      <w:lvlJc w:val="left"/>
      <w:pPr>
        <w:tabs>
          <w:tab w:val="left" w:pos="1199"/>
        </w:tabs>
        <w:ind w:left="1199" w:hanging="420"/>
      </w:pPr>
    </w:lvl>
    <w:lvl w:ilvl="2" w:tentative="0">
      <w:start w:val="1"/>
      <w:numFmt w:val="lowerRoman"/>
      <w:lvlText w:val="%3."/>
      <w:lvlJc w:val="right"/>
      <w:pPr>
        <w:tabs>
          <w:tab w:val="left" w:pos="1619"/>
        </w:tabs>
        <w:ind w:left="1619" w:hanging="420"/>
      </w:pPr>
    </w:lvl>
    <w:lvl w:ilvl="3" w:tentative="0">
      <w:start w:val="1"/>
      <w:numFmt w:val="decimal"/>
      <w:lvlText w:val="%4."/>
      <w:lvlJc w:val="left"/>
      <w:pPr>
        <w:tabs>
          <w:tab w:val="left" w:pos="2039"/>
        </w:tabs>
        <w:ind w:left="2039" w:hanging="420"/>
      </w:pPr>
    </w:lvl>
    <w:lvl w:ilvl="4" w:tentative="0">
      <w:start w:val="1"/>
      <w:numFmt w:val="lowerLetter"/>
      <w:lvlText w:val="%5)"/>
      <w:lvlJc w:val="left"/>
      <w:pPr>
        <w:tabs>
          <w:tab w:val="left" w:pos="2459"/>
        </w:tabs>
        <w:ind w:left="2459" w:hanging="420"/>
      </w:pPr>
    </w:lvl>
    <w:lvl w:ilvl="5" w:tentative="0">
      <w:start w:val="1"/>
      <w:numFmt w:val="lowerRoman"/>
      <w:lvlText w:val="%6."/>
      <w:lvlJc w:val="right"/>
      <w:pPr>
        <w:tabs>
          <w:tab w:val="left" w:pos="2879"/>
        </w:tabs>
        <w:ind w:left="2879" w:hanging="420"/>
      </w:pPr>
    </w:lvl>
    <w:lvl w:ilvl="6" w:tentative="0">
      <w:start w:val="1"/>
      <w:numFmt w:val="decimal"/>
      <w:lvlText w:val="%7."/>
      <w:lvlJc w:val="left"/>
      <w:pPr>
        <w:tabs>
          <w:tab w:val="left" w:pos="3299"/>
        </w:tabs>
        <w:ind w:left="3299" w:hanging="420"/>
      </w:pPr>
    </w:lvl>
    <w:lvl w:ilvl="7" w:tentative="0">
      <w:start w:val="1"/>
      <w:numFmt w:val="lowerLetter"/>
      <w:lvlText w:val="%8)"/>
      <w:lvlJc w:val="left"/>
      <w:pPr>
        <w:tabs>
          <w:tab w:val="left" w:pos="3719"/>
        </w:tabs>
        <w:ind w:left="3719" w:hanging="420"/>
      </w:pPr>
    </w:lvl>
    <w:lvl w:ilvl="8" w:tentative="0">
      <w:start w:val="1"/>
      <w:numFmt w:val="lowerRoman"/>
      <w:lvlText w:val="%9."/>
      <w:lvlJc w:val="right"/>
      <w:pPr>
        <w:tabs>
          <w:tab w:val="left" w:pos="4139"/>
        </w:tabs>
        <w:ind w:left="4139" w:hanging="420"/>
      </w:pPr>
    </w:lvl>
  </w:abstractNum>
  <w:abstractNum w:abstractNumId="21">
    <w:nsid w:val="5B010ABD"/>
    <w:multiLevelType w:val="multilevel"/>
    <w:tmpl w:val="5B010ABD"/>
    <w:lvl w:ilvl="0" w:tentative="0">
      <w:start w:val="1"/>
      <w:numFmt w:val="decimal"/>
      <w:lvlText w:val="（%1）"/>
      <w:lvlJc w:val="left"/>
      <w:pPr>
        <w:tabs>
          <w:tab w:val="left" w:pos="1199"/>
        </w:tabs>
        <w:ind w:left="1199" w:hanging="720"/>
      </w:pPr>
      <w:rPr>
        <w:rFonts w:hint="default"/>
      </w:rPr>
    </w:lvl>
    <w:lvl w:ilvl="1" w:tentative="0">
      <w:start w:val="1"/>
      <w:numFmt w:val="decimal"/>
      <w:lvlText w:val="（%2）"/>
      <w:lvlJc w:val="left"/>
      <w:pPr>
        <w:ind w:left="1619" w:hanging="720"/>
      </w:pPr>
      <w:rPr>
        <w:rFonts w:hint="default"/>
      </w:rPr>
    </w:lvl>
    <w:lvl w:ilvl="2" w:tentative="0">
      <w:start w:val="1"/>
      <w:numFmt w:val="decimal"/>
      <w:lvlText w:val="%3．"/>
      <w:lvlJc w:val="left"/>
      <w:pPr>
        <w:ind w:left="1694" w:hanging="375"/>
      </w:pPr>
      <w:rPr>
        <w:rFonts w:hint="default"/>
      </w:rPr>
    </w:lvl>
    <w:lvl w:ilvl="3" w:tentative="0">
      <w:start w:val="1"/>
      <w:numFmt w:val="decimal"/>
      <w:lvlText w:val="%4."/>
      <w:lvlJc w:val="left"/>
      <w:pPr>
        <w:tabs>
          <w:tab w:val="left" w:pos="2159"/>
        </w:tabs>
        <w:ind w:left="2159" w:hanging="420"/>
      </w:pPr>
    </w:lvl>
    <w:lvl w:ilvl="4" w:tentative="0">
      <w:start w:val="1"/>
      <w:numFmt w:val="lowerLetter"/>
      <w:lvlText w:val="%5)"/>
      <w:lvlJc w:val="left"/>
      <w:pPr>
        <w:tabs>
          <w:tab w:val="left" w:pos="2579"/>
        </w:tabs>
        <w:ind w:left="2579" w:hanging="420"/>
      </w:pPr>
    </w:lvl>
    <w:lvl w:ilvl="5" w:tentative="0">
      <w:start w:val="1"/>
      <w:numFmt w:val="lowerRoman"/>
      <w:lvlText w:val="%6."/>
      <w:lvlJc w:val="right"/>
      <w:pPr>
        <w:tabs>
          <w:tab w:val="left" w:pos="2999"/>
        </w:tabs>
        <w:ind w:left="2999" w:hanging="420"/>
      </w:pPr>
    </w:lvl>
    <w:lvl w:ilvl="6" w:tentative="0">
      <w:start w:val="1"/>
      <w:numFmt w:val="decimal"/>
      <w:lvlText w:val="%7."/>
      <w:lvlJc w:val="left"/>
      <w:pPr>
        <w:tabs>
          <w:tab w:val="left" w:pos="3419"/>
        </w:tabs>
        <w:ind w:left="3419" w:hanging="420"/>
      </w:pPr>
    </w:lvl>
    <w:lvl w:ilvl="7" w:tentative="0">
      <w:start w:val="1"/>
      <w:numFmt w:val="lowerLetter"/>
      <w:lvlText w:val="%8)"/>
      <w:lvlJc w:val="left"/>
      <w:pPr>
        <w:tabs>
          <w:tab w:val="left" w:pos="3839"/>
        </w:tabs>
        <w:ind w:left="3839" w:hanging="420"/>
      </w:pPr>
    </w:lvl>
    <w:lvl w:ilvl="8" w:tentative="0">
      <w:start w:val="1"/>
      <w:numFmt w:val="lowerRoman"/>
      <w:lvlText w:val="%9."/>
      <w:lvlJc w:val="right"/>
      <w:pPr>
        <w:tabs>
          <w:tab w:val="left" w:pos="4259"/>
        </w:tabs>
        <w:ind w:left="4259" w:hanging="420"/>
      </w:pPr>
    </w:lvl>
  </w:abstractNum>
  <w:abstractNum w:abstractNumId="22">
    <w:nsid w:val="60770529"/>
    <w:multiLevelType w:val="multilevel"/>
    <w:tmpl w:val="60770529"/>
    <w:lvl w:ilvl="0" w:tentative="0">
      <w:start w:val="1"/>
      <w:numFmt w:val="decimal"/>
      <w:suff w:val="space"/>
      <w:lvlText w:val="（%1）"/>
      <w:lvlJc w:val="left"/>
      <w:pPr>
        <w:ind w:left="0" w:firstLine="459"/>
      </w:pPr>
      <w:rPr>
        <w:rFonts w:hint="default" w:ascii="宋体" w:hAnsi="宋体" w:eastAsia="宋体" w:cs="宋体"/>
        <w:spacing w:val="-47"/>
        <w:w w:val="100"/>
        <w:sz w:val="24"/>
        <w:szCs w:val="24"/>
      </w:rPr>
    </w:lvl>
    <w:lvl w:ilvl="1" w:tentative="0">
      <w:start w:val="0"/>
      <w:numFmt w:val="bullet"/>
      <w:pStyle w:val="67"/>
      <w:lvlText w:val="•"/>
      <w:lvlJc w:val="left"/>
      <w:pPr>
        <w:ind w:left="2010" w:hanging="720"/>
      </w:pPr>
      <w:rPr>
        <w:rFonts w:hint="default"/>
      </w:rPr>
    </w:lvl>
    <w:lvl w:ilvl="2" w:tentative="0">
      <w:start w:val="0"/>
      <w:numFmt w:val="bullet"/>
      <w:pStyle w:val="66"/>
      <w:lvlText w:val="•"/>
      <w:lvlJc w:val="left"/>
      <w:pPr>
        <w:ind w:left="2814" w:hanging="720"/>
      </w:pPr>
      <w:rPr>
        <w:rFonts w:hint="default"/>
      </w:rPr>
    </w:lvl>
    <w:lvl w:ilvl="3" w:tentative="0">
      <w:start w:val="0"/>
      <w:numFmt w:val="bullet"/>
      <w:lvlText w:val="•"/>
      <w:lvlJc w:val="left"/>
      <w:pPr>
        <w:ind w:left="3619" w:hanging="720"/>
      </w:pPr>
      <w:rPr>
        <w:rFonts w:hint="default"/>
      </w:rPr>
    </w:lvl>
    <w:lvl w:ilvl="4" w:tentative="0">
      <w:start w:val="0"/>
      <w:numFmt w:val="bullet"/>
      <w:lvlText w:val="•"/>
      <w:lvlJc w:val="left"/>
      <w:pPr>
        <w:ind w:left="4423" w:hanging="720"/>
      </w:pPr>
      <w:rPr>
        <w:rFonts w:hint="default"/>
      </w:rPr>
    </w:lvl>
    <w:lvl w:ilvl="5" w:tentative="0">
      <w:start w:val="0"/>
      <w:numFmt w:val="bullet"/>
      <w:lvlText w:val="•"/>
      <w:lvlJc w:val="left"/>
      <w:pPr>
        <w:ind w:left="5228" w:hanging="720"/>
      </w:pPr>
      <w:rPr>
        <w:rFonts w:hint="default"/>
      </w:rPr>
    </w:lvl>
    <w:lvl w:ilvl="6" w:tentative="0">
      <w:start w:val="0"/>
      <w:numFmt w:val="bullet"/>
      <w:lvlText w:val="•"/>
      <w:lvlJc w:val="left"/>
      <w:pPr>
        <w:ind w:left="6032" w:hanging="720"/>
      </w:pPr>
      <w:rPr>
        <w:rFonts w:hint="default"/>
      </w:rPr>
    </w:lvl>
    <w:lvl w:ilvl="7" w:tentative="0">
      <w:start w:val="0"/>
      <w:numFmt w:val="bullet"/>
      <w:lvlText w:val="•"/>
      <w:lvlJc w:val="left"/>
      <w:pPr>
        <w:ind w:left="6837" w:hanging="720"/>
      </w:pPr>
      <w:rPr>
        <w:rFonts w:hint="default"/>
      </w:rPr>
    </w:lvl>
    <w:lvl w:ilvl="8" w:tentative="0">
      <w:start w:val="0"/>
      <w:numFmt w:val="bullet"/>
      <w:lvlText w:val="•"/>
      <w:lvlJc w:val="left"/>
      <w:pPr>
        <w:ind w:left="7641" w:hanging="720"/>
      </w:pPr>
      <w:rPr>
        <w:rFonts w:hint="default"/>
      </w:rPr>
    </w:lvl>
  </w:abstractNum>
  <w:abstractNum w:abstractNumId="23">
    <w:nsid w:val="61C2106A"/>
    <w:multiLevelType w:val="multilevel"/>
    <w:tmpl w:val="61C2106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BDA5BDF"/>
    <w:multiLevelType w:val="multilevel"/>
    <w:tmpl w:val="6BDA5BDF"/>
    <w:lvl w:ilvl="0" w:tentative="0">
      <w:start w:val="10"/>
      <w:numFmt w:val="decimal"/>
      <w:lvlText w:val="%1."/>
      <w:lvlJc w:val="center"/>
      <w:pPr>
        <w:ind w:left="86" w:hanging="420"/>
      </w:pPr>
      <w:rPr>
        <w:rFonts w:hint="eastAsia"/>
      </w:rPr>
    </w:lvl>
    <w:lvl w:ilvl="1" w:tentative="0">
      <w:start w:val="1"/>
      <w:numFmt w:val="lowerLetter"/>
      <w:lvlText w:val="%2)"/>
      <w:lvlJc w:val="left"/>
      <w:pPr>
        <w:ind w:left="506" w:hanging="420"/>
      </w:pPr>
    </w:lvl>
    <w:lvl w:ilvl="2" w:tentative="0">
      <w:start w:val="1"/>
      <w:numFmt w:val="lowerRoman"/>
      <w:lvlText w:val="%3."/>
      <w:lvlJc w:val="right"/>
      <w:pPr>
        <w:ind w:left="926" w:hanging="420"/>
      </w:pPr>
    </w:lvl>
    <w:lvl w:ilvl="3" w:tentative="0">
      <w:start w:val="1"/>
      <w:numFmt w:val="decimal"/>
      <w:lvlText w:val="%4."/>
      <w:lvlJc w:val="left"/>
      <w:pPr>
        <w:ind w:left="1346" w:hanging="420"/>
      </w:pPr>
    </w:lvl>
    <w:lvl w:ilvl="4" w:tentative="0">
      <w:start w:val="1"/>
      <w:numFmt w:val="lowerLetter"/>
      <w:lvlText w:val="%5)"/>
      <w:lvlJc w:val="left"/>
      <w:pPr>
        <w:ind w:left="1766" w:hanging="420"/>
      </w:pPr>
    </w:lvl>
    <w:lvl w:ilvl="5" w:tentative="0">
      <w:start w:val="1"/>
      <w:numFmt w:val="lowerRoman"/>
      <w:lvlText w:val="%6."/>
      <w:lvlJc w:val="right"/>
      <w:pPr>
        <w:ind w:left="2186" w:hanging="420"/>
      </w:pPr>
    </w:lvl>
    <w:lvl w:ilvl="6" w:tentative="0">
      <w:start w:val="1"/>
      <w:numFmt w:val="decimal"/>
      <w:lvlText w:val="%7."/>
      <w:lvlJc w:val="left"/>
      <w:pPr>
        <w:ind w:left="2606" w:hanging="420"/>
      </w:pPr>
    </w:lvl>
    <w:lvl w:ilvl="7" w:tentative="0">
      <w:start w:val="1"/>
      <w:numFmt w:val="lowerLetter"/>
      <w:lvlText w:val="%8)"/>
      <w:lvlJc w:val="left"/>
      <w:pPr>
        <w:ind w:left="3026" w:hanging="420"/>
      </w:pPr>
    </w:lvl>
    <w:lvl w:ilvl="8" w:tentative="0">
      <w:start w:val="1"/>
      <w:numFmt w:val="lowerRoman"/>
      <w:lvlText w:val="%9."/>
      <w:lvlJc w:val="right"/>
      <w:pPr>
        <w:ind w:left="3446" w:hanging="420"/>
      </w:pPr>
    </w:lvl>
  </w:abstractNum>
  <w:abstractNum w:abstractNumId="25">
    <w:nsid w:val="6F2C3D7B"/>
    <w:multiLevelType w:val="multilevel"/>
    <w:tmpl w:val="6F2C3D7B"/>
    <w:lvl w:ilvl="0" w:tentative="0">
      <w:start w:val="1"/>
      <w:numFmt w:val="decimal"/>
      <w:lvlText w:val="%1."/>
      <w:lvlJc w:val="left"/>
      <w:pPr>
        <w:ind w:left="420" w:hanging="420"/>
      </w:pPr>
    </w:lvl>
    <w:lvl w:ilvl="1" w:tentative="0">
      <w:start w:val="1"/>
      <w:numFmt w:val="japaneseCounting"/>
      <w:lvlText w:val="%2、"/>
      <w:lvlJc w:val="left"/>
      <w:pPr>
        <w:ind w:left="930" w:hanging="51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FC03AE0"/>
    <w:multiLevelType w:val="multilevel"/>
    <w:tmpl w:val="7FC03AE0"/>
    <w:lvl w:ilvl="0" w:tentative="0">
      <w:start w:val="1"/>
      <w:numFmt w:val="decimal"/>
      <w:pStyle w:val="70"/>
      <w:lvlText w:val="(%1)"/>
      <w:lvlJc w:val="left"/>
      <w:pPr>
        <w:ind w:left="1314" w:hanging="401"/>
      </w:pPr>
      <w:rPr>
        <w:rFonts w:hint="default" w:ascii="Times New Roman" w:hAnsi="Times New Roman" w:eastAsia="Times New Roman" w:cs="Times New Roman"/>
        <w:spacing w:val="-1"/>
        <w:w w:val="99"/>
        <w:sz w:val="24"/>
        <w:szCs w:val="24"/>
      </w:rPr>
    </w:lvl>
    <w:lvl w:ilvl="1" w:tentative="0">
      <w:start w:val="0"/>
      <w:numFmt w:val="bullet"/>
      <w:lvlText w:val="•"/>
      <w:lvlJc w:val="left"/>
      <w:pPr>
        <w:ind w:left="2158" w:hanging="401"/>
      </w:pPr>
      <w:rPr>
        <w:rFonts w:hint="default"/>
      </w:rPr>
    </w:lvl>
    <w:lvl w:ilvl="2" w:tentative="0">
      <w:start w:val="0"/>
      <w:numFmt w:val="bullet"/>
      <w:lvlText w:val="•"/>
      <w:lvlJc w:val="left"/>
      <w:pPr>
        <w:ind w:left="2996" w:hanging="401"/>
      </w:pPr>
      <w:rPr>
        <w:rFonts w:hint="default"/>
      </w:rPr>
    </w:lvl>
    <w:lvl w:ilvl="3" w:tentative="0">
      <w:start w:val="0"/>
      <w:numFmt w:val="bullet"/>
      <w:lvlText w:val="•"/>
      <w:lvlJc w:val="left"/>
      <w:pPr>
        <w:ind w:left="3835" w:hanging="401"/>
      </w:pPr>
      <w:rPr>
        <w:rFonts w:hint="default"/>
      </w:rPr>
    </w:lvl>
    <w:lvl w:ilvl="4" w:tentative="0">
      <w:start w:val="0"/>
      <w:numFmt w:val="bullet"/>
      <w:lvlText w:val="•"/>
      <w:lvlJc w:val="left"/>
      <w:pPr>
        <w:ind w:left="4673" w:hanging="401"/>
      </w:pPr>
      <w:rPr>
        <w:rFonts w:hint="default"/>
      </w:rPr>
    </w:lvl>
    <w:lvl w:ilvl="5" w:tentative="0">
      <w:start w:val="0"/>
      <w:numFmt w:val="bullet"/>
      <w:lvlText w:val="•"/>
      <w:lvlJc w:val="left"/>
      <w:pPr>
        <w:ind w:left="5512" w:hanging="401"/>
      </w:pPr>
      <w:rPr>
        <w:rFonts w:hint="default"/>
      </w:rPr>
    </w:lvl>
    <w:lvl w:ilvl="6" w:tentative="0">
      <w:start w:val="0"/>
      <w:numFmt w:val="bullet"/>
      <w:lvlText w:val="•"/>
      <w:lvlJc w:val="left"/>
      <w:pPr>
        <w:ind w:left="6350" w:hanging="401"/>
      </w:pPr>
      <w:rPr>
        <w:rFonts w:hint="default"/>
      </w:rPr>
    </w:lvl>
    <w:lvl w:ilvl="7" w:tentative="0">
      <w:start w:val="0"/>
      <w:numFmt w:val="bullet"/>
      <w:lvlText w:val="•"/>
      <w:lvlJc w:val="left"/>
      <w:pPr>
        <w:ind w:left="7189" w:hanging="401"/>
      </w:pPr>
      <w:rPr>
        <w:rFonts w:hint="default"/>
      </w:rPr>
    </w:lvl>
    <w:lvl w:ilvl="8" w:tentative="0">
      <w:start w:val="0"/>
      <w:numFmt w:val="bullet"/>
      <w:lvlText w:val="•"/>
      <w:lvlJc w:val="left"/>
      <w:pPr>
        <w:ind w:left="8027" w:hanging="401"/>
      </w:pPr>
      <w:rPr>
        <w:rFonts w:hint="default"/>
      </w:rPr>
    </w:lvl>
  </w:abstractNum>
  <w:num w:numId="1">
    <w:abstractNumId w:val="22"/>
  </w:num>
  <w:num w:numId="2">
    <w:abstractNumId w:val="26"/>
  </w:num>
  <w:num w:numId="3">
    <w:abstractNumId w:val="6"/>
  </w:num>
  <w:num w:numId="4">
    <w:abstractNumId w:val="18"/>
  </w:num>
  <w:num w:numId="5">
    <w:abstractNumId w:val="8"/>
  </w:num>
  <w:num w:numId="6">
    <w:abstractNumId w:val="2"/>
  </w:num>
  <w:num w:numId="7">
    <w:abstractNumId w:val="12"/>
  </w:num>
  <w:num w:numId="8">
    <w:abstractNumId w:val="14"/>
  </w:num>
  <w:num w:numId="9">
    <w:abstractNumId w:val="25"/>
  </w:num>
  <w:num w:numId="10">
    <w:abstractNumId w:val="3"/>
  </w:num>
  <w:num w:numId="11">
    <w:abstractNumId w:val="4"/>
  </w:num>
  <w:num w:numId="12">
    <w:abstractNumId w:val="1"/>
  </w:num>
  <w:num w:numId="13">
    <w:abstractNumId w:val="17"/>
  </w:num>
  <w:num w:numId="14">
    <w:abstractNumId w:val="19"/>
  </w:num>
  <w:num w:numId="15">
    <w:abstractNumId w:val="10"/>
  </w:num>
  <w:num w:numId="16">
    <w:abstractNumId w:val="7"/>
  </w:num>
  <w:num w:numId="17">
    <w:abstractNumId w:val="11"/>
  </w:num>
  <w:num w:numId="18">
    <w:abstractNumId w:val="5"/>
  </w:num>
  <w:num w:numId="19">
    <w:abstractNumId w:val="20"/>
  </w:num>
  <w:num w:numId="20">
    <w:abstractNumId w:val="21"/>
  </w:num>
  <w:num w:numId="21">
    <w:abstractNumId w:val="0"/>
  </w:num>
  <w:num w:numId="22">
    <w:abstractNumId w:val="23"/>
  </w:num>
  <w:num w:numId="23">
    <w:abstractNumId w:val="16"/>
  </w:num>
  <w:num w:numId="24">
    <w:abstractNumId w:val="24"/>
  </w:num>
  <w:num w:numId="25">
    <w:abstractNumId w:val="15"/>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719"/>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C2"/>
    <w:rsid w:val="00001055"/>
    <w:rsid w:val="00001117"/>
    <w:rsid w:val="000013B0"/>
    <w:rsid w:val="00001E5D"/>
    <w:rsid w:val="00002432"/>
    <w:rsid w:val="0000448E"/>
    <w:rsid w:val="0000530A"/>
    <w:rsid w:val="00005E54"/>
    <w:rsid w:val="00006BA1"/>
    <w:rsid w:val="00010370"/>
    <w:rsid w:val="000105B1"/>
    <w:rsid w:val="000109CA"/>
    <w:rsid w:val="00011C9C"/>
    <w:rsid w:val="0001493D"/>
    <w:rsid w:val="0001531D"/>
    <w:rsid w:val="0001690D"/>
    <w:rsid w:val="00016E5E"/>
    <w:rsid w:val="00021328"/>
    <w:rsid w:val="00021A9E"/>
    <w:rsid w:val="00023B35"/>
    <w:rsid w:val="000242CE"/>
    <w:rsid w:val="000249FF"/>
    <w:rsid w:val="00025247"/>
    <w:rsid w:val="00030F7D"/>
    <w:rsid w:val="00031771"/>
    <w:rsid w:val="00034896"/>
    <w:rsid w:val="0003499A"/>
    <w:rsid w:val="000367DD"/>
    <w:rsid w:val="00036AC6"/>
    <w:rsid w:val="00036F29"/>
    <w:rsid w:val="00037E40"/>
    <w:rsid w:val="00040110"/>
    <w:rsid w:val="0004056D"/>
    <w:rsid w:val="00041278"/>
    <w:rsid w:val="0004264E"/>
    <w:rsid w:val="0004297E"/>
    <w:rsid w:val="00042E9B"/>
    <w:rsid w:val="000465C4"/>
    <w:rsid w:val="000468F2"/>
    <w:rsid w:val="0005011D"/>
    <w:rsid w:val="000506E4"/>
    <w:rsid w:val="00052BB7"/>
    <w:rsid w:val="00054469"/>
    <w:rsid w:val="00061630"/>
    <w:rsid w:val="000645B4"/>
    <w:rsid w:val="00065455"/>
    <w:rsid w:val="00065A9F"/>
    <w:rsid w:val="00065F82"/>
    <w:rsid w:val="0006697D"/>
    <w:rsid w:val="00066E7D"/>
    <w:rsid w:val="000723E8"/>
    <w:rsid w:val="00073A10"/>
    <w:rsid w:val="0007400D"/>
    <w:rsid w:val="00077146"/>
    <w:rsid w:val="0008156E"/>
    <w:rsid w:val="000834B4"/>
    <w:rsid w:val="00084529"/>
    <w:rsid w:val="00090713"/>
    <w:rsid w:val="00093404"/>
    <w:rsid w:val="00094AF9"/>
    <w:rsid w:val="00094F34"/>
    <w:rsid w:val="000978F9"/>
    <w:rsid w:val="000A26F5"/>
    <w:rsid w:val="000A3318"/>
    <w:rsid w:val="000A5391"/>
    <w:rsid w:val="000A6C4B"/>
    <w:rsid w:val="000B0956"/>
    <w:rsid w:val="000B15CA"/>
    <w:rsid w:val="000B4852"/>
    <w:rsid w:val="000B49FC"/>
    <w:rsid w:val="000B5641"/>
    <w:rsid w:val="000B58A6"/>
    <w:rsid w:val="000B6434"/>
    <w:rsid w:val="000B6C89"/>
    <w:rsid w:val="000B76A1"/>
    <w:rsid w:val="000C3706"/>
    <w:rsid w:val="000C39D2"/>
    <w:rsid w:val="000C3C1A"/>
    <w:rsid w:val="000C474E"/>
    <w:rsid w:val="000D2AA3"/>
    <w:rsid w:val="000D31C7"/>
    <w:rsid w:val="000D7DEC"/>
    <w:rsid w:val="000E4E71"/>
    <w:rsid w:val="000E55E8"/>
    <w:rsid w:val="000E5D26"/>
    <w:rsid w:val="000E71CE"/>
    <w:rsid w:val="000F127A"/>
    <w:rsid w:val="000F4251"/>
    <w:rsid w:val="000F4C9F"/>
    <w:rsid w:val="000F58F6"/>
    <w:rsid w:val="00100669"/>
    <w:rsid w:val="00100AF6"/>
    <w:rsid w:val="0010250B"/>
    <w:rsid w:val="0010252E"/>
    <w:rsid w:val="00103DDF"/>
    <w:rsid w:val="00104ABB"/>
    <w:rsid w:val="00107CD1"/>
    <w:rsid w:val="00111B7E"/>
    <w:rsid w:val="0011247D"/>
    <w:rsid w:val="0011444C"/>
    <w:rsid w:val="00114553"/>
    <w:rsid w:val="00116566"/>
    <w:rsid w:val="0011733A"/>
    <w:rsid w:val="0012473B"/>
    <w:rsid w:val="00125128"/>
    <w:rsid w:val="0012576B"/>
    <w:rsid w:val="00132A37"/>
    <w:rsid w:val="0013525C"/>
    <w:rsid w:val="001362D3"/>
    <w:rsid w:val="00136418"/>
    <w:rsid w:val="00137E93"/>
    <w:rsid w:val="0014036A"/>
    <w:rsid w:val="00140FCA"/>
    <w:rsid w:val="001415B8"/>
    <w:rsid w:val="0014181A"/>
    <w:rsid w:val="0014314B"/>
    <w:rsid w:val="00144E17"/>
    <w:rsid w:val="00145145"/>
    <w:rsid w:val="001456C7"/>
    <w:rsid w:val="001470E1"/>
    <w:rsid w:val="0014711E"/>
    <w:rsid w:val="00147FC7"/>
    <w:rsid w:val="00150265"/>
    <w:rsid w:val="00150598"/>
    <w:rsid w:val="001511AA"/>
    <w:rsid w:val="001520B1"/>
    <w:rsid w:val="00153526"/>
    <w:rsid w:val="00155895"/>
    <w:rsid w:val="001559F4"/>
    <w:rsid w:val="00155F4B"/>
    <w:rsid w:val="001563D3"/>
    <w:rsid w:val="001568C4"/>
    <w:rsid w:val="001575BE"/>
    <w:rsid w:val="00160A39"/>
    <w:rsid w:val="00165327"/>
    <w:rsid w:val="001656EB"/>
    <w:rsid w:val="0016592B"/>
    <w:rsid w:val="001664FC"/>
    <w:rsid w:val="00170C34"/>
    <w:rsid w:val="00171B67"/>
    <w:rsid w:val="00173185"/>
    <w:rsid w:val="00174B45"/>
    <w:rsid w:val="00176765"/>
    <w:rsid w:val="00181C82"/>
    <w:rsid w:val="00182D9E"/>
    <w:rsid w:val="00184E07"/>
    <w:rsid w:val="0019551C"/>
    <w:rsid w:val="001A06F2"/>
    <w:rsid w:val="001A342F"/>
    <w:rsid w:val="001A45BA"/>
    <w:rsid w:val="001A68C1"/>
    <w:rsid w:val="001A7F28"/>
    <w:rsid w:val="001B02FB"/>
    <w:rsid w:val="001B1DDD"/>
    <w:rsid w:val="001B1F61"/>
    <w:rsid w:val="001B219B"/>
    <w:rsid w:val="001B5A0A"/>
    <w:rsid w:val="001B6389"/>
    <w:rsid w:val="001B6C23"/>
    <w:rsid w:val="001B6E39"/>
    <w:rsid w:val="001C1F4C"/>
    <w:rsid w:val="001C23D9"/>
    <w:rsid w:val="001C2575"/>
    <w:rsid w:val="001C2C03"/>
    <w:rsid w:val="001C2F7C"/>
    <w:rsid w:val="001C365C"/>
    <w:rsid w:val="001C5B9E"/>
    <w:rsid w:val="001D0F98"/>
    <w:rsid w:val="001D1143"/>
    <w:rsid w:val="001D45A3"/>
    <w:rsid w:val="001D4AC2"/>
    <w:rsid w:val="001D6004"/>
    <w:rsid w:val="001E0609"/>
    <w:rsid w:val="001E1C80"/>
    <w:rsid w:val="001E22FC"/>
    <w:rsid w:val="001E4728"/>
    <w:rsid w:val="001E6A05"/>
    <w:rsid w:val="001F03D5"/>
    <w:rsid w:val="001F1ACC"/>
    <w:rsid w:val="001F1AE9"/>
    <w:rsid w:val="001F27DD"/>
    <w:rsid w:val="001F2D3B"/>
    <w:rsid w:val="001F3E8D"/>
    <w:rsid w:val="001F5243"/>
    <w:rsid w:val="001F5815"/>
    <w:rsid w:val="001F6371"/>
    <w:rsid w:val="001F694A"/>
    <w:rsid w:val="001F6ABD"/>
    <w:rsid w:val="00201553"/>
    <w:rsid w:val="00201846"/>
    <w:rsid w:val="002031D4"/>
    <w:rsid w:val="00204A05"/>
    <w:rsid w:val="00205398"/>
    <w:rsid w:val="0020604D"/>
    <w:rsid w:val="0020734B"/>
    <w:rsid w:val="00207569"/>
    <w:rsid w:val="00207ED3"/>
    <w:rsid w:val="002121F8"/>
    <w:rsid w:val="00216074"/>
    <w:rsid w:val="00222116"/>
    <w:rsid w:val="00223051"/>
    <w:rsid w:val="00224765"/>
    <w:rsid w:val="002274E7"/>
    <w:rsid w:val="00230042"/>
    <w:rsid w:val="002302FD"/>
    <w:rsid w:val="002315E2"/>
    <w:rsid w:val="00232A1D"/>
    <w:rsid w:val="002365ED"/>
    <w:rsid w:val="00236769"/>
    <w:rsid w:val="002374B4"/>
    <w:rsid w:val="002402D4"/>
    <w:rsid w:val="002419B7"/>
    <w:rsid w:val="002422D9"/>
    <w:rsid w:val="0024349F"/>
    <w:rsid w:val="002449CD"/>
    <w:rsid w:val="00250794"/>
    <w:rsid w:val="00253CB7"/>
    <w:rsid w:val="00256DDD"/>
    <w:rsid w:val="00260278"/>
    <w:rsid w:val="00262D5B"/>
    <w:rsid w:val="002632C2"/>
    <w:rsid w:val="00263360"/>
    <w:rsid w:val="00265ABA"/>
    <w:rsid w:val="00266C35"/>
    <w:rsid w:val="002677FA"/>
    <w:rsid w:val="00270AC9"/>
    <w:rsid w:val="00270F1C"/>
    <w:rsid w:val="00271202"/>
    <w:rsid w:val="00272960"/>
    <w:rsid w:val="00273E22"/>
    <w:rsid w:val="002749BE"/>
    <w:rsid w:val="00275CFB"/>
    <w:rsid w:val="002813E1"/>
    <w:rsid w:val="00281D25"/>
    <w:rsid w:val="00282A37"/>
    <w:rsid w:val="00285DEB"/>
    <w:rsid w:val="00285E8B"/>
    <w:rsid w:val="00287ADA"/>
    <w:rsid w:val="00293785"/>
    <w:rsid w:val="0029382A"/>
    <w:rsid w:val="002948B0"/>
    <w:rsid w:val="00294AC3"/>
    <w:rsid w:val="00295209"/>
    <w:rsid w:val="00295B93"/>
    <w:rsid w:val="0029617F"/>
    <w:rsid w:val="00297BD0"/>
    <w:rsid w:val="002A0FE1"/>
    <w:rsid w:val="002A2296"/>
    <w:rsid w:val="002A2A65"/>
    <w:rsid w:val="002A4B07"/>
    <w:rsid w:val="002A4C73"/>
    <w:rsid w:val="002A505F"/>
    <w:rsid w:val="002A5EF4"/>
    <w:rsid w:val="002B0E5E"/>
    <w:rsid w:val="002B2239"/>
    <w:rsid w:val="002C1C32"/>
    <w:rsid w:val="002C1DB6"/>
    <w:rsid w:val="002C323A"/>
    <w:rsid w:val="002C568E"/>
    <w:rsid w:val="002D038C"/>
    <w:rsid w:val="002D08B8"/>
    <w:rsid w:val="002D29A7"/>
    <w:rsid w:val="002D701C"/>
    <w:rsid w:val="002E04CE"/>
    <w:rsid w:val="002E0FCF"/>
    <w:rsid w:val="002E2491"/>
    <w:rsid w:val="002E4061"/>
    <w:rsid w:val="002E6444"/>
    <w:rsid w:val="002E74F6"/>
    <w:rsid w:val="002E7A58"/>
    <w:rsid w:val="002E7AD7"/>
    <w:rsid w:val="002F3452"/>
    <w:rsid w:val="002F4D15"/>
    <w:rsid w:val="002F6024"/>
    <w:rsid w:val="002F6363"/>
    <w:rsid w:val="002F6518"/>
    <w:rsid w:val="002F69C2"/>
    <w:rsid w:val="0030040C"/>
    <w:rsid w:val="00300BBC"/>
    <w:rsid w:val="00302055"/>
    <w:rsid w:val="00302936"/>
    <w:rsid w:val="00306AF0"/>
    <w:rsid w:val="003102C6"/>
    <w:rsid w:val="00311106"/>
    <w:rsid w:val="00311BF5"/>
    <w:rsid w:val="00311D1F"/>
    <w:rsid w:val="00312537"/>
    <w:rsid w:val="00315171"/>
    <w:rsid w:val="003161F1"/>
    <w:rsid w:val="00316A73"/>
    <w:rsid w:val="003202A6"/>
    <w:rsid w:val="00321A8C"/>
    <w:rsid w:val="0032207B"/>
    <w:rsid w:val="00324501"/>
    <w:rsid w:val="00324C3C"/>
    <w:rsid w:val="00326166"/>
    <w:rsid w:val="003275CE"/>
    <w:rsid w:val="003301FC"/>
    <w:rsid w:val="003314C7"/>
    <w:rsid w:val="00333542"/>
    <w:rsid w:val="00335C1D"/>
    <w:rsid w:val="00336F63"/>
    <w:rsid w:val="00337906"/>
    <w:rsid w:val="003379B5"/>
    <w:rsid w:val="003410A1"/>
    <w:rsid w:val="0034149A"/>
    <w:rsid w:val="003421E1"/>
    <w:rsid w:val="00351223"/>
    <w:rsid w:val="0035177E"/>
    <w:rsid w:val="00351A59"/>
    <w:rsid w:val="00351D2D"/>
    <w:rsid w:val="003573E3"/>
    <w:rsid w:val="00357B9B"/>
    <w:rsid w:val="00357F2D"/>
    <w:rsid w:val="003634AA"/>
    <w:rsid w:val="00364B09"/>
    <w:rsid w:val="003675CE"/>
    <w:rsid w:val="00370BCA"/>
    <w:rsid w:val="00370EFB"/>
    <w:rsid w:val="00375E3B"/>
    <w:rsid w:val="00375EFC"/>
    <w:rsid w:val="0037655E"/>
    <w:rsid w:val="00383872"/>
    <w:rsid w:val="00384B56"/>
    <w:rsid w:val="003854E0"/>
    <w:rsid w:val="00386A69"/>
    <w:rsid w:val="00387D12"/>
    <w:rsid w:val="00392DAB"/>
    <w:rsid w:val="003937B5"/>
    <w:rsid w:val="0039381B"/>
    <w:rsid w:val="00396672"/>
    <w:rsid w:val="003A07D8"/>
    <w:rsid w:val="003A0A22"/>
    <w:rsid w:val="003A4483"/>
    <w:rsid w:val="003A49B1"/>
    <w:rsid w:val="003A7110"/>
    <w:rsid w:val="003B08D9"/>
    <w:rsid w:val="003B303A"/>
    <w:rsid w:val="003B58AA"/>
    <w:rsid w:val="003C2901"/>
    <w:rsid w:val="003C4388"/>
    <w:rsid w:val="003C6256"/>
    <w:rsid w:val="003C6B34"/>
    <w:rsid w:val="003C6DD4"/>
    <w:rsid w:val="003C7B14"/>
    <w:rsid w:val="003D0FE9"/>
    <w:rsid w:val="003D20C0"/>
    <w:rsid w:val="003D2CE3"/>
    <w:rsid w:val="003D2DED"/>
    <w:rsid w:val="003D4EC1"/>
    <w:rsid w:val="003D5AC8"/>
    <w:rsid w:val="003D654C"/>
    <w:rsid w:val="003D6632"/>
    <w:rsid w:val="003D7CF5"/>
    <w:rsid w:val="003E0CFA"/>
    <w:rsid w:val="003E254C"/>
    <w:rsid w:val="003E4531"/>
    <w:rsid w:val="003E4C17"/>
    <w:rsid w:val="003E4EBD"/>
    <w:rsid w:val="003E632B"/>
    <w:rsid w:val="003E7C75"/>
    <w:rsid w:val="003F4D52"/>
    <w:rsid w:val="003F7C32"/>
    <w:rsid w:val="00402682"/>
    <w:rsid w:val="004026B5"/>
    <w:rsid w:val="0040450F"/>
    <w:rsid w:val="004047C2"/>
    <w:rsid w:val="00404D2E"/>
    <w:rsid w:val="004054C5"/>
    <w:rsid w:val="004062DD"/>
    <w:rsid w:val="00410E0A"/>
    <w:rsid w:val="004123DD"/>
    <w:rsid w:val="004158C3"/>
    <w:rsid w:val="004177D4"/>
    <w:rsid w:val="00417E04"/>
    <w:rsid w:val="00423327"/>
    <w:rsid w:val="00424232"/>
    <w:rsid w:val="0042553A"/>
    <w:rsid w:val="00425900"/>
    <w:rsid w:val="00425B77"/>
    <w:rsid w:val="004310AD"/>
    <w:rsid w:val="004332D5"/>
    <w:rsid w:val="00434E69"/>
    <w:rsid w:val="00436524"/>
    <w:rsid w:val="00436770"/>
    <w:rsid w:val="00436E52"/>
    <w:rsid w:val="00436ECB"/>
    <w:rsid w:val="00437773"/>
    <w:rsid w:val="00440E0F"/>
    <w:rsid w:val="00442363"/>
    <w:rsid w:val="00442488"/>
    <w:rsid w:val="0044333C"/>
    <w:rsid w:val="00443806"/>
    <w:rsid w:val="00443E72"/>
    <w:rsid w:val="00443F89"/>
    <w:rsid w:val="00444025"/>
    <w:rsid w:val="00444618"/>
    <w:rsid w:val="00444D2D"/>
    <w:rsid w:val="004463E5"/>
    <w:rsid w:val="00450240"/>
    <w:rsid w:val="00451424"/>
    <w:rsid w:val="004541D4"/>
    <w:rsid w:val="00454A5E"/>
    <w:rsid w:val="004556E8"/>
    <w:rsid w:val="0045628D"/>
    <w:rsid w:val="004565B2"/>
    <w:rsid w:val="004570FD"/>
    <w:rsid w:val="00461D33"/>
    <w:rsid w:val="004629D4"/>
    <w:rsid w:val="00462CAB"/>
    <w:rsid w:val="00462ED3"/>
    <w:rsid w:val="00463FF4"/>
    <w:rsid w:val="004647CA"/>
    <w:rsid w:val="004648D7"/>
    <w:rsid w:val="0046492E"/>
    <w:rsid w:val="00464B15"/>
    <w:rsid w:val="00466B0E"/>
    <w:rsid w:val="00467216"/>
    <w:rsid w:val="00472E9F"/>
    <w:rsid w:val="00474488"/>
    <w:rsid w:val="0047521D"/>
    <w:rsid w:val="00475346"/>
    <w:rsid w:val="00477EAD"/>
    <w:rsid w:val="004816E4"/>
    <w:rsid w:val="00483363"/>
    <w:rsid w:val="00483B25"/>
    <w:rsid w:val="00484A69"/>
    <w:rsid w:val="004859CF"/>
    <w:rsid w:val="00486218"/>
    <w:rsid w:val="00487351"/>
    <w:rsid w:val="00487E80"/>
    <w:rsid w:val="004932CE"/>
    <w:rsid w:val="00495054"/>
    <w:rsid w:val="00495805"/>
    <w:rsid w:val="004969AB"/>
    <w:rsid w:val="004974BE"/>
    <w:rsid w:val="00497D37"/>
    <w:rsid w:val="004A18AE"/>
    <w:rsid w:val="004A31F8"/>
    <w:rsid w:val="004A57BD"/>
    <w:rsid w:val="004A58DA"/>
    <w:rsid w:val="004A6359"/>
    <w:rsid w:val="004A7057"/>
    <w:rsid w:val="004B03F8"/>
    <w:rsid w:val="004B0807"/>
    <w:rsid w:val="004B21A2"/>
    <w:rsid w:val="004B2BF8"/>
    <w:rsid w:val="004B5804"/>
    <w:rsid w:val="004B6676"/>
    <w:rsid w:val="004B6993"/>
    <w:rsid w:val="004B7E95"/>
    <w:rsid w:val="004C1C85"/>
    <w:rsid w:val="004C3097"/>
    <w:rsid w:val="004C5B69"/>
    <w:rsid w:val="004C7012"/>
    <w:rsid w:val="004C722B"/>
    <w:rsid w:val="004D146E"/>
    <w:rsid w:val="004D2E8C"/>
    <w:rsid w:val="004D30AE"/>
    <w:rsid w:val="004D7E93"/>
    <w:rsid w:val="004E0159"/>
    <w:rsid w:val="004E0954"/>
    <w:rsid w:val="004E318D"/>
    <w:rsid w:val="004E6F60"/>
    <w:rsid w:val="004E7839"/>
    <w:rsid w:val="004F029F"/>
    <w:rsid w:val="004F25E3"/>
    <w:rsid w:val="004F2CDA"/>
    <w:rsid w:val="004F41A2"/>
    <w:rsid w:val="004F7493"/>
    <w:rsid w:val="0050002B"/>
    <w:rsid w:val="005002CB"/>
    <w:rsid w:val="00503CDA"/>
    <w:rsid w:val="00504C90"/>
    <w:rsid w:val="00505277"/>
    <w:rsid w:val="00505D74"/>
    <w:rsid w:val="005063AA"/>
    <w:rsid w:val="005072CF"/>
    <w:rsid w:val="005100E6"/>
    <w:rsid w:val="00510601"/>
    <w:rsid w:val="005129EE"/>
    <w:rsid w:val="0051332B"/>
    <w:rsid w:val="00513709"/>
    <w:rsid w:val="00520A53"/>
    <w:rsid w:val="005228DE"/>
    <w:rsid w:val="00522F23"/>
    <w:rsid w:val="00523905"/>
    <w:rsid w:val="00524786"/>
    <w:rsid w:val="00526502"/>
    <w:rsid w:val="00527176"/>
    <w:rsid w:val="0053290E"/>
    <w:rsid w:val="005347CF"/>
    <w:rsid w:val="00535BC1"/>
    <w:rsid w:val="00536FEB"/>
    <w:rsid w:val="00542942"/>
    <w:rsid w:val="00542E0A"/>
    <w:rsid w:val="00543110"/>
    <w:rsid w:val="005446AB"/>
    <w:rsid w:val="00546CE6"/>
    <w:rsid w:val="0054789E"/>
    <w:rsid w:val="005506E9"/>
    <w:rsid w:val="00551A05"/>
    <w:rsid w:val="00553D65"/>
    <w:rsid w:val="0055459C"/>
    <w:rsid w:val="005565DE"/>
    <w:rsid w:val="00557E80"/>
    <w:rsid w:val="00560F77"/>
    <w:rsid w:val="0056100A"/>
    <w:rsid w:val="00561A3B"/>
    <w:rsid w:val="00561F4F"/>
    <w:rsid w:val="00562CD1"/>
    <w:rsid w:val="005636B6"/>
    <w:rsid w:val="00567D1B"/>
    <w:rsid w:val="0057163C"/>
    <w:rsid w:val="00571CB8"/>
    <w:rsid w:val="00572207"/>
    <w:rsid w:val="0057299D"/>
    <w:rsid w:val="00572F21"/>
    <w:rsid w:val="0057469D"/>
    <w:rsid w:val="00574D47"/>
    <w:rsid w:val="00577CB4"/>
    <w:rsid w:val="0058255B"/>
    <w:rsid w:val="00584D4E"/>
    <w:rsid w:val="0058616F"/>
    <w:rsid w:val="00590AD2"/>
    <w:rsid w:val="00590F1E"/>
    <w:rsid w:val="00591E07"/>
    <w:rsid w:val="00592751"/>
    <w:rsid w:val="00594704"/>
    <w:rsid w:val="0059493A"/>
    <w:rsid w:val="00594B75"/>
    <w:rsid w:val="005954F6"/>
    <w:rsid w:val="00596485"/>
    <w:rsid w:val="005974EB"/>
    <w:rsid w:val="00597DA4"/>
    <w:rsid w:val="005A0378"/>
    <w:rsid w:val="005A1F0F"/>
    <w:rsid w:val="005A366C"/>
    <w:rsid w:val="005A5F31"/>
    <w:rsid w:val="005A6EEE"/>
    <w:rsid w:val="005A6FB5"/>
    <w:rsid w:val="005B019F"/>
    <w:rsid w:val="005B0F3F"/>
    <w:rsid w:val="005B0F9B"/>
    <w:rsid w:val="005B2BC2"/>
    <w:rsid w:val="005B5D4C"/>
    <w:rsid w:val="005C021D"/>
    <w:rsid w:val="005C043C"/>
    <w:rsid w:val="005C1F19"/>
    <w:rsid w:val="005C3B37"/>
    <w:rsid w:val="005C401F"/>
    <w:rsid w:val="005C46E4"/>
    <w:rsid w:val="005C485E"/>
    <w:rsid w:val="005C486F"/>
    <w:rsid w:val="005C73B3"/>
    <w:rsid w:val="005D0922"/>
    <w:rsid w:val="005D098B"/>
    <w:rsid w:val="005D1950"/>
    <w:rsid w:val="005D3FF5"/>
    <w:rsid w:val="005D456F"/>
    <w:rsid w:val="005E0CB7"/>
    <w:rsid w:val="005E14E0"/>
    <w:rsid w:val="005E49A1"/>
    <w:rsid w:val="005E5AD5"/>
    <w:rsid w:val="005F17E6"/>
    <w:rsid w:val="005F20A0"/>
    <w:rsid w:val="005F25D6"/>
    <w:rsid w:val="005F296D"/>
    <w:rsid w:val="005F3650"/>
    <w:rsid w:val="005F3F89"/>
    <w:rsid w:val="005F3FF4"/>
    <w:rsid w:val="005F44FA"/>
    <w:rsid w:val="005F4BDC"/>
    <w:rsid w:val="005F4F38"/>
    <w:rsid w:val="005F537D"/>
    <w:rsid w:val="005F59B7"/>
    <w:rsid w:val="005F5BED"/>
    <w:rsid w:val="005F5DFD"/>
    <w:rsid w:val="005F5FCD"/>
    <w:rsid w:val="006013B9"/>
    <w:rsid w:val="00601771"/>
    <w:rsid w:val="006038FC"/>
    <w:rsid w:val="00603EB2"/>
    <w:rsid w:val="00604613"/>
    <w:rsid w:val="006063F1"/>
    <w:rsid w:val="00607B27"/>
    <w:rsid w:val="00607B63"/>
    <w:rsid w:val="0061055B"/>
    <w:rsid w:val="006117BE"/>
    <w:rsid w:val="006119FB"/>
    <w:rsid w:val="0061444D"/>
    <w:rsid w:val="0061466F"/>
    <w:rsid w:val="00614B86"/>
    <w:rsid w:val="00615401"/>
    <w:rsid w:val="00615F3A"/>
    <w:rsid w:val="006168CA"/>
    <w:rsid w:val="00617215"/>
    <w:rsid w:val="00620E4F"/>
    <w:rsid w:val="00623181"/>
    <w:rsid w:val="00623E68"/>
    <w:rsid w:val="00623EB1"/>
    <w:rsid w:val="00625BD0"/>
    <w:rsid w:val="0062612C"/>
    <w:rsid w:val="00627321"/>
    <w:rsid w:val="006277F0"/>
    <w:rsid w:val="00627FF8"/>
    <w:rsid w:val="00631DA8"/>
    <w:rsid w:val="00635CCB"/>
    <w:rsid w:val="00635DD3"/>
    <w:rsid w:val="0063772B"/>
    <w:rsid w:val="0064076D"/>
    <w:rsid w:val="00640ADE"/>
    <w:rsid w:val="0064126E"/>
    <w:rsid w:val="00642B6E"/>
    <w:rsid w:val="00646427"/>
    <w:rsid w:val="00646E60"/>
    <w:rsid w:val="006476C9"/>
    <w:rsid w:val="006519DE"/>
    <w:rsid w:val="0065217C"/>
    <w:rsid w:val="006554BE"/>
    <w:rsid w:val="00655534"/>
    <w:rsid w:val="006568EB"/>
    <w:rsid w:val="00657165"/>
    <w:rsid w:val="0065726C"/>
    <w:rsid w:val="00657C05"/>
    <w:rsid w:val="00661C79"/>
    <w:rsid w:val="00663434"/>
    <w:rsid w:val="00663A64"/>
    <w:rsid w:val="00667250"/>
    <w:rsid w:val="006710F8"/>
    <w:rsid w:val="00674531"/>
    <w:rsid w:val="006753CB"/>
    <w:rsid w:val="00676006"/>
    <w:rsid w:val="00676150"/>
    <w:rsid w:val="006769D6"/>
    <w:rsid w:val="0067709C"/>
    <w:rsid w:val="00681108"/>
    <w:rsid w:val="006815D3"/>
    <w:rsid w:val="00682472"/>
    <w:rsid w:val="006832F7"/>
    <w:rsid w:val="0068452E"/>
    <w:rsid w:val="0068500C"/>
    <w:rsid w:val="00685839"/>
    <w:rsid w:val="00685E4B"/>
    <w:rsid w:val="0068682A"/>
    <w:rsid w:val="00687343"/>
    <w:rsid w:val="0069015F"/>
    <w:rsid w:val="0069258C"/>
    <w:rsid w:val="00693CDA"/>
    <w:rsid w:val="00694606"/>
    <w:rsid w:val="00694CBB"/>
    <w:rsid w:val="006959CB"/>
    <w:rsid w:val="00696BF5"/>
    <w:rsid w:val="006A1139"/>
    <w:rsid w:val="006A3FFC"/>
    <w:rsid w:val="006A4007"/>
    <w:rsid w:val="006A4D65"/>
    <w:rsid w:val="006A50F9"/>
    <w:rsid w:val="006B5C9E"/>
    <w:rsid w:val="006B5E1D"/>
    <w:rsid w:val="006B70E5"/>
    <w:rsid w:val="006C1992"/>
    <w:rsid w:val="006C1F0A"/>
    <w:rsid w:val="006C29B4"/>
    <w:rsid w:val="006C4D4E"/>
    <w:rsid w:val="006D35BE"/>
    <w:rsid w:val="006D38E6"/>
    <w:rsid w:val="006D3C7E"/>
    <w:rsid w:val="006D4042"/>
    <w:rsid w:val="006D5AEE"/>
    <w:rsid w:val="006D6398"/>
    <w:rsid w:val="006D6F43"/>
    <w:rsid w:val="006D7114"/>
    <w:rsid w:val="006E01B0"/>
    <w:rsid w:val="006E046E"/>
    <w:rsid w:val="006E0E51"/>
    <w:rsid w:val="006E1126"/>
    <w:rsid w:val="006E2173"/>
    <w:rsid w:val="006E40CA"/>
    <w:rsid w:val="006E453D"/>
    <w:rsid w:val="006E7395"/>
    <w:rsid w:val="006F1084"/>
    <w:rsid w:val="006F1930"/>
    <w:rsid w:val="006F1A8D"/>
    <w:rsid w:val="006F3D51"/>
    <w:rsid w:val="006F455D"/>
    <w:rsid w:val="006F63A7"/>
    <w:rsid w:val="006F63CE"/>
    <w:rsid w:val="006F79CF"/>
    <w:rsid w:val="006F7AC8"/>
    <w:rsid w:val="00702673"/>
    <w:rsid w:val="007032ED"/>
    <w:rsid w:val="0070390F"/>
    <w:rsid w:val="00704F02"/>
    <w:rsid w:val="0070599B"/>
    <w:rsid w:val="00707B76"/>
    <w:rsid w:val="00713616"/>
    <w:rsid w:val="00713B7F"/>
    <w:rsid w:val="00715670"/>
    <w:rsid w:val="00715724"/>
    <w:rsid w:val="00716101"/>
    <w:rsid w:val="00716754"/>
    <w:rsid w:val="00720D9B"/>
    <w:rsid w:val="00721DEF"/>
    <w:rsid w:val="007227A5"/>
    <w:rsid w:val="007231B6"/>
    <w:rsid w:val="00723E5A"/>
    <w:rsid w:val="00730B20"/>
    <w:rsid w:val="00731F3D"/>
    <w:rsid w:val="00732D42"/>
    <w:rsid w:val="00732E6B"/>
    <w:rsid w:val="0073300B"/>
    <w:rsid w:val="0073329E"/>
    <w:rsid w:val="00736F5E"/>
    <w:rsid w:val="0073758B"/>
    <w:rsid w:val="0074098A"/>
    <w:rsid w:val="00744068"/>
    <w:rsid w:val="00746B19"/>
    <w:rsid w:val="007504DD"/>
    <w:rsid w:val="00751962"/>
    <w:rsid w:val="00754205"/>
    <w:rsid w:val="007542EB"/>
    <w:rsid w:val="00754A89"/>
    <w:rsid w:val="00756070"/>
    <w:rsid w:val="007565E5"/>
    <w:rsid w:val="00756A08"/>
    <w:rsid w:val="00757C94"/>
    <w:rsid w:val="00760C8B"/>
    <w:rsid w:val="0076103B"/>
    <w:rsid w:val="007619F8"/>
    <w:rsid w:val="0076462D"/>
    <w:rsid w:val="00765805"/>
    <w:rsid w:val="00765E1D"/>
    <w:rsid w:val="007662A0"/>
    <w:rsid w:val="00766B5A"/>
    <w:rsid w:val="0077266B"/>
    <w:rsid w:val="00772F78"/>
    <w:rsid w:val="00772FCF"/>
    <w:rsid w:val="007746B6"/>
    <w:rsid w:val="00781374"/>
    <w:rsid w:val="007815E4"/>
    <w:rsid w:val="00787600"/>
    <w:rsid w:val="00791A88"/>
    <w:rsid w:val="00794965"/>
    <w:rsid w:val="00796C36"/>
    <w:rsid w:val="00797889"/>
    <w:rsid w:val="007A1B3D"/>
    <w:rsid w:val="007A2C59"/>
    <w:rsid w:val="007A6FBC"/>
    <w:rsid w:val="007B053D"/>
    <w:rsid w:val="007B06CA"/>
    <w:rsid w:val="007B205A"/>
    <w:rsid w:val="007B2520"/>
    <w:rsid w:val="007B3ADC"/>
    <w:rsid w:val="007B6D01"/>
    <w:rsid w:val="007B7FF6"/>
    <w:rsid w:val="007C004D"/>
    <w:rsid w:val="007C070B"/>
    <w:rsid w:val="007C155B"/>
    <w:rsid w:val="007C1C1F"/>
    <w:rsid w:val="007C1FD4"/>
    <w:rsid w:val="007C24AF"/>
    <w:rsid w:val="007C3CB1"/>
    <w:rsid w:val="007C445C"/>
    <w:rsid w:val="007C755F"/>
    <w:rsid w:val="007D00F0"/>
    <w:rsid w:val="007D2820"/>
    <w:rsid w:val="007D2C42"/>
    <w:rsid w:val="007D48C1"/>
    <w:rsid w:val="007D4B1F"/>
    <w:rsid w:val="007D4F84"/>
    <w:rsid w:val="007D5480"/>
    <w:rsid w:val="007D7105"/>
    <w:rsid w:val="007E2321"/>
    <w:rsid w:val="007E5310"/>
    <w:rsid w:val="007E57F5"/>
    <w:rsid w:val="007E6A83"/>
    <w:rsid w:val="007E6CE8"/>
    <w:rsid w:val="007E6F01"/>
    <w:rsid w:val="007E7832"/>
    <w:rsid w:val="007E79A5"/>
    <w:rsid w:val="007E7C39"/>
    <w:rsid w:val="007F15CD"/>
    <w:rsid w:val="007F2AE8"/>
    <w:rsid w:val="007F309C"/>
    <w:rsid w:val="007F5919"/>
    <w:rsid w:val="007F5D97"/>
    <w:rsid w:val="007F754E"/>
    <w:rsid w:val="007F7632"/>
    <w:rsid w:val="008005B6"/>
    <w:rsid w:val="0080452E"/>
    <w:rsid w:val="00806CFE"/>
    <w:rsid w:val="008103FF"/>
    <w:rsid w:val="008107E7"/>
    <w:rsid w:val="0081253D"/>
    <w:rsid w:val="00812B77"/>
    <w:rsid w:val="00812FDF"/>
    <w:rsid w:val="00813BE3"/>
    <w:rsid w:val="008143FF"/>
    <w:rsid w:val="008155B4"/>
    <w:rsid w:val="008172E4"/>
    <w:rsid w:val="008201E6"/>
    <w:rsid w:val="00820BC9"/>
    <w:rsid w:val="00821A4A"/>
    <w:rsid w:val="008223FE"/>
    <w:rsid w:val="00824F35"/>
    <w:rsid w:val="00825450"/>
    <w:rsid w:val="00825D32"/>
    <w:rsid w:val="00827A6E"/>
    <w:rsid w:val="00830168"/>
    <w:rsid w:val="00830D18"/>
    <w:rsid w:val="00832492"/>
    <w:rsid w:val="00832975"/>
    <w:rsid w:val="008338E8"/>
    <w:rsid w:val="0083675D"/>
    <w:rsid w:val="00836809"/>
    <w:rsid w:val="00836C21"/>
    <w:rsid w:val="008406E6"/>
    <w:rsid w:val="00840817"/>
    <w:rsid w:val="00846742"/>
    <w:rsid w:val="0084778F"/>
    <w:rsid w:val="00851338"/>
    <w:rsid w:val="00852C06"/>
    <w:rsid w:val="00852C5A"/>
    <w:rsid w:val="00854F61"/>
    <w:rsid w:val="00857EB9"/>
    <w:rsid w:val="00860AB9"/>
    <w:rsid w:val="00862DE9"/>
    <w:rsid w:val="00862F88"/>
    <w:rsid w:val="00864EC8"/>
    <w:rsid w:val="008656A9"/>
    <w:rsid w:val="00866279"/>
    <w:rsid w:val="00867571"/>
    <w:rsid w:val="00870548"/>
    <w:rsid w:val="00871AE9"/>
    <w:rsid w:val="00871D17"/>
    <w:rsid w:val="008738C8"/>
    <w:rsid w:val="008739C3"/>
    <w:rsid w:val="00874323"/>
    <w:rsid w:val="008775C9"/>
    <w:rsid w:val="00881638"/>
    <w:rsid w:val="0088178D"/>
    <w:rsid w:val="00883797"/>
    <w:rsid w:val="008848C0"/>
    <w:rsid w:val="00890D0D"/>
    <w:rsid w:val="0089241A"/>
    <w:rsid w:val="008931CA"/>
    <w:rsid w:val="00893772"/>
    <w:rsid w:val="00893DF3"/>
    <w:rsid w:val="00894C6D"/>
    <w:rsid w:val="00895B66"/>
    <w:rsid w:val="008A090E"/>
    <w:rsid w:val="008A0F95"/>
    <w:rsid w:val="008A2C7B"/>
    <w:rsid w:val="008A3015"/>
    <w:rsid w:val="008A4A99"/>
    <w:rsid w:val="008A50EC"/>
    <w:rsid w:val="008B0ADC"/>
    <w:rsid w:val="008B1EC8"/>
    <w:rsid w:val="008B40F6"/>
    <w:rsid w:val="008B5192"/>
    <w:rsid w:val="008B7CE6"/>
    <w:rsid w:val="008C199C"/>
    <w:rsid w:val="008C3C5E"/>
    <w:rsid w:val="008C65EF"/>
    <w:rsid w:val="008D02E0"/>
    <w:rsid w:val="008D10C8"/>
    <w:rsid w:val="008D16B8"/>
    <w:rsid w:val="008D3137"/>
    <w:rsid w:val="008D34FA"/>
    <w:rsid w:val="008D5520"/>
    <w:rsid w:val="008D59DC"/>
    <w:rsid w:val="008D6200"/>
    <w:rsid w:val="008D6255"/>
    <w:rsid w:val="008D6FCC"/>
    <w:rsid w:val="008E4438"/>
    <w:rsid w:val="008E4C19"/>
    <w:rsid w:val="008E5DFE"/>
    <w:rsid w:val="008E65EC"/>
    <w:rsid w:val="008F0198"/>
    <w:rsid w:val="008F0A33"/>
    <w:rsid w:val="008F0EBA"/>
    <w:rsid w:val="008F26E2"/>
    <w:rsid w:val="008F27B5"/>
    <w:rsid w:val="008F4412"/>
    <w:rsid w:val="008F77A8"/>
    <w:rsid w:val="008F7F8F"/>
    <w:rsid w:val="00901B7F"/>
    <w:rsid w:val="00905365"/>
    <w:rsid w:val="009075ED"/>
    <w:rsid w:val="00910E6A"/>
    <w:rsid w:val="00912B38"/>
    <w:rsid w:val="009140C5"/>
    <w:rsid w:val="00915EB9"/>
    <w:rsid w:val="00917E39"/>
    <w:rsid w:val="009220E5"/>
    <w:rsid w:val="009231F7"/>
    <w:rsid w:val="00923A41"/>
    <w:rsid w:val="00925A8B"/>
    <w:rsid w:val="009267A7"/>
    <w:rsid w:val="00926C10"/>
    <w:rsid w:val="009317F1"/>
    <w:rsid w:val="00932C59"/>
    <w:rsid w:val="009346B8"/>
    <w:rsid w:val="0093565F"/>
    <w:rsid w:val="00935B20"/>
    <w:rsid w:val="0093621B"/>
    <w:rsid w:val="00936A0A"/>
    <w:rsid w:val="00940C50"/>
    <w:rsid w:val="009416F3"/>
    <w:rsid w:val="00945F5C"/>
    <w:rsid w:val="00946E8F"/>
    <w:rsid w:val="00954FFC"/>
    <w:rsid w:val="00954FFD"/>
    <w:rsid w:val="00955DD9"/>
    <w:rsid w:val="00956037"/>
    <w:rsid w:val="0095702B"/>
    <w:rsid w:val="00960C44"/>
    <w:rsid w:val="009624BB"/>
    <w:rsid w:val="00964638"/>
    <w:rsid w:val="009649E7"/>
    <w:rsid w:val="009665B7"/>
    <w:rsid w:val="00967D16"/>
    <w:rsid w:val="00970097"/>
    <w:rsid w:val="009705D3"/>
    <w:rsid w:val="00971AB8"/>
    <w:rsid w:val="00972C9B"/>
    <w:rsid w:val="00973A19"/>
    <w:rsid w:val="00973C36"/>
    <w:rsid w:val="00976042"/>
    <w:rsid w:val="009802CD"/>
    <w:rsid w:val="00981CA1"/>
    <w:rsid w:val="00984E67"/>
    <w:rsid w:val="00985F1B"/>
    <w:rsid w:val="009862C7"/>
    <w:rsid w:val="00986854"/>
    <w:rsid w:val="00990054"/>
    <w:rsid w:val="009902B8"/>
    <w:rsid w:val="009918E6"/>
    <w:rsid w:val="00993EA6"/>
    <w:rsid w:val="0099710A"/>
    <w:rsid w:val="009978D9"/>
    <w:rsid w:val="009A03D9"/>
    <w:rsid w:val="009A05F6"/>
    <w:rsid w:val="009A06B8"/>
    <w:rsid w:val="009A1103"/>
    <w:rsid w:val="009A15EC"/>
    <w:rsid w:val="009A1F16"/>
    <w:rsid w:val="009A4257"/>
    <w:rsid w:val="009A5491"/>
    <w:rsid w:val="009B38EB"/>
    <w:rsid w:val="009B3EA9"/>
    <w:rsid w:val="009B3F30"/>
    <w:rsid w:val="009B5C55"/>
    <w:rsid w:val="009B6F0B"/>
    <w:rsid w:val="009B75A8"/>
    <w:rsid w:val="009C1418"/>
    <w:rsid w:val="009C24B1"/>
    <w:rsid w:val="009C3425"/>
    <w:rsid w:val="009C39C5"/>
    <w:rsid w:val="009C3F54"/>
    <w:rsid w:val="009D07A8"/>
    <w:rsid w:val="009D0C31"/>
    <w:rsid w:val="009D171F"/>
    <w:rsid w:val="009D2D0D"/>
    <w:rsid w:val="009D470D"/>
    <w:rsid w:val="009E0046"/>
    <w:rsid w:val="009E6E16"/>
    <w:rsid w:val="009F159D"/>
    <w:rsid w:val="009F1867"/>
    <w:rsid w:val="009F217A"/>
    <w:rsid w:val="009F2F60"/>
    <w:rsid w:val="009F3B19"/>
    <w:rsid w:val="009F50C0"/>
    <w:rsid w:val="009F5CFC"/>
    <w:rsid w:val="009F7A7E"/>
    <w:rsid w:val="00A0012F"/>
    <w:rsid w:val="00A03AC1"/>
    <w:rsid w:val="00A061B2"/>
    <w:rsid w:val="00A0786F"/>
    <w:rsid w:val="00A1044D"/>
    <w:rsid w:val="00A112A3"/>
    <w:rsid w:val="00A13EB8"/>
    <w:rsid w:val="00A158FC"/>
    <w:rsid w:val="00A170FE"/>
    <w:rsid w:val="00A21487"/>
    <w:rsid w:val="00A230EC"/>
    <w:rsid w:val="00A23802"/>
    <w:rsid w:val="00A244D7"/>
    <w:rsid w:val="00A250E6"/>
    <w:rsid w:val="00A266C4"/>
    <w:rsid w:val="00A35779"/>
    <w:rsid w:val="00A3582A"/>
    <w:rsid w:val="00A35B0E"/>
    <w:rsid w:val="00A40983"/>
    <w:rsid w:val="00A40F3C"/>
    <w:rsid w:val="00A41120"/>
    <w:rsid w:val="00A41543"/>
    <w:rsid w:val="00A4576E"/>
    <w:rsid w:val="00A45A4D"/>
    <w:rsid w:val="00A516BE"/>
    <w:rsid w:val="00A51C45"/>
    <w:rsid w:val="00A528B7"/>
    <w:rsid w:val="00A52927"/>
    <w:rsid w:val="00A566A2"/>
    <w:rsid w:val="00A60E1C"/>
    <w:rsid w:val="00A60F49"/>
    <w:rsid w:val="00A61208"/>
    <w:rsid w:val="00A616D0"/>
    <w:rsid w:val="00A6274E"/>
    <w:rsid w:val="00A63B51"/>
    <w:rsid w:val="00A642DD"/>
    <w:rsid w:val="00A661B5"/>
    <w:rsid w:val="00A66FC2"/>
    <w:rsid w:val="00A736DF"/>
    <w:rsid w:val="00A74061"/>
    <w:rsid w:val="00A755B9"/>
    <w:rsid w:val="00A76A1F"/>
    <w:rsid w:val="00A7771E"/>
    <w:rsid w:val="00A81439"/>
    <w:rsid w:val="00A833BF"/>
    <w:rsid w:val="00A83574"/>
    <w:rsid w:val="00A83C0F"/>
    <w:rsid w:val="00A84DB9"/>
    <w:rsid w:val="00A85018"/>
    <w:rsid w:val="00A85C06"/>
    <w:rsid w:val="00A85ED8"/>
    <w:rsid w:val="00A913A5"/>
    <w:rsid w:val="00A92873"/>
    <w:rsid w:val="00A92CE8"/>
    <w:rsid w:val="00A93884"/>
    <w:rsid w:val="00A940B4"/>
    <w:rsid w:val="00A95F63"/>
    <w:rsid w:val="00A975F1"/>
    <w:rsid w:val="00A978A2"/>
    <w:rsid w:val="00AA0743"/>
    <w:rsid w:val="00AA0DC3"/>
    <w:rsid w:val="00AA17C4"/>
    <w:rsid w:val="00AA1819"/>
    <w:rsid w:val="00AA193D"/>
    <w:rsid w:val="00AA1A80"/>
    <w:rsid w:val="00AA1E78"/>
    <w:rsid w:val="00AA2A69"/>
    <w:rsid w:val="00AA38D2"/>
    <w:rsid w:val="00AA74B0"/>
    <w:rsid w:val="00AA7773"/>
    <w:rsid w:val="00AA7A0B"/>
    <w:rsid w:val="00AB15E7"/>
    <w:rsid w:val="00AB306A"/>
    <w:rsid w:val="00AB4FFF"/>
    <w:rsid w:val="00AB5886"/>
    <w:rsid w:val="00AB71AF"/>
    <w:rsid w:val="00AB7B2A"/>
    <w:rsid w:val="00AC0591"/>
    <w:rsid w:val="00AC22F4"/>
    <w:rsid w:val="00AC3E43"/>
    <w:rsid w:val="00AC42EC"/>
    <w:rsid w:val="00AC44B3"/>
    <w:rsid w:val="00AC5774"/>
    <w:rsid w:val="00AC72E6"/>
    <w:rsid w:val="00AC795B"/>
    <w:rsid w:val="00AD2CDB"/>
    <w:rsid w:val="00AD653D"/>
    <w:rsid w:val="00AE0B1C"/>
    <w:rsid w:val="00AE130E"/>
    <w:rsid w:val="00AE413E"/>
    <w:rsid w:val="00AF1072"/>
    <w:rsid w:val="00AF294D"/>
    <w:rsid w:val="00AF5474"/>
    <w:rsid w:val="00AF613E"/>
    <w:rsid w:val="00B00959"/>
    <w:rsid w:val="00B00F45"/>
    <w:rsid w:val="00B01209"/>
    <w:rsid w:val="00B0202C"/>
    <w:rsid w:val="00B024FA"/>
    <w:rsid w:val="00B03B91"/>
    <w:rsid w:val="00B03C1B"/>
    <w:rsid w:val="00B05E12"/>
    <w:rsid w:val="00B10F16"/>
    <w:rsid w:val="00B1680D"/>
    <w:rsid w:val="00B23159"/>
    <w:rsid w:val="00B23BBA"/>
    <w:rsid w:val="00B240E8"/>
    <w:rsid w:val="00B2628F"/>
    <w:rsid w:val="00B31911"/>
    <w:rsid w:val="00B319BD"/>
    <w:rsid w:val="00B33E68"/>
    <w:rsid w:val="00B35EBB"/>
    <w:rsid w:val="00B37BB5"/>
    <w:rsid w:val="00B42025"/>
    <w:rsid w:val="00B43879"/>
    <w:rsid w:val="00B43FDA"/>
    <w:rsid w:val="00B53DF7"/>
    <w:rsid w:val="00B5790D"/>
    <w:rsid w:val="00B60AF8"/>
    <w:rsid w:val="00B655FD"/>
    <w:rsid w:val="00B67D4D"/>
    <w:rsid w:val="00B67E66"/>
    <w:rsid w:val="00B704B9"/>
    <w:rsid w:val="00B73041"/>
    <w:rsid w:val="00B73687"/>
    <w:rsid w:val="00B73F59"/>
    <w:rsid w:val="00B7605B"/>
    <w:rsid w:val="00B76A1C"/>
    <w:rsid w:val="00B76E6C"/>
    <w:rsid w:val="00B800B3"/>
    <w:rsid w:val="00B80735"/>
    <w:rsid w:val="00B82A94"/>
    <w:rsid w:val="00B830AE"/>
    <w:rsid w:val="00B83DBF"/>
    <w:rsid w:val="00B867EF"/>
    <w:rsid w:val="00B90F75"/>
    <w:rsid w:val="00B914CE"/>
    <w:rsid w:val="00B92EE6"/>
    <w:rsid w:val="00B93B61"/>
    <w:rsid w:val="00B95DC7"/>
    <w:rsid w:val="00B97953"/>
    <w:rsid w:val="00B97E97"/>
    <w:rsid w:val="00BA13B0"/>
    <w:rsid w:val="00BA26FA"/>
    <w:rsid w:val="00BA6C15"/>
    <w:rsid w:val="00BA7766"/>
    <w:rsid w:val="00BB1FDA"/>
    <w:rsid w:val="00BB2DB5"/>
    <w:rsid w:val="00BB3DA0"/>
    <w:rsid w:val="00BB49A1"/>
    <w:rsid w:val="00BB5A51"/>
    <w:rsid w:val="00BB7EA6"/>
    <w:rsid w:val="00BB7EE4"/>
    <w:rsid w:val="00BC0B2B"/>
    <w:rsid w:val="00BC0BB0"/>
    <w:rsid w:val="00BC12C3"/>
    <w:rsid w:val="00BD041E"/>
    <w:rsid w:val="00BD1E21"/>
    <w:rsid w:val="00BD5D43"/>
    <w:rsid w:val="00BD60F0"/>
    <w:rsid w:val="00BD677A"/>
    <w:rsid w:val="00BE0B87"/>
    <w:rsid w:val="00BE34A5"/>
    <w:rsid w:val="00BE3DE9"/>
    <w:rsid w:val="00BE591D"/>
    <w:rsid w:val="00BE6299"/>
    <w:rsid w:val="00BE6D42"/>
    <w:rsid w:val="00BE739A"/>
    <w:rsid w:val="00BF0A13"/>
    <w:rsid w:val="00BF137B"/>
    <w:rsid w:val="00BF6971"/>
    <w:rsid w:val="00C018F7"/>
    <w:rsid w:val="00C02655"/>
    <w:rsid w:val="00C03A66"/>
    <w:rsid w:val="00C051EB"/>
    <w:rsid w:val="00C05313"/>
    <w:rsid w:val="00C10430"/>
    <w:rsid w:val="00C11427"/>
    <w:rsid w:val="00C1164B"/>
    <w:rsid w:val="00C14B8A"/>
    <w:rsid w:val="00C15237"/>
    <w:rsid w:val="00C16384"/>
    <w:rsid w:val="00C17A72"/>
    <w:rsid w:val="00C201F2"/>
    <w:rsid w:val="00C24E60"/>
    <w:rsid w:val="00C26298"/>
    <w:rsid w:val="00C26E4A"/>
    <w:rsid w:val="00C270C1"/>
    <w:rsid w:val="00C30457"/>
    <w:rsid w:val="00C3065A"/>
    <w:rsid w:val="00C32616"/>
    <w:rsid w:val="00C33FC6"/>
    <w:rsid w:val="00C37FA5"/>
    <w:rsid w:val="00C4320F"/>
    <w:rsid w:val="00C43816"/>
    <w:rsid w:val="00C44CC7"/>
    <w:rsid w:val="00C44D4E"/>
    <w:rsid w:val="00C45BDB"/>
    <w:rsid w:val="00C45CC8"/>
    <w:rsid w:val="00C46BF5"/>
    <w:rsid w:val="00C47265"/>
    <w:rsid w:val="00C47F51"/>
    <w:rsid w:val="00C525B9"/>
    <w:rsid w:val="00C5404D"/>
    <w:rsid w:val="00C54447"/>
    <w:rsid w:val="00C54F97"/>
    <w:rsid w:val="00C56505"/>
    <w:rsid w:val="00C568D4"/>
    <w:rsid w:val="00C60415"/>
    <w:rsid w:val="00C634F4"/>
    <w:rsid w:val="00C63FC7"/>
    <w:rsid w:val="00C649A3"/>
    <w:rsid w:val="00C65739"/>
    <w:rsid w:val="00C6617E"/>
    <w:rsid w:val="00C6649E"/>
    <w:rsid w:val="00C717AE"/>
    <w:rsid w:val="00C7200F"/>
    <w:rsid w:val="00C724C8"/>
    <w:rsid w:val="00C72CCC"/>
    <w:rsid w:val="00C73CD7"/>
    <w:rsid w:val="00C76962"/>
    <w:rsid w:val="00C778C1"/>
    <w:rsid w:val="00C83C68"/>
    <w:rsid w:val="00C8407D"/>
    <w:rsid w:val="00C8639F"/>
    <w:rsid w:val="00C86689"/>
    <w:rsid w:val="00C866B3"/>
    <w:rsid w:val="00C86747"/>
    <w:rsid w:val="00C867E2"/>
    <w:rsid w:val="00C922A7"/>
    <w:rsid w:val="00C929C3"/>
    <w:rsid w:val="00C932D9"/>
    <w:rsid w:val="00C938BD"/>
    <w:rsid w:val="00C93C4A"/>
    <w:rsid w:val="00C9424F"/>
    <w:rsid w:val="00C95B2D"/>
    <w:rsid w:val="00C967D6"/>
    <w:rsid w:val="00C97D3A"/>
    <w:rsid w:val="00CA2B2B"/>
    <w:rsid w:val="00CA2C6F"/>
    <w:rsid w:val="00CB0D8D"/>
    <w:rsid w:val="00CB10B9"/>
    <w:rsid w:val="00CB317E"/>
    <w:rsid w:val="00CC0629"/>
    <w:rsid w:val="00CC158C"/>
    <w:rsid w:val="00CC1D94"/>
    <w:rsid w:val="00CC3A69"/>
    <w:rsid w:val="00CC5C42"/>
    <w:rsid w:val="00CC66FB"/>
    <w:rsid w:val="00CC6BB4"/>
    <w:rsid w:val="00CC7119"/>
    <w:rsid w:val="00CD172B"/>
    <w:rsid w:val="00CD1AFD"/>
    <w:rsid w:val="00CD6E8C"/>
    <w:rsid w:val="00CE0D0A"/>
    <w:rsid w:val="00CE241E"/>
    <w:rsid w:val="00CE4782"/>
    <w:rsid w:val="00CE5414"/>
    <w:rsid w:val="00CE6F99"/>
    <w:rsid w:val="00CE789B"/>
    <w:rsid w:val="00CE7C76"/>
    <w:rsid w:val="00CF032E"/>
    <w:rsid w:val="00CF310A"/>
    <w:rsid w:val="00CF4346"/>
    <w:rsid w:val="00CF565B"/>
    <w:rsid w:val="00D00753"/>
    <w:rsid w:val="00D02585"/>
    <w:rsid w:val="00D05975"/>
    <w:rsid w:val="00D05D6D"/>
    <w:rsid w:val="00D05E13"/>
    <w:rsid w:val="00D0716A"/>
    <w:rsid w:val="00D07B8B"/>
    <w:rsid w:val="00D124A8"/>
    <w:rsid w:val="00D127DF"/>
    <w:rsid w:val="00D144D3"/>
    <w:rsid w:val="00D15A60"/>
    <w:rsid w:val="00D163E7"/>
    <w:rsid w:val="00D16BF0"/>
    <w:rsid w:val="00D20696"/>
    <w:rsid w:val="00D20D4A"/>
    <w:rsid w:val="00D20DE4"/>
    <w:rsid w:val="00D215B6"/>
    <w:rsid w:val="00D2458E"/>
    <w:rsid w:val="00D27609"/>
    <w:rsid w:val="00D30540"/>
    <w:rsid w:val="00D308C3"/>
    <w:rsid w:val="00D30C63"/>
    <w:rsid w:val="00D313A4"/>
    <w:rsid w:val="00D326D6"/>
    <w:rsid w:val="00D36CDB"/>
    <w:rsid w:val="00D4069E"/>
    <w:rsid w:val="00D41E5E"/>
    <w:rsid w:val="00D41EEC"/>
    <w:rsid w:val="00D42AFF"/>
    <w:rsid w:val="00D441A6"/>
    <w:rsid w:val="00D44598"/>
    <w:rsid w:val="00D45705"/>
    <w:rsid w:val="00D462DF"/>
    <w:rsid w:val="00D46CBC"/>
    <w:rsid w:val="00D476DC"/>
    <w:rsid w:val="00D47BD5"/>
    <w:rsid w:val="00D47E99"/>
    <w:rsid w:val="00D505B8"/>
    <w:rsid w:val="00D51A24"/>
    <w:rsid w:val="00D5264D"/>
    <w:rsid w:val="00D527E7"/>
    <w:rsid w:val="00D5669E"/>
    <w:rsid w:val="00D571BC"/>
    <w:rsid w:val="00D6512D"/>
    <w:rsid w:val="00D65E06"/>
    <w:rsid w:val="00D665DF"/>
    <w:rsid w:val="00D6733D"/>
    <w:rsid w:val="00D67BCE"/>
    <w:rsid w:val="00D71F8A"/>
    <w:rsid w:val="00D729D2"/>
    <w:rsid w:val="00D733F5"/>
    <w:rsid w:val="00D753FC"/>
    <w:rsid w:val="00D75A1C"/>
    <w:rsid w:val="00D80EAC"/>
    <w:rsid w:val="00D80FEB"/>
    <w:rsid w:val="00D81226"/>
    <w:rsid w:val="00D812A7"/>
    <w:rsid w:val="00D8238A"/>
    <w:rsid w:val="00D82762"/>
    <w:rsid w:val="00D83584"/>
    <w:rsid w:val="00D8380E"/>
    <w:rsid w:val="00D84987"/>
    <w:rsid w:val="00D86906"/>
    <w:rsid w:val="00D879CB"/>
    <w:rsid w:val="00D911BD"/>
    <w:rsid w:val="00D91228"/>
    <w:rsid w:val="00D91BAF"/>
    <w:rsid w:val="00D92872"/>
    <w:rsid w:val="00D9408E"/>
    <w:rsid w:val="00D960F2"/>
    <w:rsid w:val="00D96830"/>
    <w:rsid w:val="00D96C1C"/>
    <w:rsid w:val="00DA2B51"/>
    <w:rsid w:val="00DA42F0"/>
    <w:rsid w:val="00DA4727"/>
    <w:rsid w:val="00DA72DA"/>
    <w:rsid w:val="00DB0537"/>
    <w:rsid w:val="00DB0ADC"/>
    <w:rsid w:val="00DB0BB7"/>
    <w:rsid w:val="00DB119E"/>
    <w:rsid w:val="00DB14F8"/>
    <w:rsid w:val="00DB3A24"/>
    <w:rsid w:val="00DB459C"/>
    <w:rsid w:val="00DB4850"/>
    <w:rsid w:val="00DB4FFC"/>
    <w:rsid w:val="00DB532D"/>
    <w:rsid w:val="00DB67F7"/>
    <w:rsid w:val="00DB6B22"/>
    <w:rsid w:val="00DC5260"/>
    <w:rsid w:val="00DC64A2"/>
    <w:rsid w:val="00DC7803"/>
    <w:rsid w:val="00DC79EA"/>
    <w:rsid w:val="00DD02DE"/>
    <w:rsid w:val="00DD24CB"/>
    <w:rsid w:val="00DD3429"/>
    <w:rsid w:val="00DD37EB"/>
    <w:rsid w:val="00DD3959"/>
    <w:rsid w:val="00DD6EEF"/>
    <w:rsid w:val="00DD7D3B"/>
    <w:rsid w:val="00DE1220"/>
    <w:rsid w:val="00DE4234"/>
    <w:rsid w:val="00DE49C6"/>
    <w:rsid w:val="00DE4D5E"/>
    <w:rsid w:val="00DE4F14"/>
    <w:rsid w:val="00DE5AF1"/>
    <w:rsid w:val="00DF1116"/>
    <w:rsid w:val="00DF2E86"/>
    <w:rsid w:val="00DF3310"/>
    <w:rsid w:val="00DF38E2"/>
    <w:rsid w:val="00E075D5"/>
    <w:rsid w:val="00E07F50"/>
    <w:rsid w:val="00E11720"/>
    <w:rsid w:val="00E119D8"/>
    <w:rsid w:val="00E11F5D"/>
    <w:rsid w:val="00E12253"/>
    <w:rsid w:val="00E12A58"/>
    <w:rsid w:val="00E14E7C"/>
    <w:rsid w:val="00E15BB6"/>
    <w:rsid w:val="00E16104"/>
    <w:rsid w:val="00E16A85"/>
    <w:rsid w:val="00E16CCD"/>
    <w:rsid w:val="00E17AC4"/>
    <w:rsid w:val="00E2220B"/>
    <w:rsid w:val="00E2379F"/>
    <w:rsid w:val="00E239FC"/>
    <w:rsid w:val="00E30337"/>
    <w:rsid w:val="00E31CA6"/>
    <w:rsid w:val="00E31E93"/>
    <w:rsid w:val="00E32A84"/>
    <w:rsid w:val="00E32AF4"/>
    <w:rsid w:val="00E32C07"/>
    <w:rsid w:val="00E334F5"/>
    <w:rsid w:val="00E3374F"/>
    <w:rsid w:val="00E349B0"/>
    <w:rsid w:val="00E34F17"/>
    <w:rsid w:val="00E35FFE"/>
    <w:rsid w:val="00E37B62"/>
    <w:rsid w:val="00E37D6C"/>
    <w:rsid w:val="00E415ED"/>
    <w:rsid w:val="00E42612"/>
    <w:rsid w:val="00E4320A"/>
    <w:rsid w:val="00E4388A"/>
    <w:rsid w:val="00E448E4"/>
    <w:rsid w:val="00E458FE"/>
    <w:rsid w:val="00E526BF"/>
    <w:rsid w:val="00E52701"/>
    <w:rsid w:val="00E52739"/>
    <w:rsid w:val="00E53FDB"/>
    <w:rsid w:val="00E54B2A"/>
    <w:rsid w:val="00E54B42"/>
    <w:rsid w:val="00E5585C"/>
    <w:rsid w:val="00E578BB"/>
    <w:rsid w:val="00E60104"/>
    <w:rsid w:val="00E60D90"/>
    <w:rsid w:val="00E619F2"/>
    <w:rsid w:val="00E61C55"/>
    <w:rsid w:val="00E62F7A"/>
    <w:rsid w:val="00E64423"/>
    <w:rsid w:val="00E64BE6"/>
    <w:rsid w:val="00E65A0C"/>
    <w:rsid w:val="00E67BCD"/>
    <w:rsid w:val="00E70357"/>
    <w:rsid w:val="00E70883"/>
    <w:rsid w:val="00E7474C"/>
    <w:rsid w:val="00E770C8"/>
    <w:rsid w:val="00E80526"/>
    <w:rsid w:val="00E81BD0"/>
    <w:rsid w:val="00E82F2B"/>
    <w:rsid w:val="00E845B7"/>
    <w:rsid w:val="00E86AD2"/>
    <w:rsid w:val="00E879D7"/>
    <w:rsid w:val="00E92267"/>
    <w:rsid w:val="00E95E09"/>
    <w:rsid w:val="00E970BE"/>
    <w:rsid w:val="00E978D1"/>
    <w:rsid w:val="00E978E9"/>
    <w:rsid w:val="00EA2ADB"/>
    <w:rsid w:val="00EA4E37"/>
    <w:rsid w:val="00EA55D6"/>
    <w:rsid w:val="00EA78FE"/>
    <w:rsid w:val="00EB2DC5"/>
    <w:rsid w:val="00EB5B71"/>
    <w:rsid w:val="00EC0148"/>
    <w:rsid w:val="00EC2281"/>
    <w:rsid w:val="00EC2CEB"/>
    <w:rsid w:val="00EC34B9"/>
    <w:rsid w:val="00EC5675"/>
    <w:rsid w:val="00EC62AF"/>
    <w:rsid w:val="00EC643C"/>
    <w:rsid w:val="00ED0B75"/>
    <w:rsid w:val="00ED381B"/>
    <w:rsid w:val="00ED3E10"/>
    <w:rsid w:val="00ED4275"/>
    <w:rsid w:val="00ED46D7"/>
    <w:rsid w:val="00ED7B00"/>
    <w:rsid w:val="00ED7B44"/>
    <w:rsid w:val="00EE1BD6"/>
    <w:rsid w:val="00EE40C5"/>
    <w:rsid w:val="00EE5893"/>
    <w:rsid w:val="00EE5916"/>
    <w:rsid w:val="00EF0933"/>
    <w:rsid w:val="00EF305A"/>
    <w:rsid w:val="00EF46AF"/>
    <w:rsid w:val="00EF6004"/>
    <w:rsid w:val="00F00D72"/>
    <w:rsid w:val="00F01741"/>
    <w:rsid w:val="00F01C7F"/>
    <w:rsid w:val="00F0216F"/>
    <w:rsid w:val="00F02DC0"/>
    <w:rsid w:val="00F04244"/>
    <w:rsid w:val="00F046F5"/>
    <w:rsid w:val="00F04EAD"/>
    <w:rsid w:val="00F05E68"/>
    <w:rsid w:val="00F065C4"/>
    <w:rsid w:val="00F0752D"/>
    <w:rsid w:val="00F1161E"/>
    <w:rsid w:val="00F12BB2"/>
    <w:rsid w:val="00F13F3A"/>
    <w:rsid w:val="00F177EA"/>
    <w:rsid w:val="00F17820"/>
    <w:rsid w:val="00F17FF1"/>
    <w:rsid w:val="00F20916"/>
    <w:rsid w:val="00F2359D"/>
    <w:rsid w:val="00F2454B"/>
    <w:rsid w:val="00F25411"/>
    <w:rsid w:val="00F260FF"/>
    <w:rsid w:val="00F31009"/>
    <w:rsid w:val="00F316C0"/>
    <w:rsid w:val="00F32EED"/>
    <w:rsid w:val="00F333D0"/>
    <w:rsid w:val="00F334F4"/>
    <w:rsid w:val="00F3389B"/>
    <w:rsid w:val="00F33FD7"/>
    <w:rsid w:val="00F35199"/>
    <w:rsid w:val="00F3664C"/>
    <w:rsid w:val="00F367A8"/>
    <w:rsid w:val="00F37753"/>
    <w:rsid w:val="00F37C2E"/>
    <w:rsid w:val="00F42221"/>
    <w:rsid w:val="00F42B6A"/>
    <w:rsid w:val="00F45D25"/>
    <w:rsid w:val="00F46EC2"/>
    <w:rsid w:val="00F5004B"/>
    <w:rsid w:val="00F5198D"/>
    <w:rsid w:val="00F52671"/>
    <w:rsid w:val="00F5385A"/>
    <w:rsid w:val="00F56FE7"/>
    <w:rsid w:val="00F61974"/>
    <w:rsid w:val="00F621B3"/>
    <w:rsid w:val="00F62BEA"/>
    <w:rsid w:val="00F62DD0"/>
    <w:rsid w:val="00F638B7"/>
    <w:rsid w:val="00F64C05"/>
    <w:rsid w:val="00F6559B"/>
    <w:rsid w:val="00F658F2"/>
    <w:rsid w:val="00F70CCD"/>
    <w:rsid w:val="00F72161"/>
    <w:rsid w:val="00F753F6"/>
    <w:rsid w:val="00F76400"/>
    <w:rsid w:val="00F76F16"/>
    <w:rsid w:val="00F7746B"/>
    <w:rsid w:val="00F80720"/>
    <w:rsid w:val="00F80E73"/>
    <w:rsid w:val="00F81CA6"/>
    <w:rsid w:val="00F82346"/>
    <w:rsid w:val="00F8610B"/>
    <w:rsid w:val="00F87FEB"/>
    <w:rsid w:val="00F9392D"/>
    <w:rsid w:val="00F941FE"/>
    <w:rsid w:val="00F95054"/>
    <w:rsid w:val="00F9626E"/>
    <w:rsid w:val="00FA0F95"/>
    <w:rsid w:val="00FA1ABD"/>
    <w:rsid w:val="00FA4F48"/>
    <w:rsid w:val="00FA4FBB"/>
    <w:rsid w:val="00FA7AFE"/>
    <w:rsid w:val="00FB270D"/>
    <w:rsid w:val="00FB3EAB"/>
    <w:rsid w:val="00FB454E"/>
    <w:rsid w:val="00FB6279"/>
    <w:rsid w:val="00FB712B"/>
    <w:rsid w:val="00FC0ACC"/>
    <w:rsid w:val="00FC1476"/>
    <w:rsid w:val="00FC56D5"/>
    <w:rsid w:val="00FC68CE"/>
    <w:rsid w:val="00FC79BF"/>
    <w:rsid w:val="00FD3124"/>
    <w:rsid w:val="00FD5053"/>
    <w:rsid w:val="00FD69FB"/>
    <w:rsid w:val="00FD72F8"/>
    <w:rsid w:val="00FD76D9"/>
    <w:rsid w:val="00FD77C1"/>
    <w:rsid w:val="00FD79F5"/>
    <w:rsid w:val="00FE0F28"/>
    <w:rsid w:val="00FE24A6"/>
    <w:rsid w:val="00FE355C"/>
    <w:rsid w:val="00FE5477"/>
    <w:rsid w:val="00FE5E06"/>
    <w:rsid w:val="00FE61A7"/>
    <w:rsid w:val="00FE64DB"/>
    <w:rsid w:val="00FE67A6"/>
    <w:rsid w:val="00FE6CAA"/>
    <w:rsid w:val="00FE6D18"/>
    <w:rsid w:val="00FF042A"/>
    <w:rsid w:val="00FF069A"/>
    <w:rsid w:val="00FF15C9"/>
    <w:rsid w:val="00FF1746"/>
    <w:rsid w:val="00FF2484"/>
    <w:rsid w:val="00FF5914"/>
    <w:rsid w:val="00FF64DD"/>
    <w:rsid w:val="00FF6590"/>
    <w:rsid w:val="0886362F"/>
    <w:rsid w:val="11D13719"/>
    <w:rsid w:val="1D960A45"/>
    <w:rsid w:val="24887574"/>
    <w:rsid w:val="269A73E1"/>
    <w:rsid w:val="2B947015"/>
    <w:rsid w:val="36F2771E"/>
    <w:rsid w:val="3CF1384B"/>
    <w:rsid w:val="3FF615C7"/>
    <w:rsid w:val="6092039B"/>
    <w:rsid w:val="66BD740D"/>
    <w:rsid w:val="73674FEA"/>
    <w:rsid w:val="74AC64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9" w:semiHidden="0" w:name="heading 2"/>
    <w:lsdException w:qFormat="1" w:unhideWhenUsed="0" w:uiPriority="9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99" w:semiHidden="0" w:name="Normal Indent"/>
    <w:lsdException w:qFormat="1"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0" w:semiHidden="0" w:name="annotation reference"/>
    <w:lsdException w:uiPriority="99" w:name="line number"/>
    <w:lsdException w:qFormat="1" w:unhideWhenUsed="0" w:uiPriority="0" w:semiHidden="0"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99" w:semiHidden="0" w:name="Body Text Indent 2"/>
    <w:lsdException w:qFormat="1"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paragraph" w:styleId="2">
    <w:name w:val="heading 1"/>
    <w:basedOn w:val="1"/>
    <w:next w:val="3"/>
    <w:link w:val="92"/>
    <w:qFormat/>
    <w:uiPriority w:val="0"/>
    <w:pPr>
      <w:spacing w:before="100" w:beforeAutospacing="1" w:after="100" w:afterAutospacing="1"/>
      <w:outlineLvl w:val="0"/>
    </w:pPr>
    <w:rPr>
      <w:rFonts w:ascii="Microsoft JhengHei" w:hAnsi="Microsoft JhengHei" w:cs="Microsoft JhengHei"/>
      <w:b/>
      <w:bCs/>
      <w:sz w:val="24"/>
      <w:szCs w:val="28"/>
    </w:rPr>
  </w:style>
  <w:style w:type="paragraph" w:styleId="4">
    <w:name w:val="heading 2"/>
    <w:basedOn w:val="1"/>
    <w:next w:val="1"/>
    <w:link w:val="46"/>
    <w:qFormat/>
    <w:uiPriority w:val="9"/>
    <w:pPr>
      <w:keepNext/>
      <w:keepLines/>
      <w:adjustRightInd w:val="0"/>
      <w:spacing w:before="100" w:beforeAutospacing="1" w:after="100" w:afterAutospacing="1" w:line="300" w:lineRule="auto"/>
      <w:outlineLvl w:val="1"/>
    </w:pPr>
    <w:rPr>
      <w:rFonts w:ascii="Arial" w:hAnsi="Arial" w:cs="Times New Roman"/>
      <w:b/>
      <w:sz w:val="24"/>
      <w:szCs w:val="20"/>
      <w:lang w:eastAsia="zh-CN"/>
    </w:rPr>
  </w:style>
  <w:style w:type="paragraph" w:styleId="5">
    <w:name w:val="heading 3"/>
    <w:basedOn w:val="1"/>
    <w:next w:val="3"/>
    <w:link w:val="47"/>
    <w:qFormat/>
    <w:uiPriority w:val="99"/>
    <w:pPr>
      <w:keepNext/>
      <w:keepLines/>
      <w:adjustRightInd w:val="0"/>
      <w:spacing w:before="360" w:after="120"/>
      <w:outlineLvl w:val="2"/>
    </w:pPr>
    <w:rPr>
      <w:rFonts w:hAnsi="Times New Roman" w:cs="Times New Roman"/>
      <w:b/>
      <w:sz w:val="24"/>
      <w:szCs w:val="20"/>
      <w:lang w:eastAsia="zh-CN"/>
    </w:rPr>
  </w:style>
  <w:style w:type="paragraph" w:styleId="6">
    <w:name w:val="heading 4"/>
    <w:basedOn w:val="1"/>
    <w:next w:val="1"/>
    <w:link w:val="48"/>
    <w:unhideWhenUsed/>
    <w:qFormat/>
    <w:uiPriority w:val="9"/>
    <w:pPr>
      <w:keepNext/>
      <w:keepLines/>
      <w:spacing w:before="280" w:after="290" w:line="376" w:lineRule="auto"/>
      <w:outlineLvl w:val="3"/>
    </w:pPr>
    <w:rPr>
      <w:rFonts w:asciiTheme="majorHAnsi" w:hAnsiTheme="majorHAnsi" w:cstheme="majorBidi"/>
      <w:b/>
      <w:bCs/>
      <w:sz w:val="24"/>
      <w:szCs w:val="28"/>
      <w:lang w:eastAsia="zh-CN"/>
    </w:rPr>
  </w:style>
  <w:style w:type="paragraph" w:styleId="7">
    <w:name w:val="heading 5"/>
    <w:basedOn w:val="1"/>
    <w:next w:val="1"/>
    <w:link w:val="49"/>
    <w:unhideWhenUsed/>
    <w:qFormat/>
    <w:uiPriority w:val="9"/>
    <w:pPr>
      <w:keepNext/>
      <w:keepLines/>
      <w:spacing w:before="280" w:after="290" w:line="376" w:lineRule="auto"/>
      <w:outlineLvl w:val="4"/>
    </w:pPr>
    <w:rPr>
      <w:b/>
      <w:bCs/>
      <w:sz w:val="28"/>
      <w:szCs w:val="28"/>
    </w:rPr>
  </w:style>
  <w:style w:type="character" w:default="1" w:styleId="38">
    <w:name w:val="Default Paragraph Font"/>
    <w:semiHidden/>
    <w:unhideWhenUsed/>
    <w:uiPriority w:val="1"/>
  </w:style>
  <w:style w:type="table" w:default="1" w:styleId="36">
    <w:name w:val="Normal Table"/>
    <w:semiHidden/>
    <w:unhideWhenUsed/>
    <w:qFormat/>
    <w:uiPriority w:val="99"/>
    <w:tblPr>
      <w:tblCellMar>
        <w:top w:w="0" w:type="dxa"/>
        <w:left w:w="108" w:type="dxa"/>
        <w:bottom w:w="0" w:type="dxa"/>
        <w:right w:w="108" w:type="dxa"/>
      </w:tblCellMar>
    </w:tblPr>
  </w:style>
  <w:style w:type="paragraph" w:styleId="3">
    <w:name w:val="Normal Indent"/>
    <w:basedOn w:val="1"/>
    <w:link w:val="78"/>
    <w:unhideWhenUsed/>
    <w:qFormat/>
    <w:uiPriority w:val="99"/>
    <w:pPr>
      <w:ind w:firstLine="420" w:firstLineChars="200"/>
    </w:pPr>
  </w:style>
  <w:style w:type="paragraph" w:styleId="8">
    <w:name w:val="toc 7"/>
    <w:basedOn w:val="1"/>
    <w:next w:val="1"/>
    <w:unhideWhenUsed/>
    <w:qFormat/>
    <w:uiPriority w:val="39"/>
    <w:pPr>
      <w:ind w:left="1320"/>
    </w:pPr>
    <w:rPr>
      <w:rFonts w:asciiTheme="minorHAnsi" w:hAnsiTheme="minorHAnsi" w:cstheme="minorHAnsi"/>
      <w:sz w:val="18"/>
      <w:szCs w:val="18"/>
    </w:rPr>
  </w:style>
  <w:style w:type="paragraph" w:styleId="9">
    <w:name w:val="Document Map"/>
    <w:basedOn w:val="1"/>
    <w:link w:val="93"/>
    <w:qFormat/>
    <w:uiPriority w:val="0"/>
    <w:pPr>
      <w:shd w:val="clear" w:color="auto" w:fill="000080"/>
      <w:autoSpaceDE/>
      <w:autoSpaceDN/>
      <w:jc w:val="both"/>
    </w:pPr>
    <w:rPr>
      <w:rFonts w:ascii="Times New Roman" w:hAnsi="Times New Roman" w:cs="Times New Roman"/>
      <w:kern w:val="2"/>
      <w:sz w:val="21"/>
      <w:szCs w:val="20"/>
      <w:lang w:eastAsia="zh-CN"/>
    </w:rPr>
  </w:style>
  <w:style w:type="paragraph" w:styleId="10">
    <w:name w:val="annotation text"/>
    <w:basedOn w:val="1"/>
    <w:link w:val="56"/>
    <w:unhideWhenUsed/>
    <w:qFormat/>
    <w:uiPriority w:val="0"/>
  </w:style>
  <w:style w:type="paragraph" w:styleId="11">
    <w:name w:val="Body Text 3"/>
    <w:basedOn w:val="1"/>
    <w:link w:val="45"/>
    <w:unhideWhenUsed/>
    <w:qFormat/>
    <w:uiPriority w:val="99"/>
    <w:pPr>
      <w:spacing w:after="120"/>
    </w:pPr>
    <w:rPr>
      <w:sz w:val="16"/>
      <w:szCs w:val="16"/>
    </w:rPr>
  </w:style>
  <w:style w:type="paragraph" w:styleId="12">
    <w:name w:val="Body Text"/>
    <w:basedOn w:val="1"/>
    <w:link w:val="79"/>
    <w:qFormat/>
    <w:uiPriority w:val="99"/>
    <w:rPr>
      <w:sz w:val="24"/>
      <w:szCs w:val="24"/>
    </w:rPr>
  </w:style>
  <w:style w:type="paragraph" w:styleId="13">
    <w:name w:val="Body Text Indent"/>
    <w:basedOn w:val="1"/>
    <w:link w:val="73"/>
    <w:unhideWhenUsed/>
    <w:qFormat/>
    <w:uiPriority w:val="99"/>
    <w:pPr>
      <w:spacing w:after="120"/>
      <w:ind w:left="420" w:leftChars="200"/>
    </w:pPr>
  </w:style>
  <w:style w:type="paragraph" w:styleId="14">
    <w:name w:val="toc 5"/>
    <w:basedOn w:val="1"/>
    <w:next w:val="1"/>
    <w:unhideWhenUsed/>
    <w:qFormat/>
    <w:uiPriority w:val="39"/>
    <w:pPr>
      <w:ind w:left="880"/>
    </w:pPr>
    <w:rPr>
      <w:rFonts w:asciiTheme="minorHAnsi" w:hAnsiTheme="minorHAnsi" w:cstheme="minorHAnsi"/>
      <w:sz w:val="18"/>
      <w:szCs w:val="18"/>
    </w:rPr>
  </w:style>
  <w:style w:type="paragraph" w:styleId="15">
    <w:name w:val="toc 3"/>
    <w:basedOn w:val="1"/>
    <w:next w:val="1"/>
    <w:unhideWhenUsed/>
    <w:qFormat/>
    <w:uiPriority w:val="39"/>
    <w:pPr>
      <w:ind w:left="440"/>
    </w:pPr>
    <w:rPr>
      <w:rFonts w:asciiTheme="minorHAnsi" w:hAnsiTheme="minorHAnsi" w:cstheme="minorHAnsi"/>
      <w:i/>
      <w:iCs/>
      <w:sz w:val="20"/>
      <w:szCs w:val="20"/>
    </w:rPr>
  </w:style>
  <w:style w:type="paragraph" w:styleId="16">
    <w:name w:val="Plain Text"/>
    <w:basedOn w:val="1"/>
    <w:link w:val="65"/>
    <w:qFormat/>
    <w:uiPriority w:val="0"/>
    <w:pPr>
      <w:autoSpaceDE/>
      <w:autoSpaceDN/>
      <w:jc w:val="both"/>
    </w:pPr>
    <w:rPr>
      <w:rFonts w:hAnsi="Courier New" w:eastAsiaTheme="minorEastAsia" w:cstheme="minorBidi"/>
      <w:kern w:val="2"/>
      <w:sz w:val="21"/>
      <w:szCs w:val="21"/>
    </w:rPr>
  </w:style>
  <w:style w:type="paragraph" w:styleId="17">
    <w:name w:val="toc 8"/>
    <w:basedOn w:val="1"/>
    <w:next w:val="1"/>
    <w:unhideWhenUsed/>
    <w:qFormat/>
    <w:uiPriority w:val="39"/>
    <w:pPr>
      <w:ind w:left="1540"/>
    </w:pPr>
    <w:rPr>
      <w:rFonts w:asciiTheme="minorHAnsi" w:hAnsiTheme="minorHAnsi" w:cstheme="minorHAnsi"/>
      <w:sz w:val="18"/>
      <w:szCs w:val="18"/>
    </w:rPr>
  </w:style>
  <w:style w:type="paragraph" w:styleId="18">
    <w:name w:val="Date"/>
    <w:basedOn w:val="1"/>
    <w:next w:val="1"/>
    <w:link w:val="95"/>
    <w:qFormat/>
    <w:uiPriority w:val="0"/>
    <w:pPr>
      <w:autoSpaceDE/>
      <w:autoSpaceDN/>
      <w:ind w:left="100" w:leftChars="2500"/>
      <w:jc w:val="both"/>
    </w:pPr>
    <w:rPr>
      <w:rFonts w:ascii="Times New Roman" w:hAnsi="Times New Roman" w:cs="Times New Roman"/>
      <w:kern w:val="2"/>
      <w:sz w:val="21"/>
      <w:szCs w:val="20"/>
      <w:lang w:eastAsia="zh-CN"/>
    </w:rPr>
  </w:style>
  <w:style w:type="paragraph" w:styleId="19">
    <w:name w:val="Body Text Indent 2"/>
    <w:basedOn w:val="1"/>
    <w:link w:val="94"/>
    <w:qFormat/>
    <w:uiPriority w:val="99"/>
    <w:pPr>
      <w:autoSpaceDE/>
      <w:autoSpaceDN/>
      <w:spacing w:after="120" w:line="480" w:lineRule="auto"/>
      <w:ind w:left="420" w:leftChars="200"/>
      <w:jc w:val="both"/>
    </w:pPr>
    <w:rPr>
      <w:rFonts w:ascii="Times New Roman" w:hAnsi="Times New Roman" w:cs="Times New Roman"/>
      <w:kern w:val="2"/>
      <w:sz w:val="21"/>
      <w:szCs w:val="20"/>
      <w:lang w:eastAsia="zh-CN"/>
    </w:rPr>
  </w:style>
  <w:style w:type="paragraph" w:styleId="20">
    <w:name w:val="endnote text"/>
    <w:basedOn w:val="1"/>
    <w:link w:val="76"/>
    <w:semiHidden/>
    <w:unhideWhenUsed/>
    <w:qFormat/>
    <w:uiPriority w:val="99"/>
    <w:pPr>
      <w:snapToGrid w:val="0"/>
    </w:pPr>
  </w:style>
  <w:style w:type="paragraph" w:styleId="21">
    <w:name w:val="Balloon Text"/>
    <w:basedOn w:val="1"/>
    <w:link w:val="55"/>
    <w:unhideWhenUsed/>
    <w:qFormat/>
    <w:uiPriority w:val="99"/>
    <w:rPr>
      <w:sz w:val="18"/>
      <w:szCs w:val="18"/>
    </w:rPr>
  </w:style>
  <w:style w:type="paragraph" w:styleId="22">
    <w:name w:val="footer"/>
    <w:basedOn w:val="1"/>
    <w:link w:val="54"/>
    <w:unhideWhenUsed/>
    <w:qFormat/>
    <w:uiPriority w:val="99"/>
    <w:pPr>
      <w:tabs>
        <w:tab w:val="center" w:pos="4153"/>
        <w:tab w:val="right" w:pos="8306"/>
      </w:tabs>
      <w:snapToGrid w:val="0"/>
    </w:pPr>
    <w:rPr>
      <w:sz w:val="18"/>
      <w:szCs w:val="18"/>
    </w:rPr>
  </w:style>
  <w:style w:type="paragraph" w:styleId="23">
    <w:name w:val="header"/>
    <w:basedOn w:val="1"/>
    <w:link w:val="53"/>
    <w:unhideWhenUsed/>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pPr>
    <w:rPr>
      <w:rFonts w:asciiTheme="minorHAnsi" w:hAnsiTheme="minorHAnsi" w:cstheme="minorHAnsi"/>
      <w:b/>
      <w:bCs/>
      <w:caps/>
      <w:sz w:val="20"/>
      <w:szCs w:val="20"/>
    </w:rPr>
  </w:style>
  <w:style w:type="paragraph" w:styleId="25">
    <w:name w:val="toc 4"/>
    <w:basedOn w:val="1"/>
    <w:next w:val="1"/>
    <w:unhideWhenUsed/>
    <w:qFormat/>
    <w:uiPriority w:val="39"/>
    <w:pPr>
      <w:ind w:left="660"/>
    </w:pPr>
    <w:rPr>
      <w:rFonts w:asciiTheme="minorHAnsi" w:hAnsiTheme="minorHAnsi" w:cstheme="minorHAnsi"/>
      <w:sz w:val="18"/>
      <w:szCs w:val="18"/>
    </w:rPr>
  </w:style>
  <w:style w:type="paragraph" w:styleId="26">
    <w:name w:val="footnote text"/>
    <w:basedOn w:val="1"/>
    <w:link w:val="77"/>
    <w:semiHidden/>
    <w:unhideWhenUsed/>
    <w:qFormat/>
    <w:uiPriority w:val="99"/>
    <w:pPr>
      <w:snapToGrid w:val="0"/>
    </w:pPr>
    <w:rPr>
      <w:sz w:val="18"/>
      <w:szCs w:val="18"/>
    </w:rPr>
  </w:style>
  <w:style w:type="paragraph" w:styleId="27">
    <w:name w:val="toc 6"/>
    <w:basedOn w:val="1"/>
    <w:next w:val="1"/>
    <w:unhideWhenUsed/>
    <w:qFormat/>
    <w:uiPriority w:val="39"/>
    <w:pPr>
      <w:ind w:left="1100"/>
    </w:pPr>
    <w:rPr>
      <w:rFonts w:asciiTheme="minorHAnsi" w:hAnsiTheme="minorHAnsi" w:cstheme="minorHAnsi"/>
      <w:sz w:val="18"/>
      <w:szCs w:val="18"/>
    </w:rPr>
  </w:style>
  <w:style w:type="paragraph" w:styleId="28">
    <w:name w:val="Body Text Indent 3"/>
    <w:basedOn w:val="1"/>
    <w:link w:val="74"/>
    <w:unhideWhenUsed/>
    <w:qFormat/>
    <w:uiPriority w:val="0"/>
    <w:pPr>
      <w:spacing w:after="120"/>
      <w:ind w:left="420" w:leftChars="200"/>
    </w:pPr>
    <w:rPr>
      <w:sz w:val="16"/>
      <w:szCs w:val="16"/>
    </w:rPr>
  </w:style>
  <w:style w:type="paragraph" w:styleId="29">
    <w:name w:val="toc 2"/>
    <w:basedOn w:val="1"/>
    <w:next w:val="1"/>
    <w:unhideWhenUsed/>
    <w:qFormat/>
    <w:uiPriority w:val="39"/>
    <w:pPr>
      <w:ind w:left="220"/>
    </w:pPr>
    <w:rPr>
      <w:rFonts w:asciiTheme="minorHAnsi" w:hAnsiTheme="minorHAnsi" w:cstheme="minorHAnsi"/>
      <w:smallCaps/>
      <w:sz w:val="20"/>
      <w:szCs w:val="20"/>
    </w:rPr>
  </w:style>
  <w:style w:type="paragraph" w:styleId="30">
    <w:name w:val="toc 9"/>
    <w:basedOn w:val="1"/>
    <w:next w:val="1"/>
    <w:unhideWhenUsed/>
    <w:qFormat/>
    <w:uiPriority w:val="39"/>
    <w:pPr>
      <w:ind w:left="1760"/>
    </w:pPr>
    <w:rPr>
      <w:rFonts w:asciiTheme="minorHAnsi" w:hAnsiTheme="minorHAnsi" w:cstheme="minorHAnsi"/>
      <w:sz w:val="18"/>
      <w:szCs w:val="18"/>
    </w:rPr>
  </w:style>
  <w:style w:type="paragraph" w:styleId="31">
    <w:name w:val="HTML Preformatted"/>
    <w:basedOn w:val="1"/>
    <w:link w:val="11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330" w:lineRule="atLeast"/>
    </w:pPr>
    <w:rPr>
      <w:rFonts w:ascii="Arial" w:hAnsi="Arial" w:cs="Arial" w:eastAsiaTheme="minorEastAsia"/>
      <w:sz w:val="21"/>
      <w:szCs w:val="21"/>
    </w:rPr>
  </w:style>
  <w:style w:type="paragraph" w:styleId="32">
    <w:name w:val="Normal (Web)"/>
    <w:basedOn w:val="1"/>
    <w:unhideWhenUsed/>
    <w:qFormat/>
    <w:uiPriority w:val="99"/>
    <w:pPr>
      <w:widowControl/>
      <w:autoSpaceDE/>
      <w:autoSpaceDN/>
      <w:spacing w:before="100" w:beforeAutospacing="1" w:after="100" w:afterAutospacing="1"/>
    </w:pPr>
    <w:rPr>
      <w:sz w:val="24"/>
      <w:szCs w:val="24"/>
      <w:lang w:eastAsia="zh-CN"/>
    </w:rPr>
  </w:style>
  <w:style w:type="paragraph" w:styleId="33">
    <w:name w:val="index 1"/>
    <w:basedOn w:val="1"/>
    <w:next w:val="1"/>
    <w:qFormat/>
    <w:uiPriority w:val="0"/>
    <w:pPr>
      <w:autoSpaceDE/>
      <w:autoSpaceDN/>
      <w:jc w:val="both"/>
    </w:pPr>
    <w:rPr>
      <w:rFonts w:ascii="Times New Roman" w:hAnsi="Times New Roman" w:cs="Times New Roman"/>
      <w:kern w:val="2"/>
      <w:sz w:val="21"/>
      <w:szCs w:val="20"/>
      <w:lang w:eastAsia="zh-CN"/>
    </w:rPr>
  </w:style>
  <w:style w:type="paragraph" w:styleId="34">
    <w:name w:val="Title"/>
    <w:basedOn w:val="1"/>
    <w:next w:val="1"/>
    <w:link w:val="59"/>
    <w:qFormat/>
    <w:uiPriority w:val="0"/>
    <w:pPr>
      <w:autoSpaceDE/>
      <w:autoSpaceDN/>
      <w:spacing w:beforeLines="50" w:afterLines="50" w:line="360" w:lineRule="auto"/>
      <w:jc w:val="center"/>
      <w:outlineLvl w:val="0"/>
    </w:pPr>
    <w:rPr>
      <w:rFonts w:ascii="Cambria" w:hAnsi="Cambria" w:eastAsiaTheme="minorEastAsia" w:cstheme="minorBidi"/>
      <w:b/>
      <w:bCs/>
      <w:kern w:val="2"/>
      <w:sz w:val="32"/>
      <w:szCs w:val="32"/>
    </w:rPr>
  </w:style>
  <w:style w:type="paragraph" w:styleId="35">
    <w:name w:val="annotation subject"/>
    <w:basedOn w:val="10"/>
    <w:next w:val="10"/>
    <w:link w:val="57"/>
    <w:semiHidden/>
    <w:unhideWhenUsed/>
    <w:qFormat/>
    <w:uiPriority w:val="0"/>
    <w:rPr>
      <w:b/>
      <w:bCs/>
    </w:rPr>
  </w:style>
  <w:style w:type="table" w:styleId="37">
    <w:name w:val="Table Grid"/>
    <w:basedOn w:val="3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9">
    <w:name w:val="Strong"/>
    <w:qFormat/>
    <w:uiPriority w:val="22"/>
    <w:rPr>
      <w:b/>
      <w:bCs/>
    </w:rPr>
  </w:style>
  <w:style w:type="character" w:styleId="40">
    <w:name w:val="endnote reference"/>
    <w:basedOn w:val="38"/>
    <w:semiHidden/>
    <w:unhideWhenUsed/>
    <w:qFormat/>
    <w:uiPriority w:val="99"/>
    <w:rPr>
      <w:vertAlign w:val="superscript"/>
    </w:rPr>
  </w:style>
  <w:style w:type="character" w:styleId="41">
    <w:name w:val="page number"/>
    <w:basedOn w:val="38"/>
    <w:qFormat/>
    <w:uiPriority w:val="0"/>
  </w:style>
  <w:style w:type="character" w:styleId="42">
    <w:name w:val="Hyperlink"/>
    <w:basedOn w:val="38"/>
    <w:unhideWhenUsed/>
    <w:qFormat/>
    <w:uiPriority w:val="99"/>
    <w:rPr>
      <w:color w:val="0000FF" w:themeColor="hyperlink"/>
      <w:u w:val="single"/>
      <w14:textFill>
        <w14:solidFill>
          <w14:schemeClr w14:val="hlink"/>
        </w14:solidFill>
      </w14:textFill>
    </w:rPr>
  </w:style>
  <w:style w:type="character" w:styleId="43">
    <w:name w:val="annotation reference"/>
    <w:basedOn w:val="38"/>
    <w:unhideWhenUsed/>
    <w:qFormat/>
    <w:uiPriority w:val="0"/>
    <w:rPr>
      <w:sz w:val="21"/>
      <w:szCs w:val="21"/>
    </w:rPr>
  </w:style>
  <w:style w:type="character" w:styleId="44">
    <w:name w:val="footnote reference"/>
    <w:basedOn w:val="38"/>
    <w:semiHidden/>
    <w:unhideWhenUsed/>
    <w:qFormat/>
    <w:uiPriority w:val="99"/>
    <w:rPr>
      <w:vertAlign w:val="superscript"/>
    </w:rPr>
  </w:style>
  <w:style w:type="character" w:customStyle="1" w:styleId="45">
    <w:name w:val="正文文本 3 Char"/>
    <w:basedOn w:val="38"/>
    <w:link w:val="11"/>
    <w:qFormat/>
    <w:uiPriority w:val="99"/>
    <w:rPr>
      <w:rFonts w:ascii="宋体" w:hAnsi="宋体" w:eastAsia="宋体" w:cs="宋体"/>
      <w:sz w:val="16"/>
      <w:szCs w:val="16"/>
    </w:rPr>
  </w:style>
  <w:style w:type="character" w:customStyle="1" w:styleId="46">
    <w:name w:val="标题 2 Char"/>
    <w:basedOn w:val="38"/>
    <w:link w:val="4"/>
    <w:qFormat/>
    <w:uiPriority w:val="9"/>
    <w:rPr>
      <w:rFonts w:ascii="Arial" w:hAnsi="Arial" w:eastAsia="宋体" w:cs="Times New Roman"/>
      <w:b/>
      <w:sz w:val="24"/>
      <w:szCs w:val="20"/>
      <w:lang w:eastAsia="zh-CN"/>
    </w:rPr>
  </w:style>
  <w:style w:type="character" w:customStyle="1" w:styleId="47">
    <w:name w:val="标题 3 Char"/>
    <w:basedOn w:val="38"/>
    <w:link w:val="5"/>
    <w:qFormat/>
    <w:uiPriority w:val="99"/>
    <w:rPr>
      <w:rFonts w:ascii="宋体" w:hAnsi="Times New Roman" w:eastAsia="宋体" w:cs="Times New Roman"/>
      <w:b/>
      <w:sz w:val="24"/>
      <w:szCs w:val="20"/>
      <w:lang w:eastAsia="zh-CN"/>
    </w:rPr>
  </w:style>
  <w:style w:type="character" w:customStyle="1" w:styleId="48">
    <w:name w:val="标题 4 Char"/>
    <w:basedOn w:val="38"/>
    <w:link w:val="6"/>
    <w:qFormat/>
    <w:uiPriority w:val="9"/>
    <w:rPr>
      <w:rFonts w:eastAsia="宋体" w:asciiTheme="majorHAnsi" w:hAnsiTheme="majorHAnsi" w:cstheme="majorBidi"/>
      <w:b/>
      <w:bCs/>
      <w:sz w:val="24"/>
      <w:szCs w:val="28"/>
      <w:lang w:eastAsia="zh-CN"/>
    </w:rPr>
  </w:style>
  <w:style w:type="character" w:customStyle="1" w:styleId="49">
    <w:name w:val="标题 5 Char"/>
    <w:basedOn w:val="38"/>
    <w:link w:val="7"/>
    <w:qFormat/>
    <w:uiPriority w:val="9"/>
    <w:rPr>
      <w:rFonts w:ascii="宋体" w:hAnsi="宋体" w:eastAsia="宋体" w:cs="宋体"/>
      <w:b/>
      <w:bCs/>
      <w:sz w:val="28"/>
      <w:szCs w:val="28"/>
    </w:rPr>
  </w:style>
  <w:style w:type="table" w:customStyle="1" w:styleId="50">
    <w:name w:val="Table Normal"/>
    <w:semiHidden/>
    <w:unhideWhenUsed/>
    <w:qFormat/>
    <w:uiPriority w:val="2"/>
    <w:tblPr>
      <w:tblCellMar>
        <w:top w:w="0" w:type="dxa"/>
        <w:left w:w="0" w:type="dxa"/>
        <w:bottom w:w="0" w:type="dxa"/>
        <w:right w:w="0" w:type="dxa"/>
      </w:tblCellMar>
    </w:tblPr>
  </w:style>
  <w:style w:type="paragraph" w:styleId="51">
    <w:name w:val="List Paragraph"/>
    <w:basedOn w:val="1"/>
    <w:qFormat/>
    <w:uiPriority w:val="34"/>
    <w:pPr>
      <w:ind w:left="1057" w:hanging="840"/>
    </w:pPr>
  </w:style>
  <w:style w:type="paragraph" w:customStyle="1" w:styleId="52">
    <w:name w:val="Table Paragraph"/>
    <w:basedOn w:val="1"/>
    <w:qFormat/>
    <w:uiPriority w:val="1"/>
  </w:style>
  <w:style w:type="character" w:customStyle="1" w:styleId="53">
    <w:name w:val="页眉 Char"/>
    <w:basedOn w:val="38"/>
    <w:link w:val="23"/>
    <w:qFormat/>
    <w:uiPriority w:val="0"/>
    <w:rPr>
      <w:rFonts w:ascii="宋体" w:hAnsi="宋体" w:eastAsia="宋体" w:cs="宋体"/>
      <w:sz w:val="18"/>
      <w:szCs w:val="18"/>
    </w:rPr>
  </w:style>
  <w:style w:type="character" w:customStyle="1" w:styleId="54">
    <w:name w:val="页脚 Char"/>
    <w:basedOn w:val="38"/>
    <w:link w:val="22"/>
    <w:qFormat/>
    <w:uiPriority w:val="99"/>
    <w:rPr>
      <w:rFonts w:ascii="宋体" w:hAnsi="宋体" w:eastAsia="宋体" w:cs="宋体"/>
      <w:sz w:val="18"/>
      <w:szCs w:val="18"/>
    </w:rPr>
  </w:style>
  <w:style w:type="character" w:customStyle="1" w:styleId="55">
    <w:name w:val="批注框文本 Char"/>
    <w:basedOn w:val="38"/>
    <w:link w:val="21"/>
    <w:semiHidden/>
    <w:qFormat/>
    <w:uiPriority w:val="99"/>
    <w:rPr>
      <w:rFonts w:ascii="宋体" w:hAnsi="宋体" w:eastAsia="宋体" w:cs="宋体"/>
      <w:sz w:val="18"/>
      <w:szCs w:val="18"/>
    </w:rPr>
  </w:style>
  <w:style w:type="character" w:customStyle="1" w:styleId="56">
    <w:name w:val="批注文字 Char"/>
    <w:basedOn w:val="38"/>
    <w:link w:val="10"/>
    <w:qFormat/>
    <w:uiPriority w:val="0"/>
    <w:rPr>
      <w:rFonts w:ascii="宋体" w:hAnsi="宋体" w:eastAsia="宋体" w:cs="宋体"/>
    </w:rPr>
  </w:style>
  <w:style w:type="character" w:customStyle="1" w:styleId="57">
    <w:name w:val="批注主题 Char"/>
    <w:basedOn w:val="56"/>
    <w:link w:val="35"/>
    <w:qFormat/>
    <w:uiPriority w:val="0"/>
    <w:rPr>
      <w:rFonts w:ascii="宋体" w:hAnsi="宋体" w:eastAsia="宋体" w:cs="宋体"/>
      <w:b/>
      <w:bCs/>
    </w:rPr>
  </w:style>
  <w:style w:type="paragraph" w:customStyle="1" w:styleId="58">
    <w:name w:val="_Style 2"/>
    <w:basedOn w:val="1"/>
    <w:qFormat/>
    <w:uiPriority w:val="34"/>
    <w:pPr>
      <w:autoSpaceDE/>
      <w:autoSpaceDN/>
      <w:ind w:firstLine="420" w:firstLineChars="200"/>
      <w:jc w:val="both"/>
    </w:pPr>
    <w:rPr>
      <w:rFonts w:ascii="Calibri" w:hAnsi="Calibri" w:cs="Times New Roman"/>
      <w:kern w:val="2"/>
      <w:sz w:val="21"/>
      <w:szCs w:val="24"/>
      <w:lang w:eastAsia="zh-CN"/>
    </w:rPr>
  </w:style>
  <w:style w:type="character" w:customStyle="1" w:styleId="59">
    <w:name w:val="标题 Char"/>
    <w:link w:val="34"/>
    <w:uiPriority w:val="0"/>
    <w:rPr>
      <w:rFonts w:ascii="Cambria" w:hAnsi="Cambria"/>
      <w:b/>
      <w:bCs/>
      <w:kern w:val="2"/>
      <w:sz w:val="32"/>
      <w:szCs w:val="32"/>
    </w:rPr>
  </w:style>
  <w:style w:type="character" w:customStyle="1" w:styleId="60">
    <w:name w:val="标题 Char1"/>
    <w:basedOn w:val="38"/>
    <w:uiPriority w:val="10"/>
    <w:rPr>
      <w:rFonts w:eastAsia="宋体" w:asciiTheme="majorHAnsi" w:hAnsiTheme="majorHAnsi" w:cstheme="majorBidi"/>
      <w:b/>
      <w:bCs/>
      <w:sz w:val="32"/>
      <w:szCs w:val="32"/>
    </w:rPr>
  </w:style>
  <w:style w:type="paragraph" w:customStyle="1" w:styleId="61">
    <w:name w:val="Revision"/>
    <w:hidden/>
    <w:semiHidden/>
    <w:uiPriority w:val="99"/>
    <w:pPr>
      <w:widowControl/>
      <w:autoSpaceDE/>
      <w:autoSpaceDN/>
    </w:pPr>
    <w:rPr>
      <w:rFonts w:ascii="宋体" w:hAnsi="宋体" w:eastAsia="宋体" w:cs="宋体"/>
      <w:sz w:val="22"/>
      <w:szCs w:val="22"/>
      <w:lang w:val="en-US" w:eastAsia="en-US" w:bidi="ar-SA"/>
    </w:rPr>
  </w:style>
  <w:style w:type="paragraph" w:customStyle="1" w:styleId="62">
    <w:name w:val="列出段落1"/>
    <w:basedOn w:val="1"/>
    <w:qFormat/>
    <w:uiPriority w:val="0"/>
    <w:pPr>
      <w:widowControl/>
      <w:autoSpaceDE/>
      <w:autoSpaceDN/>
      <w:ind w:firstLine="420" w:firstLineChars="200"/>
    </w:pPr>
    <w:rPr>
      <w:rFonts w:ascii="Cambria" w:hAnsi="Cambria" w:eastAsia="微软雅黑" w:cs="Times New Roman"/>
      <w:color w:val="595959"/>
      <w:kern w:val="20"/>
      <w:sz w:val="21"/>
      <w:szCs w:val="20"/>
      <w:lang w:val="zh-CN" w:eastAsia="zh-CN"/>
    </w:rPr>
  </w:style>
  <w:style w:type="paragraph" w:customStyle="1" w:styleId="63">
    <w:name w:val="Default"/>
    <w:uiPriority w:val="0"/>
    <w:pPr>
      <w:widowControl w:val="0"/>
      <w:autoSpaceDE w:val="0"/>
      <w:autoSpaceDN w:val="0"/>
      <w:adjustRightInd w:val="0"/>
    </w:pPr>
    <w:rPr>
      <w:rFonts w:ascii="宋体瀗.烥栀." w:eastAsia="宋体瀗.烥栀." w:cs="宋体瀗.烥栀." w:hAnsiTheme="minorHAnsi"/>
      <w:color w:val="000000"/>
      <w:sz w:val="24"/>
      <w:szCs w:val="24"/>
      <w:lang w:val="en-US" w:eastAsia="en-US" w:bidi="ar-SA"/>
    </w:rPr>
  </w:style>
  <w:style w:type="character" w:customStyle="1" w:styleId="64">
    <w:name w:val="标题 2 Char Char"/>
    <w:basedOn w:val="46"/>
    <w:qFormat/>
    <w:uiPriority w:val="0"/>
    <w:rPr>
      <w:rFonts w:hint="default" w:ascii="Arial" w:hAnsi="Arial" w:eastAsia="宋体" w:cs="Times New Roman"/>
      <w:b w:val="0"/>
      <w:bCs/>
      <w:kern w:val="2"/>
      <w:sz w:val="24"/>
      <w:szCs w:val="32"/>
      <w:lang w:val="en-US" w:eastAsia="zh-CN" w:bidi="ar-SA"/>
    </w:rPr>
  </w:style>
  <w:style w:type="character" w:customStyle="1" w:styleId="65">
    <w:name w:val="纯文本 Char"/>
    <w:link w:val="16"/>
    <w:uiPriority w:val="0"/>
    <w:rPr>
      <w:rFonts w:ascii="宋体" w:hAnsi="Courier New"/>
      <w:kern w:val="2"/>
      <w:sz w:val="21"/>
      <w:szCs w:val="21"/>
    </w:rPr>
  </w:style>
  <w:style w:type="paragraph" w:customStyle="1" w:styleId="66">
    <w:name w:val="样式 标题 3h3H3sect1.2.3 + 五号 段前: 6 磅 段后: 6 磅 行距: 单倍行距"/>
    <w:basedOn w:val="5"/>
    <w:qFormat/>
    <w:uiPriority w:val="0"/>
    <w:pPr>
      <w:numPr>
        <w:ilvl w:val="2"/>
        <w:numId w:val="1"/>
      </w:numPr>
      <w:autoSpaceDE/>
      <w:autoSpaceDN/>
      <w:adjustRightInd/>
      <w:spacing w:before="120"/>
      <w:jc w:val="both"/>
    </w:pPr>
    <w:rPr>
      <w:rFonts w:ascii="Times New Roman" w:cs="宋体"/>
      <w:bCs/>
      <w:kern w:val="2"/>
      <w:sz w:val="21"/>
    </w:rPr>
  </w:style>
  <w:style w:type="paragraph" w:customStyle="1" w:styleId="67">
    <w:name w:val="样式 标题 2 + 宋体 五号 非加粗 黑色"/>
    <w:basedOn w:val="4"/>
    <w:uiPriority w:val="0"/>
    <w:pPr>
      <w:numPr>
        <w:ilvl w:val="1"/>
        <w:numId w:val="1"/>
      </w:numPr>
      <w:autoSpaceDE/>
      <w:autoSpaceDN/>
      <w:adjustRightInd/>
      <w:spacing w:before="240" w:line="400" w:lineRule="exact"/>
      <w:jc w:val="both"/>
    </w:pPr>
    <w:rPr>
      <w:rFonts w:ascii="宋体" w:hAnsi="宋体"/>
      <w:b w:val="0"/>
      <w:color w:val="000000"/>
      <w:kern w:val="2"/>
      <w:sz w:val="21"/>
      <w:szCs w:val="32"/>
    </w:rPr>
  </w:style>
  <w:style w:type="character" w:customStyle="1" w:styleId="68">
    <w:name w:val="纯文本 Char1"/>
    <w:basedOn w:val="38"/>
    <w:uiPriority w:val="0"/>
    <w:rPr>
      <w:rFonts w:ascii="宋体" w:hAnsi="Courier New" w:eastAsia="宋体" w:cs="Courier New"/>
      <w:sz w:val="21"/>
      <w:szCs w:val="21"/>
    </w:rPr>
  </w:style>
  <w:style w:type="paragraph" w:customStyle="1" w:styleId="69">
    <w:name w:val="样式 标题 4 + 段前: 5 磅 段后: 5 磅 行距: 单倍行距"/>
    <w:basedOn w:val="6"/>
    <w:uiPriority w:val="0"/>
    <w:pPr>
      <w:autoSpaceDE/>
      <w:autoSpaceDN/>
      <w:spacing w:before="100" w:after="100" w:line="240" w:lineRule="auto"/>
      <w:ind w:left="3619" w:hanging="720"/>
      <w:jc w:val="both"/>
    </w:pPr>
    <w:rPr>
      <w:rFonts w:ascii="Arial" w:hAnsi="Arial" w:eastAsia="黑体" w:cs="宋体"/>
      <w:kern w:val="2"/>
      <w:szCs w:val="20"/>
    </w:rPr>
  </w:style>
  <w:style w:type="paragraph" w:customStyle="1" w:styleId="70">
    <w:name w:val="样式1"/>
    <w:basedOn w:val="1"/>
    <w:uiPriority w:val="0"/>
    <w:pPr>
      <w:numPr>
        <w:ilvl w:val="0"/>
        <w:numId w:val="2"/>
      </w:numPr>
      <w:tabs>
        <w:tab w:val="left" w:pos="709"/>
      </w:tabs>
      <w:autoSpaceDE/>
      <w:autoSpaceDN/>
      <w:jc w:val="both"/>
    </w:pPr>
    <w:rPr>
      <w:rFonts w:cs="Times New Roman"/>
      <w:kern w:val="2"/>
      <w:sz w:val="21"/>
      <w:szCs w:val="21"/>
      <w:lang w:eastAsia="zh-CN"/>
    </w:rPr>
  </w:style>
  <w:style w:type="paragraph" w:customStyle="1" w:styleId="71">
    <w:name w:val="样式 标题 3 + (中文) 黑体 小四 非加粗 段前: 7.8 磅 段后: 0 磅 行距: 固定值 20 磅"/>
    <w:basedOn w:val="5"/>
    <w:uiPriority w:val="0"/>
    <w:pPr>
      <w:autoSpaceDE/>
      <w:autoSpaceDN/>
      <w:adjustRightInd/>
      <w:spacing w:before="0" w:after="0" w:line="400" w:lineRule="exact"/>
      <w:jc w:val="both"/>
    </w:pPr>
    <w:rPr>
      <w:rFonts w:ascii="Times New Roman" w:eastAsia="黑体"/>
      <w:b w:val="0"/>
      <w:kern w:val="2"/>
    </w:rPr>
  </w:style>
  <w:style w:type="paragraph" w:customStyle="1" w:styleId="72">
    <w:name w:val="样式 标题 2 + Times New Roman 四号 非加粗 段前: 5 磅 段后: 0 磅 行距: 固定值 20..."/>
    <w:basedOn w:val="4"/>
    <w:uiPriority w:val="0"/>
    <w:pPr>
      <w:autoSpaceDE/>
      <w:autoSpaceDN/>
      <w:adjustRightInd/>
      <w:spacing w:line="400" w:lineRule="exact"/>
      <w:jc w:val="both"/>
    </w:pPr>
    <w:rPr>
      <w:rFonts w:ascii="Times New Roman" w:hAnsi="Times New Roman" w:cs="宋体"/>
      <w:b w:val="0"/>
      <w:kern w:val="2"/>
      <w:sz w:val="28"/>
    </w:rPr>
  </w:style>
  <w:style w:type="character" w:customStyle="1" w:styleId="73">
    <w:name w:val="正文文本缩进 Char"/>
    <w:basedOn w:val="38"/>
    <w:link w:val="13"/>
    <w:uiPriority w:val="99"/>
    <w:rPr>
      <w:rFonts w:ascii="宋体" w:hAnsi="宋体" w:eastAsia="宋体" w:cs="宋体"/>
    </w:rPr>
  </w:style>
  <w:style w:type="character" w:customStyle="1" w:styleId="74">
    <w:name w:val="正文文本缩进 3 Char"/>
    <w:basedOn w:val="38"/>
    <w:link w:val="28"/>
    <w:uiPriority w:val="0"/>
    <w:rPr>
      <w:rFonts w:ascii="宋体" w:hAnsi="宋体" w:eastAsia="宋体" w:cs="宋体"/>
      <w:sz w:val="16"/>
      <w:szCs w:val="16"/>
    </w:rPr>
  </w:style>
  <w:style w:type="paragraph" w:customStyle="1" w:styleId="75">
    <w:name w:val="2"/>
    <w:basedOn w:val="1"/>
    <w:next w:val="13"/>
    <w:uiPriority w:val="0"/>
    <w:pPr>
      <w:autoSpaceDE/>
      <w:autoSpaceDN/>
      <w:ind w:left="432"/>
      <w:jc w:val="both"/>
    </w:pPr>
    <w:rPr>
      <w:rFonts w:ascii="Times New Roman" w:hAnsi="Times New Roman" w:cs="Times New Roman"/>
      <w:kern w:val="2"/>
      <w:sz w:val="21"/>
      <w:szCs w:val="20"/>
      <w:lang w:eastAsia="zh-CN"/>
    </w:rPr>
  </w:style>
  <w:style w:type="character" w:customStyle="1" w:styleId="76">
    <w:name w:val="尾注文本 Char"/>
    <w:basedOn w:val="38"/>
    <w:link w:val="20"/>
    <w:semiHidden/>
    <w:uiPriority w:val="99"/>
    <w:rPr>
      <w:rFonts w:ascii="宋体" w:hAnsi="宋体" w:eastAsia="宋体" w:cs="宋体"/>
    </w:rPr>
  </w:style>
  <w:style w:type="character" w:customStyle="1" w:styleId="77">
    <w:name w:val="脚注文本 Char"/>
    <w:basedOn w:val="38"/>
    <w:link w:val="26"/>
    <w:semiHidden/>
    <w:uiPriority w:val="99"/>
    <w:rPr>
      <w:rFonts w:ascii="宋体" w:hAnsi="宋体" w:eastAsia="宋体" w:cs="宋体"/>
      <w:sz w:val="18"/>
      <w:szCs w:val="18"/>
    </w:rPr>
  </w:style>
  <w:style w:type="character" w:customStyle="1" w:styleId="78">
    <w:name w:val="正文缩进 Char"/>
    <w:basedOn w:val="38"/>
    <w:link w:val="3"/>
    <w:qFormat/>
    <w:uiPriority w:val="0"/>
    <w:rPr>
      <w:rFonts w:ascii="宋体" w:hAnsi="宋体" w:eastAsia="宋体" w:cs="宋体"/>
    </w:rPr>
  </w:style>
  <w:style w:type="character" w:customStyle="1" w:styleId="79">
    <w:name w:val="正文文本 Char"/>
    <w:basedOn w:val="38"/>
    <w:link w:val="12"/>
    <w:uiPriority w:val="99"/>
    <w:rPr>
      <w:rFonts w:ascii="宋体" w:hAnsi="宋体" w:eastAsia="宋体" w:cs="宋体"/>
      <w:sz w:val="24"/>
      <w:szCs w:val="24"/>
    </w:rPr>
  </w:style>
  <w:style w:type="character" w:customStyle="1" w:styleId="80">
    <w:name w:val="未处理的提及1"/>
    <w:basedOn w:val="38"/>
    <w:semiHidden/>
    <w:unhideWhenUsed/>
    <w:uiPriority w:val="99"/>
    <w:rPr>
      <w:color w:val="605E5C"/>
      <w:shd w:val="clear" w:color="auto" w:fill="E1DFDD"/>
    </w:rPr>
  </w:style>
  <w:style w:type="paragraph" w:customStyle="1" w:styleId="81">
    <w:name w:val="Char Char Char Char1"/>
    <w:basedOn w:val="1"/>
    <w:qFormat/>
    <w:uiPriority w:val="0"/>
    <w:pPr>
      <w:widowControl/>
      <w:tabs>
        <w:tab w:val="left" w:pos="360"/>
      </w:tabs>
      <w:autoSpaceDE/>
      <w:autoSpaceDN/>
      <w:ind w:firstLine="420" w:firstLineChars="150"/>
      <w:jc w:val="both"/>
    </w:pPr>
    <w:rPr>
      <w:rFonts w:ascii="Arial" w:hAnsi="Arial" w:cs="Arial"/>
      <w:kern w:val="2"/>
      <w:sz w:val="20"/>
      <w:szCs w:val="20"/>
      <w:lang w:eastAsia="zh-CN"/>
    </w:rPr>
  </w:style>
  <w:style w:type="character" w:customStyle="1" w:styleId="82">
    <w:name w:val="c lh15"/>
    <w:basedOn w:val="38"/>
    <w:qFormat/>
    <w:uiPriority w:val="0"/>
  </w:style>
  <w:style w:type="character" w:customStyle="1" w:styleId="83">
    <w:name w:val="样式 小四 行距: 1.5 倍行距 Char"/>
    <w:uiPriority w:val="0"/>
    <w:rPr>
      <w:rFonts w:eastAsia="宋体"/>
      <w:kern w:val="2"/>
      <w:sz w:val="24"/>
      <w:lang w:val="en-US" w:eastAsia="zh-CN"/>
    </w:rPr>
  </w:style>
  <w:style w:type="character" w:customStyle="1" w:styleId="84">
    <w:name w:val="正文 首行缩进:  2 字符 Char1"/>
    <w:link w:val="85"/>
    <w:qFormat/>
    <w:uiPriority w:val="0"/>
    <w:rPr>
      <w:rFonts w:ascii="Arial" w:hAnsi="Arial" w:eastAsia="楷体_GB2312"/>
      <w:kern w:val="2"/>
      <w:sz w:val="28"/>
      <w:lang w:eastAsia="zh-CN"/>
    </w:rPr>
  </w:style>
  <w:style w:type="paragraph" w:customStyle="1" w:styleId="85">
    <w:name w:val="正文 首行缩进:  2 字符"/>
    <w:basedOn w:val="1"/>
    <w:link w:val="84"/>
    <w:qFormat/>
    <w:uiPriority w:val="0"/>
    <w:pPr>
      <w:autoSpaceDE/>
      <w:autoSpaceDN/>
      <w:ind w:firstLine="560" w:firstLineChars="200"/>
      <w:jc w:val="both"/>
    </w:pPr>
    <w:rPr>
      <w:rFonts w:ascii="Arial" w:hAnsi="Arial" w:eastAsia="楷体_GB2312" w:cstheme="minorBidi"/>
      <w:kern w:val="2"/>
      <w:sz w:val="28"/>
      <w:lang w:eastAsia="zh-CN"/>
    </w:rPr>
  </w:style>
  <w:style w:type="character" w:customStyle="1" w:styleId="86">
    <w:name w:val="正文符号1 Char"/>
    <w:link w:val="87"/>
    <w:uiPriority w:val="0"/>
    <w:rPr>
      <w:rFonts w:eastAsia="楷体_GB2312"/>
      <w:sz w:val="28"/>
      <w:szCs w:val="24"/>
      <w:lang w:eastAsia="zh-CN"/>
    </w:rPr>
  </w:style>
  <w:style w:type="paragraph" w:customStyle="1" w:styleId="87">
    <w:name w:val="正文符号1"/>
    <w:basedOn w:val="88"/>
    <w:link w:val="86"/>
    <w:uiPriority w:val="0"/>
    <w:pPr>
      <w:numPr>
        <w:ilvl w:val="0"/>
        <w:numId w:val="3"/>
      </w:numPr>
      <w:tabs>
        <w:tab w:val="left" w:pos="960"/>
        <w:tab w:val="left" w:pos="1080"/>
      </w:tabs>
      <w:ind w:left="960" w:firstLine="0" w:firstLineChars="0"/>
    </w:pPr>
  </w:style>
  <w:style w:type="paragraph" w:customStyle="1" w:styleId="88">
    <w:name w:val="正文首行缩进2字"/>
    <w:basedOn w:val="1"/>
    <w:link w:val="89"/>
    <w:uiPriority w:val="0"/>
    <w:pPr>
      <w:autoSpaceDE/>
      <w:autoSpaceDN/>
      <w:ind w:firstLine="560" w:firstLineChars="200"/>
      <w:jc w:val="both"/>
    </w:pPr>
    <w:rPr>
      <w:rFonts w:eastAsia="楷体_GB2312" w:asciiTheme="minorHAnsi" w:hAnsiTheme="minorHAnsi" w:cstheme="minorBidi"/>
      <w:sz w:val="28"/>
      <w:szCs w:val="24"/>
      <w:lang w:eastAsia="zh-CN"/>
    </w:rPr>
  </w:style>
  <w:style w:type="character" w:customStyle="1" w:styleId="89">
    <w:name w:val="正文首行缩进2字 Char"/>
    <w:link w:val="88"/>
    <w:uiPriority w:val="0"/>
    <w:rPr>
      <w:rFonts w:eastAsia="楷体_GB2312"/>
      <w:sz w:val="28"/>
      <w:szCs w:val="24"/>
      <w:lang w:eastAsia="zh-CN"/>
    </w:rPr>
  </w:style>
  <w:style w:type="character" w:customStyle="1" w:styleId="90">
    <w:name w:val="正文加重首行缩进2字 Char"/>
    <w:link w:val="91"/>
    <w:uiPriority w:val="0"/>
    <w:rPr>
      <w:rFonts w:eastAsia="楷体_GB2312"/>
      <w:b/>
      <w:bCs/>
      <w:sz w:val="28"/>
      <w:szCs w:val="24"/>
      <w:lang w:eastAsia="zh-CN"/>
    </w:rPr>
  </w:style>
  <w:style w:type="paragraph" w:customStyle="1" w:styleId="91">
    <w:name w:val="正文加重首行缩进2字"/>
    <w:basedOn w:val="88"/>
    <w:link w:val="90"/>
    <w:uiPriority w:val="0"/>
    <w:rPr>
      <w:b/>
      <w:bCs/>
    </w:rPr>
  </w:style>
  <w:style w:type="character" w:customStyle="1" w:styleId="92">
    <w:name w:val="标题 1 Char"/>
    <w:link w:val="2"/>
    <w:uiPriority w:val="0"/>
    <w:rPr>
      <w:rFonts w:ascii="Microsoft JhengHei" w:hAnsi="Microsoft JhengHei" w:eastAsia="宋体" w:cs="Microsoft JhengHei"/>
      <w:b/>
      <w:bCs/>
      <w:sz w:val="24"/>
      <w:szCs w:val="28"/>
    </w:rPr>
  </w:style>
  <w:style w:type="character" w:customStyle="1" w:styleId="93">
    <w:name w:val="文档结构图 Char"/>
    <w:basedOn w:val="38"/>
    <w:link w:val="9"/>
    <w:uiPriority w:val="0"/>
    <w:rPr>
      <w:rFonts w:ascii="Times New Roman" w:hAnsi="Times New Roman" w:eastAsia="宋体" w:cs="Times New Roman"/>
      <w:kern w:val="2"/>
      <w:sz w:val="21"/>
      <w:szCs w:val="20"/>
      <w:shd w:val="clear" w:color="auto" w:fill="000080"/>
      <w:lang w:eastAsia="zh-CN"/>
    </w:rPr>
  </w:style>
  <w:style w:type="character" w:customStyle="1" w:styleId="94">
    <w:name w:val="正文文本缩进 2 Char"/>
    <w:basedOn w:val="38"/>
    <w:link w:val="19"/>
    <w:uiPriority w:val="99"/>
    <w:rPr>
      <w:rFonts w:ascii="Times New Roman" w:hAnsi="Times New Roman" w:eastAsia="宋体" w:cs="Times New Roman"/>
      <w:kern w:val="2"/>
      <w:sz w:val="21"/>
      <w:szCs w:val="20"/>
      <w:lang w:eastAsia="zh-CN"/>
    </w:rPr>
  </w:style>
  <w:style w:type="character" w:customStyle="1" w:styleId="95">
    <w:name w:val="日期 Char"/>
    <w:basedOn w:val="38"/>
    <w:link w:val="18"/>
    <w:uiPriority w:val="0"/>
    <w:rPr>
      <w:rFonts w:ascii="Times New Roman" w:hAnsi="Times New Roman" w:eastAsia="宋体" w:cs="Times New Roman"/>
      <w:kern w:val="2"/>
      <w:sz w:val="21"/>
      <w:szCs w:val="20"/>
      <w:lang w:eastAsia="zh-CN"/>
    </w:rPr>
  </w:style>
  <w:style w:type="paragraph" w:customStyle="1" w:styleId="96">
    <w:name w:val="Char Char Char Char Char Char Char Char Char Char"/>
    <w:basedOn w:val="1"/>
    <w:uiPriority w:val="99"/>
    <w:pPr>
      <w:autoSpaceDE/>
      <w:autoSpaceDN/>
      <w:adjustRightInd w:val="0"/>
      <w:spacing w:line="360" w:lineRule="auto"/>
      <w:jc w:val="both"/>
    </w:pPr>
    <w:rPr>
      <w:rFonts w:ascii="Times New Roman" w:hAnsi="Times New Roman" w:cs="Times New Roman"/>
      <w:sz w:val="24"/>
      <w:szCs w:val="20"/>
      <w:lang w:eastAsia="zh-CN"/>
    </w:rPr>
  </w:style>
  <w:style w:type="paragraph" w:customStyle="1" w:styleId="97">
    <w:name w:val="默认段落字体 Para Char Char Char Char Char Char Char Char Char Char"/>
    <w:basedOn w:val="1"/>
    <w:uiPriority w:val="0"/>
    <w:pPr>
      <w:autoSpaceDE/>
      <w:autoSpaceDN/>
      <w:jc w:val="both"/>
    </w:pPr>
    <w:rPr>
      <w:rFonts w:ascii="Times New Roman" w:hAnsi="Times New Roman" w:eastAsia="仿宋_GB2312" w:cs="Times New Roman"/>
      <w:kern w:val="2"/>
      <w:sz w:val="32"/>
      <w:szCs w:val="32"/>
      <w:lang w:eastAsia="zh-CN"/>
    </w:rPr>
  </w:style>
  <w:style w:type="paragraph" w:customStyle="1" w:styleId="98">
    <w:name w:val="Char Char Char1 Char Char Char Char Char Char Char Char Char Char"/>
    <w:basedOn w:val="1"/>
    <w:uiPriority w:val="0"/>
    <w:pPr>
      <w:autoSpaceDE/>
      <w:autoSpaceDN/>
      <w:jc w:val="both"/>
    </w:pPr>
    <w:rPr>
      <w:rFonts w:ascii="Tahoma" w:hAnsi="Tahoma" w:cs="Times New Roman"/>
      <w:kern w:val="2"/>
      <w:sz w:val="24"/>
      <w:szCs w:val="20"/>
      <w:lang w:eastAsia="zh-CN"/>
    </w:rPr>
  </w:style>
  <w:style w:type="paragraph" w:customStyle="1" w:styleId="99">
    <w:name w:val="Char Char Char1 Char Char Char Char Char Char2 Char"/>
    <w:basedOn w:val="1"/>
    <w:uiPriority w:val="0"/>
    <w:pPr>
      <w:autoSpaceDE/>
      <w:autoSpaceDN/>
      <w:jc w:val="both"/>
    </w:pPr>
    <w:rPr>
      <w:rFonts w:ascii="Tahoma" w:hAnsi="Tahoma" w:cs="Times New Roman"/>
      <w:kern w:val="2"/>
      <w:sz w:val="24"/>
      <w:szCs w:val="20"/>
      <w:lang w:eastAsia="zh-CN"/>
    </w:rPr>
  </w:style>
  <w:style w:type="paragraph" w:customStyle="1" w:styleId="100">
    <w:name w:val="Char3 Char Char Char"/>
    <w:basedOn w:val="1"/>
    <w:uiPriority w:val="0"/>
    <w:pPr>
      <w:autoSpaceDE/>
      <w:autoSpaceDN/>
      <w:jc w:val="both"/>
    </w:pPr>
    <w:rPr>
      <w:rFonts w:ascii="Tahoma" w:hAnsi="Tahoma" w:cs="Times New Roman"/>
      <w:kern w:val="2"/>
      <w:sz w:val="24"/>
      <w:szCs w:val="20"/>
      <w:lang w:eastAsia="zh-CN"/>
    </w:rPr>
  </w:style>
  <w:style w:type="paragraph" w:customStyle="1" w:styleId="101">
    <w:name w:val="Char Char1"/>
    <w:basedOn w:val="9"/>
    <w:uiPriority w:val="0"/>
    <w:rPr>
      <w:rFonts w:ascii="Tahoma" w:hAnsi="Tahoma"/>
      <w:sz w:val="24"/>
      <w:szCs w:val="24"/>
    </w:rPr>
  </w:style>
  <w:style w:type="paragraph" w:styleId="102">
    <w:name w:val="No Spacing"/>
    <w:qFormat/>
    <w:uiPriority w:val="1"/>
    <w:pPr>
      <w:widowControl w:val="0"/>
      <w:autoSpaceDE/>
      <w:autoSpaceDN/>
      <w:jc w:val="both"/>
    </w:pPr>
    <w:rPr>
      <w:rFonts w:ascii="Times New Roman" w:hAnsi="Times New Roman" w:eastAsia="宋体" w:cs="Times New Roman"/>
      <w:kern w:val="2"/>
      <w:sz w:val="21"/>
      <w:szCs w:val="21"/>
      <w:lang w:val="en-US" w:eastAsia="zh-CN" w:bidi="ar-SA"/>
    </w:rPr>
  </w:style>
  <w:style w:type="paragraph" w:customStyle="1" w:styleId="103">
    <w:name w:val="HTML 预先格式化"/>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黑体" w:hAnsi="Courier New" w:eastAsia="黑体" w:cs="Times New Roman"/>
      <w:sz w:val="20"/>
      <w:szCs w:val="20"/>
      <w:lang w:eastAsia="zh-CN"/>
    </w:rPr>
  </w:style>
  <w:style w:type="table" w:customStyle="1" w:styleId="104">
    <w:name w:val="网格型1"/>
    <w:basedOn w:val="36"/>
    <w:qFormat/>
    <w:uiPriority w:val="39"/>
    <w:pPr>
      <w:widowControl/>
      <w:autoSpaceDE/>
      <w:autoSpaceDN/>
    </w:pPr>
    <w:rPr>
      <w:rFonts w:ascii="Times New Roman" w:hAnsi="Times New Roman"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5">
    <w:name w:val="Char Char15"/>
    <w:uiPriority w:val="0"/>
    <w:rPr>
      <w:rFonts w:eastAsia="宋体"/>
      <w:b/>
      <w:sz w:val="24"/>
      <w:lang w:val="en-US" w:eastAsia="zh-CN" w:bidi="ar-SA"/>
    </w:rPr>
  </w:style>
  <w:style w:type="character" w:customStyle="1" w:styleId="106">
    <w:name w:val="未处理的提及2"/>
    <w:basedOn w:val="38"/>
    <w:semiHidden/>
    <w:unhideWhenUsed/>
    <w:uiPriority w:val="99"/>
    <w:rPr>
      <w:color w:val="605E5C"/>
      <w:shd w:val="clear" w:color="auto" w:fill="E1DFDD"/>
    </w:rPr>
  </w:style>
  <w:style w:type="paragraph" w:customStyle="1" w:styleId="107">
    <w:name w:val="p0"/>
    <w:basedOn w:val="1"/>
    <w:uiPriority w:val="0"/>
    <w:pPr>
      <w:widowControl/>
      <w:autoSpaceDE/>
      <w:autoSpaceDN/>
      <w:jc w:val="both"/>
    </w:pPr>
    <w:rPr>
      <w:sz w:val="21"/>
      <w:szCs w:val="21"/>
      <w:lang w:eastAsia="zh-CN"/>
    </w:rPr>
  </w:style>
  <w:style w:type="paragraph" w:customStyle="1" w:styleId="108">
    <w:name w:val="章节标题"/>
    <w:basedOn w:val="2"/>
    <w:uiPriority w:val="0"/>
    <w:pPr>
      <w:keepNext/>
      <w:keepLines/>
      <w:autoSpaceDE/>
      <w:autoSpaceDN/>
      <w:spacing w:before="0" w:beforeLines="25" w:beforeAutospacing="0" w:after="0" w:afterAutospacing="0" w:line="440" w:lineRule="exact"/>
      <w:ind w:hanging="792" w:hangingChars="330"/>
      <w:jc w:val="center"/>
    </w:pPr>
    <w:rPr>
      <w:rFonts w:ascii="Times New Roman" w:hAnsi="Times New Roman" w:cs="宋体"/>
      <w:kern w:val="44"/>
      <w:szCs w:val="20"/>
      <w:lang w:eastAsia="zh-CN"/>
    </w:rPr>
  </w:style>
  <w:style w:type="character" w:customStyle="1" w:styleId="109">
    <w:name w:val="页码1"/>
    <w:uiPriority w:val="99"/>
    <w:rPr>
      <w:rFonts w:cs="Times New Roman"/>
    </w:rPr>
  </w:style>
  <w:style w:type="character" w:customStyle="1" w:styleId="110">
    <w:name w:val="正文缩进 字符"/>
    <w:semiHidden/>
    <w:qFormat/>
    <w:locked/>
    <w:uiPriority w:val="99"/>
    <w:rPr>
      <w:rFonts w:ascii="宋体" w:hAnsi="Calibri"/>
      <w:sz w:val="24"/>
    </w:rPr>
  </w:style>
  <w:style w:type="character" w:customStyle="1" w:styleId="111">
    <w:name w:val="HTML 预设格式 Char"/>
    <w:link w:val="31"/>
    <w:uiPriority w:val="0"/>
    <w:rPr>
      <w:rFonts w:ascii="Arial" w:hAnsi="Arial" w:cs="Arial"/>
      <w:sz w:val="21"/>
      <w:szCs w:val="21"/>
    </w:rPr>
  </w:style>
  <w:style w:type="character" w:customStyle="1" w:styleId="112">
    <w:name w:val="批注引用1"/>
    <w:uiPriority w:val="99"/>
    <w:rPr>
      <w:rFonts w:cs="Times New Roman"/>
      <w:sz w:val="21"/>
      <w:szCs w:val="21"/>
    </w:rPr>
  </w:style>
  <w:style w:type="paragraph" w:customStyle="1" w:styleId="113">
    <w:name w:val="批注主题1"/>
    <w:basedOn w:val="10"/>
    <w:next w:val="10"/>
    <w:qFormat/>
    <w:uiPriority w:val="99"/>
    <w:pPr>
      <w:autoSpaceDE/>
      <w:autoSpaceDN/>
    </w:pPr>
    <w:rPr>
      <w:rFonts w:ascii="Times New Roman" w:hAnsi="Times New Roman" w:cs="Times New Roman"/>
      <w:b/>
      <w:bCs/>
      <w:sz w:val="20"/>
      <w:szCs w:val="24"/>
      <w:lang w:val="zh-CN" w:eastAsia="zh-CN"/>
    </w:rPr>
  </w:style>
  <w:style w:type="paragraph" w:customStyle="1" w:styleId="114">
    <w:name w:val="ptdl"/>
    <w:basedOn w:val="1"/>
    <w:uiPriority w:val="99"/>
    <w:pPr>
      <w:autoSpaceDE/>
      <w:autoSpaceDN/>
      <w:spacing w:after="156"/>
      <w:ind w:firstLine="480"/>
      <w:jc w:val="both"/>
    </w:pPr>
    <w:rPr>
      <w:rFonts w:ascii="Times New Roman" w:hAnsi="Times New Roman" w:cs="Times New Roman"/>
      <w:kern w:val="2"/>
      <w:sz w:val="24"/>
      <w:szCs w:val="20"/>
      <w:lang w:eastAsia="zh-CN"/>
    </w:rPr>
  </w:style>
  <w:style w:type="paragraph" w:customStyle="1" w:styleId="115">
    <w:name w:val="正文文本缩进1"/>
    <w:basedOn w:val="1"/>
    <w:uiPriority w:val="99"/>
    <w:pPr>
      <w:autoSpaceDE/>
      <w:autoSpaceDN/>
      <w:ind w:left="1" w:leftChars="-85" w:hanging="179" w:hangingChars="64"/>
      <w:jc w:val="both"/>
    </w:pPr>
    <w:rPr>
      <w:rFonts w:ascii="仿宋_GB2312" w:hAnsi="Times New Roman" w:eastAsia="仿宋_GB2312" w:cs="Times New Roman"/>
      <w:b/>
      <w:kern w:val="2"/>
      <w:sz w:val="28"/>
      <w:szCs w:val="20"/>
      <w:lang w:eastAsia="zh-CN"/>
    </w:rPr>
  </w:style>
  <w:style w:type="paragraph" w:customStyle="1" w:styleId="116">
    <w:name w:val="正文文本 31"/>
    <w:basedOn w:val="1"/>
    <w:uiPriority w:val="99"/>
    <w:pPr>
      <w:autoSpaceDE/>
      <w:autoSpaceDN/>
      <w:spacing w:line="360" w:lineRule="auto"/>
      <w:ind w:right="357" w:rightChars="170"/>
      <w:jc w:val="both"/>
    </w:pPr>
    <w:rPr>
      <w:rFonts w:cs="Times New Roman"/>
      <w:b/>
      <w:bCs/>
      <w:kern w:val="2"/>
      <w:sz w:val="28"/>
      <w:szCs w:val="20"/>
      <w:u w:val="single"/>
      <w:lang w:eastAsia="zh-CN"/>
    </w:rPr>
  </w:style>
  <w:style w:type="paragraph" w:customStyle="1" w:styleId="117">
    <w:name w:val="页脚2"/>
    <w:basedOn w:val="1"/>
    <w:uiPriority w:val="99"/>
    <w:pPr>
      <w:widowControl/>
      <w:pBdr>
        <w:top w:val="single" w:color="auto" w:sz="6" w:space="0"/>
      </w:pBdr>
      <w:autoSpaceDE/>
      <w:autoSpaceDN/>
      <w:jc w:val="right"/>
      <w:textAlignment w:val="center"/>
    </w:pPr>
    <w:rPr>
      <w:rFonts w:ascii="Times New Roman" w:hAnsi="Times New Roman" w:cs="Times New Roman"/>
      <w:kern w:val="2"/>
      <w:sz w:val="18"/>
      <w:szCs w:val="18"/>
      <w:lang w:eastAsia="zh-CN"/>
    </w:rPr>
  </w:style>
  <w:style w:type="paragraph" w:customStyle="1" w:styleId="118">
    <w:name w:val="日期1"/>
    <w:basedOn w:val="1"/>
    <w:next w:val="1"/>
    <w:uiPriority w:val="99"/>
    <w:pPr>
      <w:autoSpaceDE/>
      <w:autoSpaceDN/>
      <w:ind w:left="100" w:leftChars="2500"/>
      <w:jc w:val="both"/>
    </w:pPr>
    <w:rPr>
      <w:rFonts w:ascii="Times New Roman" w:hAnsi="Times New Roman" w:cs="Times New Roman"/>
      <w:kern w:val="2"/>
      <w:sz w:val="21"/>
      <w:szCs w:val="24"/>
      <w:lang w:eastAsia="zh-CN"/>
    </w:rPr>
  </w:style>
  <w:style w:type="character" w:customStyle="1" w:styleId="119">
    <w:name w:val="HTML 预设格式 Char1"/>
    <w:basedOn w:val="38"/>
    <w:semiHidden/>
    <w:uiPriority w:val="99"/>
    <w:rPr>
      <w:rFonts w:ascii="Courier New" w:hAnsi="Courier New" w:eastAsia="宋体" w:cs="Courier New"/>
      <w:sz w:val="20"/>
      <w:szCs w:val="20"/>
    </w:rPr>
  </w:style>
  <w:style w:type="paragraph" w:customStyle="1" w:styleId="120">
    <w:name w:val="索引 11"/>
    <w:basedOn w:val="1"/>
    <w:next w:val="1"/>
    <w:uiPriority w:val="99"/>
    <w:pPr>
      <w:autoSpaceDE/>
      <w:autoSpaceDN/>
      <w:jc w:val="both"/>
    </w:pPr>
    <w:rPr>
      <w:rFonts w:ascii="Times New Roman" w:hAnsi="Times New Roman" w:cs="Times New Roman"/>
      <w:kern w:val="2"/>
      <w:sz w:val="21"/>
      <w:szCs w:val="20"/>
      <w:lang w:eastAsia="zh-CN"/>
    </w:rPr>
  </w:style>
  <w:style w:type="paragraph" w:customStyle="1" w:styleId="121">
    <w:name w:val="样式3"/>
    <w:basedOn w:val="122"/>
    <w:uiPriority w:val="99"/>
    <w:pPr>
      <w:spacing w:line="240" w:lineRule="atLeast"/>
      <w:outlineLvl w:val="0"/>
    </w:pPr>
    <w:rPr>
      <w:sz w:val="28"/>
      <w:szCs w:val="20"/>
    </w:rPr>
  </w:style>
  <w:style w:type="paragraph" w:customStyle="1" w:styleId="122">
    <w:name w:val="纯文本1"/>
    <w:basedOn w:val="1"/>
    <w:uiPriority w:val="0"/>
    <w:pPr>
      <w:autoSpaceDE/>
      <w:autoSpaceDN/>
      <w:jc w:val="both"/>
    </w:pPr>
    <w:rPr>
      <w:rFonts w:hAnsi="Courier New" w:cs="Times New Roman"/>
      <w:kern w:val="2"/>
      <w:sz w:val="21"/>
      <w:szCs w:val="21"/>
      <w:lang w:val="zh-CN" w:eastAsia="zh-CN"/>
    </w:rPr>
  </w:style>
  <w:style w:type="paragraph" w:customStyle="1" w:styleId="123">
    <w:name w:val="正文文本缩进 31"/>
    <w:basedOn w:val="1"/>
    <w:uiPriority w:val="99"/>
    <w:pPr>
      <w:autoSpaceDE/>
      <w:autoSpaceDN/>
      <w:spacing w:after="120"/>
      <w:ind w:left="420" w:leftChars="200"/>
      <w:jc w:val="both"/>
    </w:pPr>
    <w:rPr>
      <w:rFonts w:ascii="Times New Roman" w:hAnsi="Times New Roman" w:cs="Times New Roman"/>
      <w:kern w:val="2"/>
      <w:sz w:val="16"/>
      <w:szCs w:val="16"/>
      <w:lang w:eastAsia="zh-CN"/>
    </w:rPr>
  </w:style>
  <w:style w:type="paragraph" w:customStyle="1" w:styleId="124">
    <w:name w:val="无间隔1"/>
    <w:uiPriority w:val="99"/>
    <w:pPr>
      <w:widowControl w:val="0"/>
      <w:autoSpaceDE/>
      <w:autoSpaceDN/>
      <w:jc w:val="both"/>
    </w:pPr>
    <w:rPr>
      <w:rFonts w:ascii="Times New Roman" w:hAnsi="Times New Roman" w:eastAsia="宋体" w:cs="Times New Roman"/>
      <w:kern w:val="2"/>
      <w:sz w:val="21"/>
      <w:szCs w:val="24"/>
      <w:lang w:val="en-US" w:eastAsia="zh-CN" w:bidi="ar-SA"/>
    </w:rPr>
  </w:style>
  <w:style w:type="paragraph" w:customStyle="1" w:styleId="125">
    <w:name w:val="纯文本2"/>
    <w:basedOn w:val="1"/>
    <w:uiPriority w:val="99"/>
    <w:pPr>
      <w:autoSpaceDE/>
      <w:autoSpaceDN/>
      <w:jc w:val="both"/>
    </w:pPr>
    <w:rPr>
      <w:rFonts w:hAnsi="Courier New" w:cs="Times New Roman"/>
      <w:kern w:val="44"/>
      <w:sz w:val="21"/>
      <w:szCs w:val="20"/>
      <w:lang w:eastAsia="zh-CN"/>
    </w:rPr>
  </w:style>
  <w:style w:type="paragraph" w:customStyle="1" w:styleId="126">
    <w:name w:val="普通(网站)1"/>
    <w:basedOn w:val="1"/>
    <w:uiPriority w:val="99"/>
    <w:pPr>
      <w:autoSpaceDE/>
      <w:autoSpaceDN/>
      <w:jc w:val="both"/>
    </w:pPr>
    <w:rPr>
      <w:rFonts w:ascii="Times New Roman" w:hAnsi="Times New Roman" w:cs="Times New Roman"/>
      <w:kern w:val="2"/>
      <w:sz w:val="24"/>
      <w:szCs w:val="24"/>
      <w:lang w:eastAsia="zh-CN"/>
    </w:rPr>
  </w:style>
  <w:style w:type="paragraph" w:customStyle="1" w:styleId="127">
    <w:name w:val="列出段落2"/>
    <w:basedOn w:val="1"/>
    <w:uiPriority w:val="99"/>
    <w:pPr>
      <w:autoSpaceDE/>
      <w:autoSpaceDN/>
      <w:ind w:firstLine="420" w:firstLineChars="200"/>
      <w:jc w:val="both"/>
    </w:pPr>
    <w:rPr>
      <w:rFonts w:ascii="Times New Roman" w:hAnsi="Times New Roman" w:cs="Times New Roman"/>
      <w:kern w:val="2"/>
      <w:sz w:val="21"/>
      <w:szCs w:val="24"/>
      <w:lang w:eastAsia="zh-CN"/>
    </w:rPr>
  </w:style>
  <w:style w:type="paragraph" w:customStyle="1" w:styleId="128">
    <w:name w:val="Char"/>
    <w:basedOn w:val="1"/>
    <w:uiPriority w:val="99"/>
    <w:pPr>
      <w:autoSpaceDE/>
      <w:autoSpaceDN/>
      <w:jc w:val="both"/>
    </w:pPr>
    <w:rPr>
      <w:rFonts w:ascii="Tahoma" w:hAnsi="Tahoma" w:cs="Times New Roman"/>
      <w:kern w:val="2"/>
      <w:sz w:val="24"/>
      <w:szCs w:val="20"/>
      <w:lang w:eastAsia="zh-CN"/>
    </w:rPr>
  </w:style>
  <w:style w:type="paragraph" w:customStyle="1" w:styleId="129">
    <w:name w:val="正文文本缩进 21"/>
    <w:basedOn w:val="1"/>
    <w:uiPriority w:val="99"/>
    <w:pPr>
      <w:autoSpaceDE/>
      <w:autoSpaceDN/>
      <w:spacing w:after="120" w:line="480" w:lineRule="auto"/>
      <w:ind w:left="420" w:leftChars="200"/>
      <w:jc w:val="both"/>
    </w:pPr>
    <w:rPr>
      <w:rFonts w:ascii="Times New Roman" w:hAnsi="Times New Roman" w:cs="Times New Roman"/>
      <w:kern w:val="2"/>
      <w:sz w:val="21"/>
      <w:szCs w:val="24"/>
      <w:lang w:eastAsia="zh-CN"/>
    </w:rPr>
  </w:style>
  <w:style w:type="paragraph" w:customStyle="1" w:styleId="130">
    <w:name w:val="Char Char Char Char"/>
    <w:basedOn w:val="1"/>
    <w:uiPriority w:val="99"/>
    <w:pPr>
      <w:autoSpaceDE/>
      <w:autoSpaceDN/>
      <w:jc w:val="both"/>
    </w:pPr>
    <w:rPr>
      <w:rFonts w:ascii="Tahoma" w:hAnsi="Tahoma" w:cs="Times New Roman"/>
      <w:kern w:val="2"/>
      <w:sz w:val="24"/>
      <w:szCs w:val="20"/>
      <w:lang w:eastAsia="zh-CN"/>
    </w:rPr>
  </w:style>
  <w:style w:type="paragraph" w:customStyle="1" w:styleId="131">
    <w:name w:val="表"/>
    <w:basedOn w:val="1"/>
    <w:uiPriority w:val="99"/>
    <w:pPr>
      <w:autoSpaceDE/>
      <w:autoSpaceDN/>
      <w:spacing w:line="360" w:lineRule="auto"/>
      <w:jc w:val="both"/>
    </w:pPr>
    <w:rPr>
      <w:rFonts w:ascii="Times New Roman" w:hAnsi="Times New Roman" w:cs="Garamond"/>
      <w:b/>
      <w:bCs/>
      <w:color w:val="FF0000"/>
      <w:kern w:val="2"/>
      <w:sz w:val="21"/>
      <w:szCs w:val="20"/>
      <w:lang w:eastAsia="zh-CN"/>
    </w:rPr>
  </w:style>
  <w:style w:type="paragraph" w:customStyle="1" w:styleId="132">
    <w:name w:val="封面居中1"/>
    <w:basedOn w:val="1"/>
    <w:uiPriority w:val="99"/>
    <w:pPr>
      <w:autoSpaceDE/>
      <w:autoSpaceDN/>
      <w:adjustRightInd w:val="0"/>
      <w:spacing w:line="360" w:lineRule="auto"/>
      <w:jc w:val="center"/>
    </w:pPr>
    <w:rPr>
      <w:rFonts w:ascii="Calibri" w:hAnsi="Calibri" w:eastAsia="黑体" w:cs="Times New Roman"/>
      <w:b/>
      <w:kern w:val="2"/>
      <w:sz w:val="44"/>
      <w:szCs w:val="24"/>
      <w:lang w:eastAsia="zh-CN"/>
    </w:rPr>
  </w:style>
  <w:style w:type="table" w:customStyle="1" w:styleId="133">
    <w:name w:val="网格型2"/>
    <w:basedOn w:val="36"/>
    <w:uiPriority w:val="59"/>
    <w:pPr>
      <w:widowControl/>
      <w:autoSpaceDE/>
      <w:autoSpaceDN/>
    </w:pPr>
    <w:rPr>
      <w:rFonts w:ascii="Calibri" w:hAnsi="Calibri" w:eastAsia="宋体" w:cs="Times New Roman"/>
      <w:sz w:val="20"/>
      <w:szCs w:val="20"/>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4">
    <w:name w:val="未处理的提及"/>
    <w:semiHidden/>
    <w:unhideWhenUsed/>
    <w:uiPriority w:val="99"/>
    <w:rPr>
      <w:color w:val="605E5C"/>
      <w:shd w:val="clear" w:color="auto" w:fill="E1DFDD"/>
    </w:rPr>
  </w:style>
  <w:style w:type="paragraph" w:customStyle="1" w:styleId="135">
    <w:name w:val="reader-word-layer"/>
    <w:basedOn w:val="1"/>
    <w:uiPriority w:val="0"/>
    <w:pPr>
      <w:widowControl/>
      <w:autoSpaceDE/>
      <w:autoSpaceDN/>
      <w:spacing w:before="100" w:beforeAutospacing="1" w:after="100" w:afterAutospacing="1"/>
    </w:pPr>
    <w:rPr>
      <w:sz w:val="24"/>
      <w:szCs w:val="24"/>
      <w:lang w:eastAsia="zh-CN"/>
    </w:rPr>
  </w:style>
  <w:style w:type="paragraph" w:customStyle="1" w:styleId="136">
    <w:name w:val="TOC Heading"/>
    <w:basedOn w:val="2"/>
    <w:next w:val="1"/>
    <w:unhideWhenUsed/>
    <w:qFormat/>
    <w:uiPriority w:val="39"/>
    <w:pPr>
      <w:keepNext/>
      <w:keepLines/>
      <w:widowControl/>
      <w:autoSpaceDE/>
      <w:autoSpaceDN/>
      <w:spacing w:before="240" w:beforeAutospacing="0" w:after="0" w:afterAutospacing="0" w:line="259" w:lineRule="auto"/>
      <w:outlineLvl w:val="9"/>
    </w:pPr>
    <w:rPr>
      <w:rFonts w:ascii="等线 Light" w:hAnsi="等线 Light" w:eastAsia="等线 Light" w:cs="Times New Roman"/>
      <w:b w:val="0"/>
      <w:bCs w:val="0"/>
      <w:color w:val="2F5496"/>
      <w:sz w:val="32"/>
      <w:szCs w:val="32"/>
      <w:lang w:eastAsia="zh-CN"/>
    </w:rPr>
  </w:style>
  <w:style w:type="paragraph" w:customStyle="1" w:styleId="137">
    <w:name w:val="_Style 136"/>
    <w:basedOn w:val="1"/>
    <w:next w:val="1"/>
    <w:unhideWhenUsed/>
    <w:uiPriority w:val="39"/>
    <w:pPr>
      <w:autoSpaceDE/>
      <w:autoSpaceDN/>
      <w:ind w:left="420" w:leftChars="200"/>
      <w:jc w:val="both"/>
    </w:pPr>
    <w:rPr>
      <w:rFonts w:ascii="Times New Roman" w:hAnsi="Times New Roman" w:cs="Times New Roman"/>
      <w:kern w:val="2"/>
      <w:sz w:val="21"/>
      <w:szCs w:val="24"/>
      <w:lang w:eastAsia="zh-CN"/>
    </w:rPr>
  </w:style>
  <w:style w:type="paragraph" w:customStyle="1" w:styleId="138">
    <w:name w:val="正文须知"/>
    <w:basedOn w:val="1"/>
    <w:next w:val="1"/>
    <w:uiPriority w:val="0"/>
    <w:pPr>
      <w:autoSpaceDE/>
      <w:autoSpaceDN/>
      <w:adjustRightInd w:val="0"/>
      <w:snapToGrid w:val="0"/>
      <w:spacing w:line="300" w:lineRule="auto"/>
      <w:ind w:hanging="720" w:hangingChars="300"/>
      <w:jc w:val="both"/>
    </w:pPr>
    <w:rPr>
      <w:rFonts w:hAnsi="Times New Roman" w:cs="Times New Roman"/>
      <w:kern w:val="2"/>
      <w:sz w:val="24"/>
      <w:szCs w:val="21"/>
      <w:lang w:eastAsia="zh-CN"/>
    </w:rPr>
  </w:style>
  <w:style w:type="character" w:customStyle="1" w:styleId="139">
    <w:name w:val="font51"/>
    <w:basedOn w:val="38"/>
    <w:uiPriority w:val="0"/>
    <w:rPr>
      <w:rFonts w:ascii="微软雅黑" w:hAnsi="微软雅黑" w:eastAsia="微软雅黑" w:cs="微软雅黑"/>
      <w:b/>
      <w:color w:val="000000"/>
      <w:sz w:val="20"/>
      <w:szCs w:val="20"/>
      <w:u w:val="none"/>
    </w:rPr>
  </w:style>
  <w:style w:type="character" w:customStyle="1" w:styleId="140">
    <w:name w:val="font11"/>
    <w:basedOn w:val="38"/>
    <w:uiPriority w:val="0"/>
    <w:rPr>
      <w:rFonts w:hint="default" w:ascii="Arial" w:hAnsi="Arial" w:cs="Arial"/>
      <w:color w:val="000000"/>
      <w:sz w:val="20"/>
      <w:szCs w:val="20"/>
      <w:u w:val="none"/>
    </w:rPr>
  </w:style>
  <w:style w:type="character" w:customStyle="1" w:styleId="141">
    <w:name w:val="font01"/>
    <w:basedOn w:val="38"/>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png"/><Relationship Id="rId14" Type="http://schemas.openxmlformats.org/officeDocument/2006/relationships/theme" Target="theme/theme1.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0AD97E-B195-4225-B4DC-540E0A71E4D0}">
  <ds:schemaRefs/>
</ds:datastoreItem>
</file>

<file path=docProps/app.xml><?xml version="1.0" encoding="utf-8"?>
<Properties xmlns="http://schemas.openxmlformats.org/officeDocument/2006/extended-properties" xmlns:vt="http://schemas.openxmlformats.org/officeDocument/2006/docPropsVTypes">
  <Template>Normal.dotm</Template>
  <Pages>118</Pages>
  <Words>7649</Words>
  <Characters>43605</Characters>
  <Lines>363</Lines>
  <Paragraphs>102</Paragraphs>
  <TotalTime>41</TotalTime>
  <ScaleCrop>false</ScaleCrop>
  <LinksUpToDate>false</LinksUpToDate>
  <CharactersWithSpaces>51152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2019-07-19T06:29:00Z</dcterms:created>
  <dc:creator>mac</dc:creator>
  <cp:lastModifiedBy>李冬</cp:lastModifiedBy>
  <cp:lastPrinted>2020-06-08T12:24:00Z</cp:lastPrinted>
  <dcterms:modified xsi:type="dcterms:W3CDTF">2020-06-12T07:55:43Z</dcterms:modified>
  <cp:revision>243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2018-05-28T00:00:00Z</vt:filetime>
  </property>
  <property fmtid="{D5CDD505-2E9C-101B-9397-08002B2CF9AE}" pid="3" name="Creator">
    <vt:lpwstr>PScript5.dll Version 5.2.2</vt:lpwstr>
  </property>
  <property fmtid="{D5CDD505-2E9C-101B-9397-08002B2CF9AE}" pid="4" name="LastSaved">
    <vt:filetime>2018-06-21T00:00:00Z</vt:filetime>
  </property>
  <property fmtid="{D5CDD505-2E9C-101B-9397-08002B2CF9AE}" pid="5" name="KSOProductBuildVer">
    <vt:lpwstr>2052-11.1.0.9740</vt:lpwstr>
  </property>
</Properties>
</file>