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Theme="minorEastAsia" w:hAnsiTheme="minorEastAsia" w:eastAsiaTheme="minorEastAsia"/>
          <w:sz w:val="24"/>
          <w:szCs w:val="24"/>
        </w:rPr>
      </w:pPr>
      <w:r>
        <w:rPr>
          <w:rFonts w:hint="eastAsia" w:ascii="华文中宋" w:hAnsi="华文中宋" w:eastAsia="华文中宋"/>
          <w:sz w:val="24"/>
          <w:szCs w:val="24"/>
        </w:rPr>
        <w:t xml:space="preserve">         </w:t>
      </w:r>
    </w:p>
    <w:p>
      <w:pPr>
        <w:ind w:firstLine="4950" w:firstLineChars="165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项目编号：2020-019</w:t>
      </w:r>
      <w:r>
        <w:rPr>
          <w:rFonts w:hint="eastAsia" w:asciiTheme="minorEastAsia" w:hAnsiTheme="minorEastAsia" w:eastAsiaTheme="minorEastAsia"/>
          <w:sz w:val="30"/>
          <w:szCs w:val="30"/>
          <w:u w:val="single"/>
        </w:rPr>
        <w:t xml:space="preserve">          </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   </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 xml:space="preserve">            </w:t>
      </w:r>
    </w:p>
    <w:p>
      <w:pPr>
        <w:ind w:firstLine="5850" w:firstLineChars="1950"/>
        <w:rPr>
          <w:rFonts w:asciiTheme="minorEastAsia" w:hAnsiTheme="minorEastAsia" w:eastAsiaTheme="minorEastAsia"/>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w w:val="90"/>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北京市朝阳区团结湖北五条</w:t>
      </w:r>
      <w:r>
        <w:rPr>
          <w:rFonts w:hint="eastAsia" w:ascii="宋体" w:hAnsi="宋体"/>
          <w:w w:val="90"/>
          <w:sz w:val="32"/>
          <w:szCs w:val="32"/>
        </w:rPr>
        <w:t>平房叁间</w:t>
      </w:r>
    </w:p>
    <w:p>
      <w:pPr>
        <w:ind w:left="899" w:leftChars="428" w:firstLine="1"/>
        <w:rPr>
          <w:rFonts w:ascii="宋体" w:hAnsi="宋体"/>
          <w:sz w:val="32"/>
          <w:szCs w:val="32"/>
        </w:rPr>
      </w:pPr>
      <w:r>
        <w:rPr>
          <w:rFonts w:hint="eastAsia" w:ascii="宋体" w:hAnsi="宋体"/>
          <w:sz w:val="32"/>
          <w:szCs w:val="32"/>
        </w:rPr>
        <w:t>出租方（盖章</w:t>
      </w:r>
      <w:r>
        <w:rPr>
          <w:rFonts w:ascii="宋体" w:hAnsi="宋体"/>
          <w:sz w:val="32"/>
          <w:szCs w:val="32"/>
        </w:rPr>
        <w:t>）</w:t>
      </w:r>
      <w:r>
        <w:rPr>
          <w:rFonts w:hint="eastAsia" w:ascii="宋体" w:hAnsi="宋体"/>
          <w:sz w:val="32"/>
          <w:szCs w:val="32"/>
        </w:rPr>
        <w:t>：</w:t>
      </w:r>
      <w:r>
        <w:rPr>
          <w:rFonts w:hint="eastAsia" w:ascii="宋体" w:hAnsi="宋体"/>
          <w:w w:val="90"/>
          <w:sz w:val="32"/>
          <w:szCs w:val="32"/>
        </w:rPr>
        <w:t>北京市朝阳金属材料公司</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w:t>
      </w:r>
      <w:r>
        <w:rPr>
          <w:rFonts w:hint="eastAsia" w:ascii="宋体" w:hAnsi="宋体"/>
          <w:sz w:val="32"/>
          <w:szCs w:val="32"/>
        </w:rPr>
        <w:t>2020</w:t>
      </w:r>
      <w:r>
        <w:rPr>
          <w:rFonts w:ascii="宋体" w:hAnsi="宋体"/>
          <w:sz w:val="32"/>
          <w:szCs w:val="32"/>
        </w:rPr>
        <w:t xml:space="preserve">年 </w:t>
      </w:r>
      <w:r>
        <w:rPr>
          <w:rFonts w:hint="eastAsia" w:ascii="宋体" w:hAnsi="宋体"/>
          <w:sz w:val="32"/>
          <w:szCs w:val="32"/>
        </w:rPr>
        <w:t xml:space="preserve">4 </w:t>
      </w:r>
      <w:r>
        <w:rPr>
          <w:rFonts w:ascii="宋体" w:hAnsi="宋体"/>
          <w:sz w:val="32"/>
          <w:szCs w:val="32"/>
        </w:rPr>
        <w:t>月</w:t>
      </w:r>
      <w:r>
        <w:rPr>
          <w:rFonts w:hint="eastAsia" w:ascii="宋体" w:hAnsi="宋体"/>
          <w:sz w:val="32"/>
          <w:szCs w:val="32"/>
        </w:rPr>
        <w:t xml:space="preserve"> 1</w:t>
      </w:r>
      <w:r>
        <w:rPr>
          <w:rFonts w:hint="eastAsia" w:ascii="宋体" w:hAnsi="宋体"/>
          <w:sz w:val="32"/>
          <w:szCs w:val="32"/>
          <w:lang w:val="en-US" w:eastAsia="zh-CN"/>
        </w:rPr>
        <w:t>7</w:t>
      </w:r>
      <w:bookmarkStart w:id="4" w:name="_GoBack"/>
      <w:bookmarkEnd w:id="4"/>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 屋 出 租 公 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13"/>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13"/>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75" w:type="dxa"/>
            <w:vMerge w:val="restart"/>
            <w:tcBorders>
              <w:top w:val="single" w:color="auto" w:sz="12" w:space="0"/>
              <w:left w:val="single" w:color="auto" w:sz="12" w:space="0"/>
            </w:tcBorders>
            <w:vAlign w:val="center"/>
          </w:tcPr>
          <w:p>
            <w:pPr>
              <w:pStyle w:val="16"/>
              <w:adjustRightInd w:val="0"/>
              <w:snapToGrid w:val="0"/>
              <w:spacing w:before="0" w:after="0"/>
              <w:jc w:val="center"/>
              <w:rPr>
                <w:rFonts w:ascii="宋体" w:hAnsi="宋体"/>
                <w:b/>
                <w:szCs w:val="24"/>
              </w:rPr>
            </w:pPr>
            <w:r>
              <w:rPr>
                <w:rFonts w:hint="eastAsia" w:ascii="宋体" w:hAnsi="宋体"/>
                <w:b/>
                <w:szCs w:val="24"/>
              </w:rPr>
              <w:t>出租方</w:t>
            </w:r>
          </w:p>
          <w:p>
            <w:pPr>
              <w:pStyle w:val="16"/>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北京市朝阳金属材料公司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北京市朝阳区</w:t>
            </w:r>
            <w:r>
              <w:rPr>
                <w:rFonts w:hint="eastAsia" w:ascii="宋体" w:hAnsi="宋体"/>
                <w:sz w:val="24"/>
                <w:szCs w:val="24"/>
              </w:rPr>
              <w:t>团结湖北五条9号平房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樊虎</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60</w:t>
            </w:r>
            <w:r>
              <w:rPr>
                <w:rFonts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全民所有制</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91110105101726302H</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米臣硕</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84480418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chyqwzfwgs@163.com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275" w:type="dxa"/>
            <w:vMerge w:val="restart"/>
            <w:tcBorders>
              <w:left w:val="single" w:color="auto" w:sz="12" w:space="0"/>
            </w:tcBorders>
            <w:vAlign w:val="center"/>
          </w:tcPr>
          <w:p>
            <w:pPr>
              <w:pStyle w:val="16"/>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团结湖北五条平房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104平方米</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left"/>
              <w:rPr>
                <w:rFonts w:ascii="宋体" w:hAnsi="宋体"/>
                <w:sz w:val="24"/>
                <w:szCs w:val="24"/>
              </w:rPr>
            </w:pPr>
            <w:r>
              <w:rPr>
                <w:rFonts w:hint="eastAsia" w:ascii="宋体" w:hAnsi="宋体"/>
                <w:sz w:val="24"/>
                <w:szCs w:val="24"/>
              </w:rPr>
              <w:t>平房，简易装修</w:t>
            </w:r>
            <w:r>
              <w:rPr>
                <w:rFonts w:ascii="宋体" w:hAnsi="宋体"/>
                <w:sz w:val="24"/>
                <w:szCs w:val="24"/>
              </w:rPr>
              <w:t>、用电</w:t>
            </w:r>
            <w:r>
              <w:rPr>
                <w:rFonts w:hint="eastAsia" w:ascii="宋体" w:hAnsi="宋体"/>
                <w:sz w:val="24"/>
                <w:szCs w:val="24"/>
              </w:rPr>
              <w:t>、用水、燃气、无车位，存在屋顶漏水情况。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numPr>
                <w:ilvl w:val="0"/>
                <w:numId w:val="1"/>
              </w:numPr>
              <w:jc w:val="left"/>
              <w:rPr>
                <w:rFonts w:hint="eastAsia" w:ascii="宋体" w:hAnsi="宋体"/>
                <w:sz w:val="24"/>
                <w:szCs w:val="24"/>
              </w:rPr>
            </w:pPr>
            <w:r>
              <w:rPr>
                <w:rFonts w:hint="eastAsia" w:ascii="宋体" w:hAnsi="宋体"/>
                <w:sz w:val="24"/>
                <w:szCs w:val="24"/>
              </w:rPr>
              <w:t xml:space="preserve">股东会决议□  B.董事会决议□ </w:t>
            </w:r>
          </w:p>
          <w:p>
            <w:pPr>
              <w:numPr>
                <w:ilvl w:val="0"/>
                <w:numId w:val="0"/>
              </w:numPr>
              <w:jc w:val="left"/>
              <w:rPr>
                <w:rFonts w:ascii="宋体" w:hAnsi="宋体"/>
                <w:sz w:val="24"/>
                <w:szCs w:val="24"/>
                <w:u w:val="single"/>
              </w:rPr>
            </w:pPr>
            <w:r>
              <w:rPr>
                <w:rFonts w:hint="eastAsia" w:ascii="宋体" w:hAnsi="宋体"/>
                <w:sz w:val="24"/>
                <w:szCs w:val="24"/>
              </w:rPr>
              <w:t>C.总经理办公会决议☑</w:t>
            </w:r>
          </w:p>
          <w:p>
            <w:pPr>
              <w:rPr>
                <w:rFonts w:ascii="宋体" w:hAnsi="宋体"/>
                <w:b/>
                <w:sz w:val="32"/>
                <w:szCs w:val="32"/>
              </w:rPr>
            </w:pPr>
            <w:r>
              <w:rPr>
                <w:rFonts w:hint="eastAsia" w:ascii="宋体" w:hAnsi="宋体"/>
                <w:sz w:val="24"/>
                <w:szCs w:val="24"/>
              </w:rPr>
              <w:t>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ascii="宋体" w:hAnsi="宋体"/>
                <w:sz w:val="24"/>
                <w:szCs w:val="24"/>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jc w:val="left"/>
              <w:rPr>
                <w:rFonts w:ascii="宋体" w:hAnsi="宋体"/>
                <w:sz w:val="24"/>
                <w:szCs w:val="24"/>
              </w:rPr>
            </w:pPr>
            <w:r>
              <w:rPr>
                <w:rFonts w:hint="eastAsia" w:ascii="宋体" w:hAnsi="宋体"/>
                <w:sz w:val="24"/>
                <w:szCs w:val="24"/>
              </w:rPr>
              <w:t>北京市朝阳金属材料公司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jc w:val="left"/>
              <w:rPr>
                <w:rFonts w:ascii="宋体" w:hAnsi="宋体"/>
                <w:sz w:val="24"/>
                <w:szCs w:val="24"/>
              </w:rPr>
            </w:pPr>
            <w:r>
              <w:rPr>
                <w:rFonts w:hint="eastAsia" w:ascii="宋体" w:hAnsi="宋体"/>
                <w:sz w:val="24"/>
                <w:szCs w:val="24"/>
              </w:rPr>
              <w:t>4.1元/平方米*天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 （具体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0"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numPr>
                <w:ilvl w:val="0"/>
                <w:numId w:val="2"/>
              </w:numPr>
              <w:jc w:val="left"/>
              <w:rPr>
                <w:rFonts w:hint="eastAsia"/>
                <w:color w:val="auto"/>
                <w:sz w:val="24"/>
                <w:szCs w:val="24"/>
                <w:lang w:val="en-US" w:eastAsia="zh-CN"/>
              </w:rPr>
            </w:pPr>
            <w:r>
              <w:rPr>
                <w:rFonts w:hint="eastAsia"/>
                <w:color w:val="auto"/>
                <w:sz w:val="24"/>
                <w:szCs w:val="24"/>
                <w:lang w:val="en-US" w:eastAsia="zh-CN"/>
              </w:rPr>
              <w:t>承租方需自行办理营业执照，并自行承担办理、使用证照的相关法律风险。出租方不承诺协助承租方办理营业执照。</w:t>
            </w:r>
          </w:p>
          <w:p>
            <w:pPr>
              <w:numPr>
                <w:ilvl w:val="0"/>
                <w:numId w:val="0"/>
              </w:numPr>
              <w:jc w:val="left"/>
              <w:rPr>
                <w:rFonts w:hint="eastAsia"/>
                <w:color w:val="auto"/>
                <w:sz w:val="24"/>
                <w:szCs w:val="24"/>
                <w:lang w:val="en-US" w:eastAsia="zh-CN"/>
              </w:rPr>
            </w:pPr>
          </w:p>
          <w:p>
            <w:pPr>
              <w:jc w:val="left"/>
              <w:rPr>
                <w:rFonts w:hint="eastAsia"/>
                <w:color w:val="auto"/>
                <w:sz w:val="24"/>
                <w:szCs w:val="24"/>
                <w:lang w:val="en-US" w:eastAsia="zh-CN"/>
              </w:rPr>
            </w:pPr>
            <w:r>
              <w:rPr>
                <w:rFonts w:hint="eastAsia"/>
                <w:color w:val="auto"/>
                <w:sz w:val="24"/>
                <w:szCs w:val="24"/>
                <w:lang w:val="en-US" w:eastAsia="zh-CN"/>
              </w:rPr>
              <w:t>2、自行前往房产查看外部相关情况，房屋内部查看需提前预约。预约联系人：米臣硕 电话：13911011700。</w:t>
            </w:r>
          </w:p>
          <w:p>
            <w:pPr>
              <w:jc w:val="left"/>
              <w:rPr>
                <w:rFonts w:hint="eastAsia"/>
                <w:color w:val="auto"/>
                <w:sz w:val="24"/>
                <w:szCs w:val="24"/>
                <w:lang w:val="en-US" w:eastAsia="zh-CN"/>
              </w:rPr>
            </w:pPr>
          </w:p>
          <w:p>
            <w:pPr>
              <w:numPr>
                <w:ilvl w:val="0"/>
                <w:numId w:val="3"/>
              </w:numPr>
              <w:jc w:val="left"/>
              <w:rPr>
                <w:rFonts w:hint="eastAsia"/>
                <w:color w:val="auto"/>
                <w:sz w:val="24"/>
                <w:szCs w:val="24"/>
                <w:lang w:val="en-US" w:eastAsia="zh-CN"/>
              </w:rPr>
            </w:pPr>
            <w:r>
              <w:rPr>
                <w:rFonts w:hint="eastAsia"/>
                <w:color w:val="auto"/>
                <w:sz w:val="24"/>
                <w:szCs w:val="24"/>
                <w:lang w:val="en-US" w:eastAsia="zh-CN"/>
              </w:rPr>
              <w:t>原承租方在同等条件下具有优先承租权。即原承租方在竞价环节中针对最高报价在同等条件下可以当场表态是否行使优先承租权。如原租户出价低于最高报价，原租户仍可优先按最高报价承租此房产。</w:t>
            </w:r>
          </w:p>
          <w:p>
            <w:pPr>
              <w:numPr>
                <w:ilvl w:val="0"/>
                <w:numId w:val="0"/>
              </w:numPr>
              <w:jc w:val="left"/>
              <w:rPr>
                <w:rFonts w:hint="eastAsia"/>
                <w:color w:val="auto"/>
                <w:sz w:val="24"/>
                <w:szCs w:val="24"/>
                <w:lang w:val="en-US" w:eastAsia="zh-CN"/>
              </w:rPr>
            </w:pPr>
          </w:p>
          <w:p>
            <w:pPr>
              <w:numPr>
                <w:ilvl w:val="0"/>
                <w:numId w:val="3"/>
              </w:numPr>
              <w:jc w:val="left"/>
              <w:rPr>
                <w:rFonts w:hint="eastAsia"/>
                <w:color w:val="auto"/>
                <w:sz w:val="24"/>
                <w:szCs w:val="24"/>
                <w:lang w:val="en-US" w:eastAsia="zh-CN"/>
              </w:rPr>
            </w:pPr>
            <w:r>
              <w:rPr>
                <w:rFonts w:hint="eastAsia"/>
                <w:color w:val="auto"/>
                <w:sz w:val="24"/>
                <w:szCs w:val="24"/>
                <w:lang w:val="en-US" w:eastAsia="zh-CN"/>
              </w:rPr>
              <w:t>出租标的存在政策性拆违风险，出租方不予以赔偿。</w:t>
            </w:r>
          </w:p>
          <w:p>
            <w:pPr>
              <w:numPr>
                <w:ilvl w:val="0"/>
                <w:numId w:val="0"/>
              </w:numPr>
              <w:jc w:val="left"/>
              <w:rPr>
                <w:rFonts w:hint="eastAsia"/>
                <w:color w:val="auto"/>
                <w:sz w:val="24"/>
                <w:szCs w:val="24"/>
                <w:lang w:val="en-US" w:eastAsia="zh-CN"/>
              </w:rPr>
            </w:pPr>
          </w:p>
          <w:p>
            <w:pPr>
              <w:jc w:val="left"/>
              <w:rPr>
                <w:rFonts w:hint="eastAsia"/>
                <w:color w:val="auto"/>
                <w:sz w:val="24"/>
                <w:szCs w:val="24"/>
                <w:lang w:val="en-US" w:eastAsia="zh-CN"/>
              </w:rPr>
            </w:pPr>
            <w:r>
              <w:rPr>
                <w:rFonts w:hint="eastAsia"/>
                <w:color w:val="auto"/>
                <w:sz w:val="24"/>
                <w:szCs w:val="24"/>
                <w:lang w:val="en-US" w:eastAsia="zh-CN"/>
              </w:rPr>
              <w:t>5、原合同于2020年1月31日已到期，因疫情原因，原承租户在原籍目前尚未腾退房产。</w:t>
            </w:r>
          </w:p>
          <w:p>
            <w:pPr>
              <w:jc w:val="left"/>
              <w:rPr>
                <w:rFonts w:hint="eastAsia"/>
                <w:color w:val="auto"/>
                <w:sz w:val="24"/>
                <w:szCs w:val="24"/>
                <w:lang w:val="en-US" w:eastAsia="zh-CN"/>
              </w:rPr>
            </w:pPr>
          </w:p>
          <w:p>
            <w:pPr>
              <w:jc w:val="left"/>
              <w:rPr>
                <w:rFonts w:hint="eastAsia"/>
                <w:color w:val="auto"/>
                <w:sz w:val="24"/>
                <w:szCs w:val="24"/>
                <w:lang w:val="en-US" w:eastAsia="zh-CN"/>
              </w:rPr>
            </w:pPr>
            <w:r>
              <w:rPr>
                <w:rFonts w:hint="eastAsia"/>
                <w:color w:val="auto"/>
                <w:sz w:val="24"/>
                <w:szCs w:val="24"/>
                <w:lang w:val="en-US" w:eastAsia="zh-CN"/>
              </w:rPr>
              <w:t>6、如因非出租方原因，意向承租方存在以下情形之一者，出租方将有权扣除意向承租方缴纳的保证金，作为出租方的经济补偿。</w:t>
            </w:r>
          </w:p>
          <w:p>
            <w:pPr>
              <w:jc w:val="left"/>
              <w:rPr>
                <w:rFonts w:hint="eastAsia"/>
                <w:color w:val="auto"/>
                <w:sz w:val="24"/>
                <w:szCs w:val="24"/>
                <w:lang w:val="en-US" w:eastAsia="zh-CN"/>
              </w:rPr>
            </w:pPr>
          </w:p>
          <w:p>
            <w:pPr>
              <w:jc w:val="left"/>
              <w:rPr>
                <w:rFonts w:hint="eastAsia"/>
                <w:color w:val="auto"/>
                <w:sz w:val="24"/>
                <w:szCs w:val="24"/>
                <w:lang w:val="en-US" w:eastAsia="zh-CN"/>
              </w:rPr>
            </w:pPr>
            <w:r>
              <w:rPr>
                <w:rFonts w:hint="eastAsia"/>
                <w:color w:val="auto"/>
                <w:sz w:val="24"/>
                <w:szCs w:val="24"/>
                <w:lang w:val="en-US" w:eastAsia="zh-CN"/>
              </w:rPr>
              <w:t>（1）意向承租方递交本项目承租申请并交纳保证金，即表明已完全了解与认可出租房屋状况及所有出租条件，自愿接受出租房屋的全部现状及瑕疵，并愿承担一切责任与风险，中标后以不了解出租房屋状况及瑕疵等任何理由为由主张退还保证金的；</w:t>
            </w:r>
          </w:p>
          <w:p>
            <w:pPr>
              <w:jc w:val="left"/>
              <w:rPr>
                <w:rFonts w:hint="eastAsia"/>
                <w:color w:val="auto"/>
                <w:sz w:val="24"/>
                <w:szCs w:val="24"/>
                <w:lang w:val="en-US" w:eastAsia="zh-CN"/>
              </w:rPr>
            </w:pPr>
          </w:p>
          <w:p>
            <w:pPr>
              <w:jc w:val="left"/>
              <w:rPr>
                <w:rFonts w:hint="eastAsia"/>
                <w:color w:val="auto"/>
                <w:sz w:val="24"/>
                <w:szCs w:val="24"/>
                <w:lang w:val="en-US" w:eastAsia="zh-CN"/>
              </w:rPr>
            </w:pPr>
            <w:r>
              <w:rPr>
                <w:rFonts w:hint="eastAsia"/>
                <w:color w:val="auto"/>
                <w:sz w:val="24"/>
                <w:szCs w:val="24"/>
                <w:lang w:val="en-US" w:eastAsia="zh-CN"/>
              </w:rPr>
              <w:t>（2）意向承租方在信息披露期满后，再单方提出撤回承租申请的；</w:t>
            </w:r>
          </w:p>
          <w:p>
            <w:pPr>
              <w:jc w:val="left"/>
              <w:rPr>
                <w:rFonts w:hint="eastAsia"/>
                <w:color w:val="auto"/>
                <w:sz w:val="24"/>
                <w:szCs w:val="24"/>
                <w:lang w:val="en-US" w:eastAsia="zh-CN"/>
              </w:rPr>
            </w:pPr>
          </w:p>
          <w:p>
            <w:pPr>
              <w:jc w:val="left"/>
              <w:rPr>
                <w:rFonts w:hint="eastAsia"/>
                <w:color w:val="auto"/>
                <w:sz w:val="24"/>
                <w:szCs w:val="24"/>
                <w:lang w:val="en-US" w:eastAsia="zh-CN"/>
              </w:rPr>
            </w:pPr>
            <w:r>
              <w:rPr>
                <w:rFonts w:hint="eastAsia"/>
                <w:color w:val="auto"/>
                <w:sz w:val="24"/>
                <w:szCs w:val="24"/>
                <w:lang w:val="en-US" w:eastAsia="zh-CN"/>
              </w:rPr>
              <w:t>（3）信息披露期满，意向承租方未按照信息披露要求参加后续遴选的:</w:t>
            </w:r>
          </w:p>
          <w:p>
            <w:pPr>
              <w:jc w:val="left"/>
              <w:rPr>
                <w:rFonts w:hint="eastAsia"/>
                <w:color w:val="auto"/>
                <w:sz w:val="24"/>
                <w:szCs w:val="24"/>
                <w:lang w:val="en-US" w:eastAsia="zh-CN"/>
              </w:rPr>
            </w:pPr>
          </w:p>
          <w:p>
            <w:pPr>
              <w:jc w:val="left"/>
              <w:rPr>
                <w:rFonts w:hint="eastAsia"/>
                <w:color w:val="auto"/>
                <w:sz w:val="24"/>
                <w:szCs w:val="24"/>
                <w:lang w:val="en-US" w:eastAsia="zh-CN"/>
              </w:rPr>
            </w:pPr>
            <w:r>
              <w:rPr>
                <w:rFonts w:hint="eastAsia"/>
                <w:color w:val="auto"/>
                <w:sz w:val="24"/>
                <w:szCs w:val="24"/>
                <w:lang w:val="en-US" w:eastAsia="zh-CN"/>
              </w:rPr>
              <w:t>（4）意向承租方未能在约定时限内与出租方签订《房屋租赁合同》的；</w:t>
            </w:r>
          </w:p>
          <w:p>
            <w:pPr>
              <w:rPr>
                <w:rFonts w:hint="eastAsia" w:ascii="宋体" w:hAnsi="宋体" w:eastAsia="宋体" w:cs="宋体"/>
                <w:b/>
                <w:bCs/>
                <w:color w:val="auto"/>
                <w:sz w:val="24"/>
                <w:szCs w:val="24"/>
              </w:rPr>
            </w:pP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13"/>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9"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4.1</w:t>
            </w:r>
            <w:r>
              <w:rPr>
                <w:rFonts w:asciiTheme="minorEastAsia" w:hAnsiTheme="minorEastAsia" w:eastAsiaTheme="minorEastAsia"/>
                <w:sz w:val="24"/>
                <w:szCs w:val="24"/>
              </w:rPr>
              <w:t>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9"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kern w:val="0"/>
                <w:sz w:val="24"/>
                <w:szCs w:val="21"/>
              </w:rPr>
            </w:pPr>
            <w:r>
              <w:rPr>
                <w:rFonts w:hint="eastAsia" w:cs="Arial" w:asciiTheme="minorEastAsia" w:hAnsiTheme="minorEastAsia" w:eastAsiaTheme="minorEastAsia"/>
                <w:bCs/>
                <w:kern w:val="0"/>
                <w:sz w:val="24"/>
                <w:szCs w:val="21"/>
              </w:rPr>
              <w:t>104</w:t>
            </w:r>
            <w:r>
              <w:rPr>
                <w:rFonts w:cs="Arial" w:asciiTheme="minorEastAsia" w:hAnsiTheme="minorEastAsia" w:eastAsiaTheme="minorEastAsia"/>
                <w:bCs/>
                <w:kern w:val="0"/>
                <w:sz w:val="24"/>
                <w:szCs w:val="21"/>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4"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eastAsiaTheme="minorEastAsia"/>
                <w:sz w:val="24"/>
                <w:szCs w:val="24"/>
              </w:rPr>
              <w:t>4年6个月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eastAsiaTheme="minorEastAsia"/>
                <w:sz w:val="24"/>
                <w:szCs w:val="24"/>
              </w:rPr>
              <w:t>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预付制，按年度支付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0"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租赁期内每3年递增3%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3"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rPr>
                <w:rFonts w:asciiTheme="minorEastAsia" w:hAnsiTheme="minorEastAsia" w:eastAsiaTheme="minorEastAsia"/>
                <w:sz w:val="24"/>
                <w:szCs w:val="24"/>
              </w:rPr>
            </w:pPr>
            <w:r>
              <w:rPr>
                <w:rFonts w:hint="eastAsia" w:asciiTheme="minorEastAsia" w:hAnsiTheme="minorEastAsia" w:eastAsiaTheme="minorEastAsia"/>
                <w:sz w:val="24"/>
                <w:szCs w:val="24"/>
              </w:rPr>
              <w:t>押金金额为成交租金的一个季度租金，并在签订合同日起5个工作日内向出租房全额缴纳押金。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0" w:hRule="exact"/>
          <w:jc w:val="center"/>
        </w:trPr>
        <w:tc>
          <w:tcPr>
            <w:tcW w:w="1283" w:type="dxa"/>
            <w:vMerge w:val="continue"/>
          </w:tcPr>
          <w:p>
            <w:pPr>
              <w:rPr>
                <w:rFonts w:ascii="宋体" w:hAnsi="宋体"/>
                <w:sz w:val="24"/>
                <w:szCs w:val="24"/>
              </w:rPr>
            </w:pPr>
          </w:p>
        </w:tc>
        <w:tc>
          <w:tcPr>
            <w:tcW w:w="1797" w:type="dxa"/>
            <w:vAlign w:val="center"/>
          </w:tcPr>
          <w:p>
            <w:pPr>
              <w:pStyle w:val="15"/>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除租金外，其他费用均由承租方承担</w:t>
            </w:r>
            <w:r>
              <w:rPr>
                <w:rFonts w:hint="eastAsia" w:asciiTheme="minorEastAsia" w:hAnsiTheme="minorEastAsia" w:eastAsiaTheme="minorEastAsia"/>
                <w:sz w:val="24"/>
                <w:szCs w:val="24"/>
              </w:rPr>
              <w:t>，并按时缴纳给相关部门。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0" w:hRule="exact"/>
          <w:jc w:val="center"/>
        </w:trPr>
        <w:tc>
          <w:tcPr>
            <w:tcW w:w="1283" w:type="dxa"/>
            <w:vMerge w:val="continue"/>
          </w:tcPr>
          <w:p>
            <w:pPr>
              <w:rPr>
                <w:rFonts w:ascii="宋体" w:hAnsi="宋体"/>
                <w:sz w:val="24"/>
                <w:szCs w:val="24"/>
              </w:rPr>
            </w:pPr>
          </w:p>
        </w:tc>
        <w:tc>
          <w:tcPr>
            <w:tcW w:w="1797" w:type="dxa"/>
            <w:vAlign w:val="center"/>
          </w:tcPr>
          <w:p>
            <w:pPr>
              <w:pStyle w:val="16"/>
              <w:spacing w:before="0" w:after="0"/>
              <w:jc w:val="center"/>
              <w:rPr>
                <w:rFonts w:ascii="宋体" w:hAnsi="宋体"/>
                <w:szCs w:val="24"/>
              </w:rPr>
            </w:pPr>
            <w:r>
              <w:rPr>
                <w:rFonts w:hint="eastAsia" w:ascii="宋体" w:hAnsi="宋体"/>
                <w:szCs w:val="24"/>
              </w:rPr>
              <w:t>房产使用</w:t>
            </w:r>
          </w:p>
          <w:p>
            <w:pPr>
              <w:pStyle w:val="16"/>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符合国家法律法规的经营的餐饮服务。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18" w:hRule="exact"/>
          <w:jc w:val="center"/>
        </w:trPr>
        <w:tc>
          <w:tcPr>
            <w:tcW w:w="1283" w:type="dxa"/>
            <w:vMerge w:val="continue"/>
          </w:tcPr>
          <w:p>
            <w:pPr>
              <w:rPr>
                <w:rFonts w:ascii="宋体" w:hAnsi="宋体"/>
                <w:sz w:val="24"/>
                <w:szCs w:val="24"/>
              </w:rPr>
            </w:pPr>
          </w:p>
        </w:tc>
        <w:tc>
          <w:tcPr>
            <w:tcW w:w="1797" w:type="dxa"/>
            <w:vAlign w:val="center"/>
          </w:tcPr>
          <w:p>
            <w:pPr>
              <w:pStyle w:val="16"/>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jc w:val="left"/>
              <w:rPr>
                <w:rFonts w:eastAsiaTheme="minorEastAsia"/>
                <w:sz w:val="22"/>
                <w:szCs w:val="22"/>
              </w:rPr>
            </w:pPr>
          </w:p>
          <w:p>
            <w:pPr>
              <w:numPr>
                <w:ilvl w:val="0"/>
                <w:numId w:val="4"/>
              </w:numPr>
              <w:spacing w:line="360" w:lineRule="exact"/>
              <w:jc w:val="left"/>
              <w:rPr>
                <w:rFonts w:eastAsiaTheme="minorEastAsia"/>
                <w:sz w:val="22"/>
                <w:szCs w:val="22"/>
              </w:rPr>
            </w:pPr>
            <w:r>
              <w:rPr>
                <w:rFonts w:eastAsiaTheme="minorEastAsia"/>
                <w:sz w:val="22"/>
                <w:szCs w:val="22"/>
              </w:rPr>
              <w:t>经出租方书面同意后承租方方可装修改造，费用自行承担</w:t>
            </w:r>
            <w:r>
              <w:rPr>
                <w:rFonts w:hint="eastAsia" w:eastAsiaTheme="minorEastAsia"/>
                <w:sz w:val="22"/>
                <w:szCs w:val="22"/>
              </w:rPr>
              <w:t>。</w:t>
            </w:r>
          </w:p>
          <w:p>
            <w:pPr>
              <w:numPr>
                <w:ilvl w:val="0"/>
                <w:numId w:val="4"/>
              </w:numPr>
              <w:spacing w:line="360" w:lineRule="exact"/>
              <w:jc w:val="left"/>
              <w:rPr>
                <w:rFonts w:asciiTheme="minorEastAsia" w:hAnsiTheme="minorEastAsia" w:eastAsiaTheme="minorEastAsia"/>
                <w:color w:val="000000" w:themeColor="text1"/>
                <w:sz w:val="22"/>
                <w:szCs w:val="22"/>
                <w14:textFill>
                  <w14:solidFill>
                    <w14:schemeClr w14:val="tx1"/>
                  </w14:solidFill>
                </w14:textFill>
              </w:rPr>
            </w:pPr>
            <w:r>
              <w:rPr>
                <w:rFonts w:eastAsiaTheme="minorEastAsia"/>
                <w:sz w:val="22"/>
                <w:szCs w:val="22"/>
              </w:rPr>
              <w:t>改造前必须向出租方报送具体装修设计方案及施工图纸，相关文件要向政府职能部门报审备案，</w:t>
            </w:r>
            <w:r>
              <w:rPr>
                <w:rFonts w:hint="eastAsia" w:eastAsiaTheme="minorEastAsia"/>
                <w:sz w:val="22"/>
                <w:szCs w:val="22"/>
              </w:rPr>
              <w:t>承租方必须聘用有相应资质的装修公司，对于施工中用火、用电的情况必须符合国家标准及消防安全要求，严格按照装修方案进行装修，</w:t>
            </w:r>
            <w:r>
              <w:rPr>
                <w:rFonts w:hint="eastAsia" w:asciiTheme="minorEastAsia" w:hAnsiTheme="minorEastAsia" w:eastAsiaTheme="minorEastAsia"/>
                <w:color w:val="000000" w:themeColor="text1"/>
                <w:sz w:val="22"/>
                <w:szCs w:val="22"/>
                <w14:textFill>
                  <w14:solidFill>
                    <w14:schemeClr w14:val="tx1"/>
                  </w14:solidFill>
                </w14:textFill>
              </w:rPr>
              <w:t>不得损坏房屋承重结构、主体结构和整体结构及相关设施，做到合法合规文明装修，</w:t>
            </w:r>
            <w:r>
              <w:rPr>
                <w:rFonts w:eastAsiaTheme="minorEastAsia"/>
                <w:sz w:val="22"/>
                <w:szCs w:val="22"/>
              </w:rPr>
              <w:t>竣工应通过甲方和相关主管部门验收合格</w:t>
            </w:r>
            <w:r>
              <w:rPr>
                <w:rFonts w:hint="eastAsia" w:eastAsiaTheme="minorEastAsia"/>
                <w:sz w:val="22"/>
                <w:szCs w:val="22"/>
              </w:rPr>
              <w:t>后</w:t>
            </w:r>
            <w:r>
              <w:rPr>
                <w:rFonts w:eastAsiaTheme="minorEastAsia"/>
                <w:sz w:val="22"/>
                <w:szCs w:val="22"/>
              </w:rPr>
              <w:t>方可营业。</w:t>
            </w:r>
          </w:p>
          <w:p>
            <w:pPr>
              <w:numPr>
                <w:ilvl w:val="0"/>
                <w:numId w:val="4"/>
              </w:numPr>
              <w:spacing w:line="360" w:lineRule="exact"/>
              <w:jc w:val="left"/>
              <w:rPr>
                <w:rFonts w:asciiTheme="minorEastAsia" w:hAnsiTheme="minorEastAsia" w:eastAsiaTheme="minorEastAsia"/>
                <w:color w:val="000000" w:themeColor="text1"/>
                <w:sz w:val="22"/>
                <w:szCs w:val="22"/>
                <w14:textFill>
                  <w14:solidFill>
                    <w14:schemeClr w14:val="tx1"/>
                  </w14:solidFill>
                </w14:textFill>
              </w:rPr>
            </w:pPr>
            <w:r>
              <w:rPr>
                <w:rFonts w:eastAsiaTheme="minorEastAsia"/>
                <w:sz w:val="22"/>
                <w:szCs w:val="22"/>
              </w:rPr>
              <w:t>装修改造费用及添附设备的维护保养由承租方承担</w:t>
            </w:r>
            <w:r>
              <w:rPr>
                <w:rFonts w:hint="eastAsia" w:eastAsiaTheme="minorEastAsia"/>
                <w:sz w:val="22"/>
                <w:szCs w:val="22"/>
              </w:rPr>
              <w:t>。</w:t>
            </w:r>
          </w:p>
          <w:p>
            <w:pPr>
              <w:numPr>
                <w:ilvl w:val="0"/>
                <w:numId w:val="4"/>
              </w:numPr>
              <w:spacing w:line="360" w:lineRule="exact"/>
              <w:jc w:val="left"/>
              <w:rPr>
                <w:rFonts w:asciiTheme="minorEastAsia" w:hAnsiTheme="minorEastAsia" w:eastAsiaTheme="minorEastAsia"/>
                <w:color w:val="000000" w:themeColor="text1"/>
                <w:sz w:val="22"/>
                <w:szCs w:val="22"/>
                <w14:textFill>
                  <w14:solidFill>
                    <w14:schemeClr w14:val="tx1"/>
                  </w14:solidFill>
                </w14:textFill>
              </w:rPr>
            </w:pPr>
            <w:r>
              <w:rPr>
                <w:rFonts w:hint="eastAsia" w:eastAsiaTheme="minorEastAsia"/>
                <w:sz w:val="22"/>
                <w:szCs w:val="22"/>
              </w:rPr>
              <w:t>房顶防水层存在漏水、渗水问题，中标单位需修缮或重新铺装，费用由承租方自理。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41" w:hRule="exact"/>
          <w:jc w:val="center"/>
        </w:trPr>
        <w:tc>
          <w:tcPr>
            <w:tcW w:w="1283" w:type="dxa"/>
            <w:vMerge w:val="continue"/>
          </w:tcPr>
          <w:p>
            <w:pPr>
              <w:rPr>
                <w:rFonts w:ascii="宋体" w:hAnsi="宋体"/>
                <w:sz w:val="24"/>
                <w:szCs w:val="24"/>
              </w:rPr>
            </w:pPr>
          </w:p>
        </w:tc>
        <w:tc>
          <w:tcPr>
            <w:tcW w:w="1797" w:type="dxa"/>
            <w:vAlign w:val="center"/>
          </w:tcPr>
          <w:p>
            <w:pPr>
              <w:pStyle w:val="16"/>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6"/>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numPr>
                <w:ilvl w:val="0"/>
                <w:numId w:val="5"/>
              </w:numPr>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意向承租方在项目公示期间已充分了解并认可房屋现状，并同意以现状进行租赁；意向承租方须自被确定为最终承租方后5个工作日内与出租方签署《房屋租赁合同》，《房屋租赁合同》签订之日起3个工作日内向出租方支付押金和租金。</w:t>
            </w:r>
          </w:p>
          <w:p>
            <w:pPr>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p>
          <w:p>
            <w:pPr>
              <w:numPr>
                <w:ilvl w:val="0"/>
                <w:numId w:val="5"/>
              </w:numPr>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承租方需书面承诺：</w:t>
            </w:r>
          </w:p>
          <w:p>
            <w:pPr>
              <w:numPr>
                <w:ilvl w:val="0"/>
                <w:numId w:val="6"/>
              </w:numPr>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同意随时接受出租方（包括安全、消防）例行检查工作；</w:t>
            </w:r>
          </w:p>
          <w:p>
            <w:pPr>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（2）每年按期进行电气消防检测（费用由承租方自理），检测报告复印件交出租方备案。</w:t>
            </w:r>
          </w:p>
          <w:p>
            <w:pPr>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（3）不在出租房屋内从事违规违法的经营项目；</w:t>
            </w:r>
          </w:p>
          <w:p>
            <w:pPr>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（4）房屋不得进行转租、转包、拆租、拆包，一经发现视为违约行为，出租方有权无条件收回房屋。</w:t>
            </w:r>
          </w:p>
          <w:p>
            <w:pPr>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 xml:space="preserve">（5）在租赁期内不改变使用用途。 </w:t>
            </w:r>
          </w:p>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30"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6"/>
              <w:jc w:val="center"/>
              <w:rPr>
                <w:rFonts w:ascii="宋体" w:hAnsi="宋体"/>
                <w:szCs w:val="24"/>
              </w:rPr>
            </w:pPr>
            <w:r>
              <w:rPr>
                <w:rFonts w:hint="eastAsia"/>
                <w:b/>
              </w:rPr>
              <w:t>资格条件</w:t>
            </w:r>
          </w:p>
        </w:tc>
        <w:tc>
          <w:tcPr>
            <w:tcW w:w="8149" w:type="dxa"/>
            <w:gridSpan w:val="2"/>
            <w:vAlign w:val="center"/>
          </w:tcPr>
          <w:p>
            <w:pPr>
              <w:pStyle w:val="16"/>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1、承租方承租房屋的用途需符合最新版《北京市新增产业的禁止和限制目录》的要求。</w:t>
            </w:r>
          </w:p>
          <w:p>
            <w:pPr>
              <w:pStyle w:val="16"/>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2、承租方须为在朝阳区注册纳税并依法存续的企业法人。</w:t>
            </w:r>
          </w:p>
          <w:p>
            <w:pPr>
              <w:pStyle w:val="16"/>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3、承租方必须具有良好的商业信用、财务状况和支付能力，无不良信用信息行为记录，以国家企业信用信息网为准。</w:t>
            </w:r>
          </w:p>
          <w:p>
            <w:pPr>
              <w:pStyle w:val="16"/>
              <w:spacing w:line="360" w:lineRule="exact"/>
              <w:rPr>
                <w:rFonts w:asciiTheme="majorEastAsia" w:hAnsiTheme="majorEastAsia" w:eastAsiaTheme="majorEastAsia" w:cstheme="majorEastAsia"/>
                <w:color w:val="000000" w:themeColor="text1"/>
                <w:sz w:val="22"/>
                <w:szCs w:val="22"/>
                <w:shd w:val="clear" w:color="auto" w:fill="FFFFFF"/>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4、承租方经营业态为餐饮行业，以营业执照经营范围为准。</w:t>
            </w:r>
          </w:p>
          <w:p>
            <w:pPr>
              <w:widowControl/>
              <w:spacing w:line="360" w:lineRule="exact"/>
              <w:jc w:val="left"/>
              <w:rPr>
                <w:rFonts w:hint="eastAsia" w:asciiTheme="majorEastAsia" w:hAnsiTheme="majorEastAsia" w:eastAsiaTheme="majorEastAsia" w:cstheme="majorEastAsia"/>
                <w:color w:val="000000" w:themeColor="text1"/>
                <w:sz w:val="22"/>
                <w:szCs w:val="22"/>
                <w:shd w:val="clear" w:color="auto" w:fill="FFFFFF"/>
                <w:lang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5、本项目不接受联合承租</w:t>
            </w:r>
            <w:r>
              <w:rPr>
                <w:rFonts w:hint="eastAsia" w:asciiTheme="majorEastAsia" w:hAnsiTheme="majorEastAsia" w:eastAsiaTheme="majorEastAsia" w:cstheme="majorEastAsia"/>
                <w:color w:val="000000" w:themeColor="text1"/>
                <w:sz w:val="22"/>
                <w:szCs w:val="22"/>
                <w:shd w:val="clear" w:color="auto" w:fill="FFFFFF"/>
                <w:lang w:eastAsia="zh-CN"/>
                <w14:textFill>
                  <w14:solidFill>
                    <w14:schemeClr w14:val="tx1"/>
                  </w14:solidFill>
                </w14:textFill>
              </w:rPr>
              <w:t>。</w:t>
            </w:r>
          </w:p>
          <w:p>
            <w:pPr>
              <w:widowControl/>
              <w:spacing w:line="360" w:lineRule="exact"/>
              <w:jc w:val="left"/>
              <w:rPr>
                <w:rFonts w:asciiTheme="minorEastAsia" w:hAnsiTheme="minorEastAsia" w:eastAsiaTheme="minorEastAsia"/>
                <w:b/>
                <w:bCs/>
                <w:color w:val="333333"/>
                <w:sz w:val="24"/>
                <w:szCs w:val="24"/>
                <w:shd w:val="clear" w:color="auto" w:fill="FFFFFF"/>
              </w:rPr>
            </w:pPr>
            <w:r>
              <w:rPr>
                <w:rFonts w:hint="eastAsia" w:asciiTheme="majorEastAsia" w:hAnsiTheme="majorEastAsia" w:eastAsiaTheme="majorEastAsia" w:cstheme="majorEastAsia"/>
                <w:color w:val="000000" w:themeColor="text1"/>
                <w:sz w:val="22"/>
                <w:szCs w:val="22"/>
                <w:shd w:val="clear" w:color="auto" w:fill="FFFFFF"/>
                <w14:textFill>
                  <w14:solidFill>
                    <w14:schemeClr w14:val="tx1"/>
                  </w14:solidFill>
                </w14:textFill>
              </w:rPr>
              <w:t>6、承租方及相关关联企业与出租方无法律纠纷。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shd w:val="clear" w:color="auto" w:fill="auto"/>
            <w:vAlign w:val="center"/>
          </w:tcPr>
          <w:p>
            <w:pPr>
              <w:pStyle w:val="16"/>
              <w:jc w:val="center"/>
              <w:rPr>
                <w:rFonts w:ascii="宋体" w:hAnsi="宋体"/>
                <w:szCs w:val="24"/>
              </w:rPr>
            </w:pPr>
            <w:r>
              <w:rPr>
                <w:rFonts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6"/>
              <w:ind w:left="479" w:leftChars="228" w:firstLine="120" w:firstLineChars="50"/>
              <w:rPr>
                <w:rFonts w:ascii="宋体" w:hAnsi="宋体"/>
                <w:szCs w:val="24"/>
              </w:rPr>
            </w:pPr>
            <w:r>
              <w:rPr>
                <w:rFonts w:hint="eastAsia" w:ascii="宋体" w:hAnsi="宋体"/>
                <w:szCs w:val="24"/>
              </w:rPr>
              <w:t>设定为</w:t>
            </w:r>
            <w:r>
              <w:rPr>
                <w:rFonts w:hint="eastAsia" w:ascii="宋体" w:hAnsi="宋体"/>
                <w:szCs w:val="24"/>
                <w:u w:val="single"/>
              </w:rPr>
              <w:t>40000</w:t>
            </w:r>
            <w:r>
              <w:rPr>
                <w:rFonts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shd w:val="clear" w:color="auto" w:fill="auto"/>
            <w:vAlign w:val="center"/>
          </w:tcPr>
          <w:p>
            <w:pPr>
              <w:pStyle w:val="16"/>
              <w:jc w:val="center"/>
              <w:rPr>
                <w:rFonts w:ascii="宋体" w:hAnsi="宋体"/>
                <w:szCs w:val="24"/>
              </w:rPr>
            </w:pPr>
            <w:r>
              <w:rPr>
                <w:rFonts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6"/>
              <w:ind w:left="360" w:hanging="360" w:hangingChars="150"/>
              <w:jc w:val="center"/>
              <w:rPr>
                <w:rFonts w:ascii="宋体" w:hAnsi="宋体"/>
                <w:szCs w:val="24"/>
              </w:rPr>
            </w:pPr>
            <w:r>
              <w:rPr>
                <w:rFonts w:ascii="宋体" w:hAnsi="宋体"/>
                <w:szCs w:val="24"/>
              </w:rPr>
              <w:t>意向承租方在信息发布截止日</w:t>
            </w:r>
            <w:r>
              <w:rPr>
                <w:rFonts w:hint="eastAsia" w:ascii="宋体" w:hAnsi="宋体"/>
                <w:szCs w:val="24"/>
              </w:rPr>
              <w:t>17</w:t>
            </w:r>
            <w:r>
              <w:rPr>
                <w:rFonts w:ascii="宋体" w:hAnsi="宋体"/>
                <w:szCs w:val="24"/>
              </w:rPr>
              <w:t>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shd w:val="clear" w:color="auto" w:fill="auto"/>
            <w:vAlign w:val="center"/>
          </w:tcPr>
          <w:p>
            <w:pPr>
              <w:pStyle w:val="16"/>
              <w:spacing w:before="0" w:after="0"/>
              <w:ind w:left="360" w:hanging="360" w:hangingChars="150"/>
              <w:jc w:val="center"/>
              <w:rPr>
                <w:rFonts w:ascii="宋体" w:hAnsi="宋体"/>
                <w:szCs w:val="24"/>
              </w:rPr>
            </w:pPr>
            <w:r>
              <w:rPr>
                <w:rFonts w:ascii="宋体" w:hAnsi="宋体"/>
                <w:szCs w:val="24"/>
              </w:rPr>
              <w:t>缴纳方式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6"/>
              <w:ind w:left="1"/>
              <w:jc w:val="center"/>
              <w:rPr>
                <w:rFonts w:ascii="宋体" w:hAnsi="宋体"/>
                <w:szCs w:val="24"/>
              </w:rPr>
            </w:pPr>
            <w:r>
              <w:rPr>
                <w:rFonts w:hint="eastAsia" w:ascii="宋体" w:hAnsi="宋体"/>
                <w:szCs w:val="24"/>
              </w:rPr>
              <w:t xml:space="preserve">支票□      电汇☑      </w:t>
            </w:r>
            <w:r>
              <w:rPr>
                <w:rFonts w:ascii="宋体" w:hAnsi="宋体"/>
                <w:szCs w:val="24"/>
              </w:rPr>
              <w:t>网上银行</w:t>
            </w:r>
            <w:r>
              <w:rPr>
                <w:rFonts w:hint="eastAsia" w:ascii="宋体" w:hAnsi="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5"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top w:val="single" w:color="auto" w:sz="4" w:space="0"/>
              <w:right w:val="single" w:color="auto" w:sz="4" w:space="0"/>
            </w:tcBorders>
            <w:shd w:val="clear" w:color="auto" w:fill="auto"/>
            <w:vAlign w:val="center"/>
          </w:tcPr>
          <w:p>
            <w:pPr>
              <w:pStyle w:val="16"/>
              <w:spacing w:before="0" w:after="0"/>
              <w:ind w:left="360" w:hanging="360" w:hangingChars="150"/>
              <w:jc w:val="center"/>
              <w:rPr>
                <w:rFonts w:ascii="宋体" w:hAnsi="宋体"/>
                <w:szCs w:val="24"/>
              </w:rPr>
            </w:pPr>
            <w:r>
              <w:rPr>
                <w:rFonts w:hint="eastAsia" w:ascii="宋体" w:hAnsi="宋体"/>
                <w:szCs w:val="24"/>
              </w:rPr>
              <w:t>保证金</w:t>
            </w:r>
          </w:p>
          <w:p>
            <w:pPr>
              <w:pStyle w:val="16"/>
              <w:spacing w:before="0" w:after="0"/>
              <w:ind w:left="360" w:hanging="360" w:hangingChars="150"/>
              <w:jc w:val="center"/>
              <w:rPr>
                <w:rFonts w:ascii="宋体" w:hAnsi="宋体"/>
                <w:szCs w:val="24"/>
                <w:highlight w:val="yellow"/>
              </w:rPr>
            </w:pPr>
            <w:r>
              <w:rPr>
                <w:rFonts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6"/>
              <w:ind w:left="1"/>
              <w:jc w:val="left"/>
              <w:rPr>
                <w:rFonts w:ascii="宋体" w:hAnsi="宋体"/>
                <w:szCs w:val="24"/>
              </w:rPr>
            </w:pPr>
            <w:r>
              <w:rPr>
                <w:rFonts w:ascii="宋体" w:hAnsi="宋体"/>
                <w:szCs w:val="24"/>
              </w:rPr>
              <w:t>成为最终承租方：</w:t>
            </w:r>
          </w:p>
          <w:p>
            <w:pPr>
              <w:pStyle w:val="16"/>
              <w:ind w:left="1"/>
              <w:rPr>
                <w:rFonts w:ascii="宋体" w:hAnsi="宋体"/>
                <w:szCs w:val="24"/>
              </w:rPr>
            </w:pPr>
            <w:r>
              <w:rPr>
                <w:rFonts w:hint="eastAsia" w:ascii="宋体" w:hAnsi="宋体"/>
                <w:szCs w:val="24"/>
              </w:rPr>
              <w:t>扣除押金及房屋首次租金后无息返还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continue"/>
            <w:tcBorders>
              <w:bottom w:val="single" w:color="auto" w:sz="4" w:space="0"/>
              <w:right w:val="single" w:color="auto" w:sz="4" w:space="0"/>
            </w:tcBorders>
            <w:shd w:val="clear" w:color="auto" w:fill="auto"/>
            <w:vAlign w:val="center"/>
          </w:tcPr>
          <w:p>
            <w:pPr>
              <w:pStyle w:val="16"/>
              <w:spacing w:before="0" w:after="0"/>
              <w:ind w:left="360" w:hanging="360" w:hangingChars="150"/>
              <w:jc w:val="center"/>
              <w:rPr>
                <w:rFonts w:ascii="宋体" w:hAnsi="宋体"/>
                <w:szCs w:val="24"/>
                <w:highlight w:val="yellow"/>
              </w:rPr>
            </w:pPr>
          </w:p>
        </w:tc>
        <w:tc>
          <w:tcPr>
            <w:tcW w:w="6352" w:type="dxa"/>
            <w:tcBorders>
              <w:top w:val="single" w:color="auto" w:sz="4" w:space="0"/>
              <w:left w:val="single" w:color="auto" w:sz="4" w:space="0"/>
              <w:bottom w:val="single" w:color="auto" w:sz="4" w:space="0"/>
            </w:tcBorders>
            <w:shd w:val="clear" w:color="auto" w:fill="auto"/>
            <w:vAlign w:val="center"/>
          </w:tcPr>
          <w:p>
            <w:pPr>
              <w:pStyle w:val="16"/>
              <w:ind w:left="1"/>
              <w:jc w:val="left"/>
              <w:rPr>
                <w:rFonts w:ascii="宋体" w:hAnsi="宋体"/>
                <w:szCs w:val="24"/>
              </w:rPr>
            </w:pPr>
            <w:r>
              <w:rPr>
                <w:rFonts w:ascii="宋体" w:hAnsi="宋体"/>
                <w:szCs w:val="24"/>
              </w:rPr>
              <w:t>未成为最终承租方：</w:t>
            </w:r>
            <w:r>
              <w:rPr>
                <w:rFonts w:hint="eastAsia" w:ascii="宋体" w:hAnsi="宋体"/>
                <w:szCs w:val="24"/>
              </w:rPr>
              <w:t>无息</w:t>
            </w:r>
            <w:r>
              <w:rPr>
                <w:rFonts w:ascii="宋体" w:hAnsi="宋体"/>
                <w:szCs w:val="24"/>
              </w:rPr>
              <w:t>返还</w:t>
            </w: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13"/>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2"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ascii="宋体" w:hAnsi="宋体"/>
                <w:sz w:val="24"/>
                <w:szCs w:val="24"/>
                <w:u w:val="single"/>
              </w:rPr>
              <w:t>10</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sz w:val="24"/>
                <w:szCs w:val="24"/>
              </w:rPr>
            </w:pPr>
            <w:r>
              <w:rPr>
                <w:rFonts w:hint="eastAsia" w:ascii="宋体" w:hAnsi="宋体"/>
                <w:sz w:val="24"/>
                <w:szCs w:val="24"/>
              </w:rPr>
              <w:t>☑</w:t>
            </w:r>
            <w:r>
              <w:rPr>
                <w:sz w:val="24"/>
                <w:szCs w:val="24"/>
              </w:rPr>
              <w:t>A.信息发布终结</w:t>
            </w:r>
          </w:p>
          <w:p>
            <w:pPr>
              <w:ind w:firstLine="240" w:firstLineChars="100"/>
              <w:textAlignment w:val="baseline"/>
              <w:rPr>
                <w:sz w:val="24"/>
                <w:szCs w:val="24"/>
              </w:rPr>
            </w:pPr>
            <w:r>
              <w:rPr>
                <w:sz w:val="24"/>
                <w:szCs w:val="24"/>
              </w:rPr>
              <w:t>B.延长信息发布：</w:t>
            </w:r>
          </w:p>
          <w:p>
            <w:pPr>
              <w:ind w:firstLine="360" w:firstLineChars="150"/>
              <w:textAlignment w:val="baseline"/>
              <w:rPr>
                <w:sz w:val="24"/>
                <w:szCs w:val="24"/>
              </w:rPr>
            </w:pPr>
            <w:r>
              <w:rPr>
                <w:sz w:val="24"/>
                <w:szCs w:val="24"/>
              </w:rPr>
              <w:t>不变更挂牌条件，按照5个工作日为一个周期延长，</w:t>
            </w:r>
          </w:p>
          <w:p>
            <w:pPr>
              <w:ind w:firstLine="501" w:firstLineChars="209"/>
              <w:textAlignment w:val="baseline"/>
              <w:rPr>
                <w:sz w:val="24"/>
                <w:szCs w:val="24"/>
              </w:rPr>
            </w:pPr>
            <w:r>
              <w:rPr>
                <w:sz w:val="24"/>
                <w:szCs w:val="24"/>
              </w:rPr>
              <w:t xml:space="preserve">□直至征集到意向承租方   </w:t>
            </w:r>
          </w:p>
          <w:p>
            <w:pPr>
              <w:ind w:firstLine="480"/>
              <w:textAlignment w:val="baseline"/>
              <w:rPr>
                <w:sz w:val="24"/>
                <w:szCs w:val="24"/>
              </w:rPr>
            </w:pPr>
            <w:r>
              <w:rPr>
                <w:sz w:val="24"/>
                <w:szCs w:val="24"/>
              </w:rPr>
              <w:t>□最多延长</w:t>
            </w:r>
            <w:r>
              <w:rPr>
                <w:sz w:val="24"/>
                <w:szCs w:val="24"/>
                <w:u w:val="single"/>
              </w:rPr>
              <w:t xml:space="preserve">    </w:t>
            </w:r>
            <w:r>
              <w:rPr>
                <w:sz w:val="24"/>
                <w:szCs w:val="24"/>
              </w:rPr>
              <w:t xml:space="preserve">个周期（两选其一）。 </w:t>
            </w:r>
          </w:p>
          <w:p>
            <w:pPr>
              <w:textAlignment w:val="baseline"/>
              <w:rPr>
                <w:rFonts w:ascii="宋体" w:hAnsi="宋体"/>
                <w:sz w:val="24"/>
                <w:szCs w:val="24"/>
              </w:rPr>
            </w:pPr>
            <w:r>
              <w:rPr>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80"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sz w:val="24"/>
                <w:szCs w:val="24"/>
              </w:rPr>
            </w:pPr>
            <w:r>
              <w:rPr>
                <w:rFonts w:hint="eastAsia" w:ascii="宋体" w:hAnsi="宋体"/>
                <w:sz w:val="24"/>
                <w:szCs w:val="24"/>
              </w:rPr>
              <w:t>☑</w:t>
            </w:r>
            <w:r>
              <w:rPr>
                <w:sz w:val="24"/>
                <w:szCs w:val="24"/>
              </w:rPr>
              <w:t>A.现场竞价（多次报价</w:t>
            </w:r>
            <w:r>
              <w:rPr>
                <w:rFonts w:hint="eastAsia"/>
                <w:sz w:val="24"/>
                <w:szCs w:val="24"/>
              </w:rPr>
              <w:t>□</w:t>
            </w:r>
            <w:r>
              <w:rPr>
                <w:sz w:val="24"/>
                <w:szCs w:val="24"/>
              </w:rPr>
              <w:t>、一次报价</w:t>
            </w:r>
            <w:r>
              <w:rPr>
                <w:rFonts w:hint="eastAsia" w:ascii="宋体" w:hAnsi="宋体"/>
                <w:sz w:val="24"/>
                <w:szCs w:val="24"/>
              </w:rPr>
              <w:t>☑</w:t>
            </w:r>
            <w:r>
              <w:rPr>
                <w:sz w:val="24"/>
                <w:szCs w:val="24"/>
              </w:rPr>
              <w:t>）</w:t>
            </w:r>
          </w:p>
          <w:p>
            <w:pPr>
              <w:textAlignment w:val="baseline"/>
              <w:rPr>
                <w:sz w:val="24"/>
                <w:szCs w:val="24"/>
              </w:rPr>
            </w:pPr>
            <w:r>
              <w:rPr>
                <w:sz w:val="24"/>
                <w:szCs w:val="24"/>
              </w:rPr>
              <w:t>□B.竞争性谈判</w:t>
            </w:r>
          </w:p>
          <w:p>
            <w:pPr>
              <w:spacing w:line="300" w:lineRule="exact"/>
              <w:rPr>
                <w:sz w:val="24"/>
                <w:szCs w:val="24"/>
              </w:rPr>
            </w:pPr>
            <w:r>
              <w:rPr>
                <w:sz w:val="24"/>
                <w:szCs w:val="24"/>
              </w:rPr>
              <w:t>□C.综合评议</w:t>
            </w:r>
          </w:p>
          <w:p>
            <w:pPr>
              <w:textAlignment w:val="baseline"/>
              <w:rPr>
                <w:rFonts w:ascii="宋体" w:hAnsi="宋体"/>
                <w:sz w:val="24"/>
                <w:szCs w:val="24"/>
              </w:rPr>
            </w:pPr>
            <w:r>
              <w:rPr>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8"/>
                <w:szCs w:val="28"/>
              </w:rPr>
            </w:pPr>
            <w:r>
              <w:rPr>
                <w:rFonts w:hint="eastAsia" w:eastAsiaTheme="minorEastAsia"/>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2" w:hRule="exact"/>
          <w:jc w:val="center"/>
        </w:trPr>
        <w:tc>
          <w:tcPr>
            <w:tcW w:w="2289" w:type="dxa"/>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vAlign w:val="center"/>
          </w:tcPr>
          <w:p>
            <w:pPr>
              <w:textAlignment w:val="baseline"/>
              <w:rPr>
                <w:rFonts w:eastAsiaTheme="minorEastAsia"/>
                <w:sz w:val="24"/>
                <w:szCs w:val="24"/>
              </w:rPr>
            </w:pPr>
            <w:r>
              <w:rPr>
                <w:rFonts w:hint="eastAsia" w:eastAsiaTheme="minorEastAsia"/>
                <w:sz w:val="24"/>
                <w:szCs w:val="24"/>
              </w:rPr>
              <w:t>010-84628759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2" w:hRule="exact"/>
          <w:jc w:val="center"/>
        </w:trPr>
        <w:tc>
          <w:tcPr>
            <w:tcW w:w="2289" w:type="dxa"/>
            <w:vAlign w:val="center"/>
          </w:tcPr>
          <w:p>
            <w:pPr>
              <w:jc w:val="center"/>
              <w:rPr>
                <w:rFonts w:ascii="宋体" w:hAnsi="宋体"/>
                <w:b/>
                <w:sz w:val="24"/>
                <w:szCs w:val="24"/>
              </w:rPr>
            </w:pPr>
            <w:r>
              <w:rPr>
                <w:rFonts w:hint="eastAsia" w:ascii="宋体" w:hAnsi="宋体"/>
                <w:b/>
                <w:sz w:val="24"/>
                <w:szCs w:val="24"/>
              </w:rPr>
              <w:t>国资委派驻组</w:t>
            </w:r>
          </w:p>
          <w:p>
            <w:pPr>
              <w:jc w:val="center"/>
              <w:rPr>
                <w:rFonts w:ascii="宋体" w:hAnsi="宋体"/>
                <w:b/>
                <w:sz w:val="24"/>
                <w:szCs w:val="24"/>
              </w:rPr>
            </w:pPr>
            <w:r>
              <w:rPr>
                <w:rFonts w:hint="eastAsia" w:ascii="宋体" w:hAnsi="宋体"/>
                <w:b/>
                <w:sz w:val="24"/>
                <w:szCs w:val="24"/>
              </w:rPr>
              <w:t>监督电话</w:t>
            </w:r>
          </w:p>
        </w:tc>
        <w:tc>
          <w:tcPr>
            <w:tcW w:w="7143" w:type="dxa"/>
            <w:vAlign w:val="center"/>
          </w:tcPr>
          <w:p>
            <w:pPr>
              <w:textAlignment w:val="baseline"/>
              <w:rPr>
                <w:rFonts w:eastAsiaTheme="minorEastAsia"/>
                <w:sz w:val="24"/>
                <w:szCs w:val="24"/>
              </w:rPr>
            </w:pPr>
            <w:r>
              <w:rPr>
                <w:rFonts w:hint="eastAsia" w:eastAsiaTheme="minorEastAsia"/>
                <w:sz w:val="24"/>
                <w:szCs w:val="24"/>
              </w:rPr>
              <w:t>010-65099195</w:t>
            </w:r>
          </w:p>
        </w:tc>
      </w:tr>
    </w:tbl>
    <w:p>
      <w:pPr>
        <w:jc w:val="center"/>
        <w:rPr>
          <w:b/>
          <w:bCs/>
          <w:sz w:val="40"/>
          <w:szCs w:val="36"/>
        </w:rPr>
      </w:pPr>
      <w:r>
        <w:rPr>
          <w:rFonts w:hint="eastAsia"/>
          <w:b/>
          <w:bCs/>
          <w:sz w:val="40"/>
          <w:szCs w:val="36"/>
        </w:rPr>
        <w:t>五、项目图片</w:t>
      </w:r>
    </w:p>
    <w:p>
      <w:pPr>
        <w:rPr>
          <w:b/>
          <w:bCs/>
          <w:sz w:val="40"/>
          <w:szCs w:val="36"/>
        </w:rPr>
      </w:pPr>
      <w:r>
        <w:rPr>
          <w:rFonts w:hint="eastAsia"/>
          <w:b/>
          <w:bCs/>
          <w:sz w:val="40"/>
          <w:szCs w:val="36"/>
        </w:rPr>
        <w:drawing>
          <wp:inline distT="0" distB="0" distL="114300" distR="114300">
            <wp:extent cx="2425065" cy="3234690"/>
            <wp:effectExtent l="0" t="0" r="635" b="3810"/>
            <wp:docPr id="1" name="图片 1" descr="蜀风情有证34.6（48）外部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蜀风情有证34.6（48）外部照片"/>
                    <pic:cNvPicPr>
                      <a:picLocks noChangeAspect="1"/>
                    </pic:cNvPicPr>
                  </pic:nvPicPr>
                  <pic:blipFill>
                    <a:blip r:embed="rId7" cstate="print"/>
                    <a:stretch>
                      <a:fillRect/>
                    </a:stretch>
                  </pic:blipFill>
                  <pic:spPr>
                    <a:xfrm>
                      <a:off x="0" y="0"/>
                      <a:ext cx="2425065" cy="3234690"/>
                    </a:xfrm>
                    <a:prstGeom prst="rect">
                      <a:avLst/>
                    </a:prstGeom>
                  </pic:spPr>
                </pic:pic>
              </a:graphicData>
            </a:graphic>
          </wp:inline>
        </w:drawing>
      </w:r>
      <w:r>
        <w:rPr>
          <w:rFonts w:hint="eastAsia"/>
          <w:b/>
          <w:bCs/>
          <w:sz w:val="40"/>
          <w:szCs w:val="36"/>
        </w:rPr>
        <w:t xml:space="preserve"> </w:t>
      </w:r>
      <w:r>
        <w:rPr>
          <w:rFonts w:hint="eastAsia"/>
          <w:b/>
          <w:bCs/>
          <w:sz w:val="40"/>
          <w:szCs w:val="36"/>
        </w:rPr>
        <w:drawing>
          <wp:inline distT="0" distB="0" distL="114300" distR="114300">
            <wp:extent cx="2416175" cy="3223260"/>
            <wp:effectExtent l="0" t="0" r="9525" b="2540"/>
            <wp:docPr id="2" name="图片 2" descr="蜀风情有证34.6（48）内部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蜀风情有证34.6（48）内部照片"/>
                    <pic:cNvPicPr>
                      <a:picLocks noChangeAspect="1"/>
                    </pic:cNvPicPr>
                  </pic:nvPicPr>
                  <pic:blipFill>
                    <a:blip r:embed="rId8" cstate="print"/>
                    <a:stretch>
                      <a:fillRect/>
                    </a:stretch>
                  </pic:blipFill>
                  <pic:spPr>
                    <a:xfrm>
                      <a:off x="0" y="0"/>
                      <a:ext cx="2416175" cy="3223260"/>
                    </a:xfrm>
                    <a:prstGeom prst="rect">
                      <a:avLst/>
                    </a:prstGeom>
                  </pic:spPr>
                </pic:pic>
              </a:graphicData>
            </a:graphic>
          </wp:inline>
        </w:drawing>
      </w:r>
    </w:p>
    <w:p>
      <w:pPr>
        <w:rPr>
          <w:b/>
          <w:bCs/>
          <w:sz w:val="40"/>
          <w:szCs w:val="36"/>
        </w:rPr>
      </w:pPr>
      <w:r>
        <w:rPr>
          <w:rFonts w:hint="eastAsia"/>
          <w:b/>
          <w:bCs/>
          <w:sz w:val="40"/>
          <w:szCs w:val="36"/>
        </w:rPr>
        <w:drawing>
          <wp:inline distT="0" distB="0" distL="114300" distR="114300">
            <wp:extent cx="2432050" cy="3242945"/>
            <wp:effectExtent l="0" t="0" r="6350" b="8255"/>
            <wp:docPr id="4" name="图片 4" descr="蜀风情无证56外部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蜀风情无证56外部照片"/>
                    <pic:cNvPicPr>
                      <a:picLocks noChangeAspect="1"/>
                    </pic:cNvPicPr>
                  </pic:nvPicPr>
                  <pic:blipFill>
                    <a:blip r:embed="rId9" cstate="print"/>
                    <a:stretch>
                      <a:fillRect/>
                    </a:stretch>
                  </pic:blipFill>
                  <pic:spPr>
                    <a:xfrm>
                      <a:off x="0" y="0"/>
                      <a:ext cx="2432050" cy="3242945"/>
                    </a:xfrm>
                    <a:prstGeom prst="rect">
                      <a:avLst/>
                    </a:prstGeom>
                  </pic:spPr>
                </pic:pic>
              </a:graphicData>
            </a:graphic>
          </wp:inline>
        </w:drawing>
      </w:r>
      <w:r>
        <w:rPr>
          <w:rFonts w:hint="eastAsia"/>
          <w:b/>
          <w:bCs/>
          <w:sz w:val="40"/>
          <w:szCs w:val="36"/>
        </w:rPr>
        <w:t xml:space="preserve"> </w:t>
      </w:r>
      <w:r>
        <w:rPr>
          <w:rFonts w:hint="eastAsia"/>
          <w:b/>
          <w:bCs/>
          <w:sz w:val="40"/>
          <w:szCs w:val="36"/>
        </w:rPr>
        <w:drawing>
          <wp:inline distT="0" distB="0" distL="114300" distR="114300">
            <wp:extent cx="2413635" cy="3218815"/>
            <wp:effectExtent l="0" t="0" r="12065" b="6985"/>
            <wp:docPr id="3" name="图片 3" descr="蜀风情无证56内部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蜀风情无证56内部照片"/>
                    <pic:cNvPicPr>
                      <a:picLocks noChangeAspect="1"/>
                    </pic:cNvPicPr>
                  </pic:nvPicPr>
                  <pic:blipFill>
                    <a:blip r:embed="rId10" cstate="print"/>
                    <a:stretch>
                      <a:fillRect/>
                    </a:stretch>
                  </pic:blipFill>
                  <pic:spPr>
                    <a:xfrm>
                      <a:off x="0" y="0"/>
                      <a:ext cx="2413635" cy="3218815"/>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思源黑体">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48B71"/>
    <w:multiLevelType w:val="singleLevel"/>
    <w:tmpl w:val="92448B71"/>
    <w:lvl w:ilvl="0" w:tentative="0">
      <w:start w:val="1"/>
      <w:numFmt w:val="decimal"/>
      <w:suff w:val="nothing"/>
      <w:lvlText w:val="%1、"/>
      <w:lvlJc w:val="left"/>
    </w:lvl>
  </w:abstractNum>
  <w:abstractNum w:abstractNumId="1">
    <w:nsid w:val="C97FF9F2"/>
    <w:multiLevelType w:val="singleLevel"/>
    <w:tmpl w:val="C97FF9F2"/>
    <w:lvl w:ilvl="0" w:tentative="0">
      <w:start w:val="1"/>
      <w:numFmt w:val="decimal"/>
      <w:suff w:val="nothing"/>
      <w:lvlText w:val="%1、"/>
      <w:lvlJc w:val="left"/>
    </w:lvl>
  </w:abstractNum>
  <w:abstractNum w:abstractNumId="2">
    <w:nsid w:val="55508253"/>
    <w:multiLevelType w:val="singleLevel"/>
    <w:tmpl w:val="55508253"/>
    <w:lvl w:ilvl="0" w:tentative="0">
      <w:start w:val="1"/>
      <w:numFmt w:val="decimal"/>
      <w:suff w:val="nothing"/>
      <w:lvlText w:val="（%1）"/>
      <w:lvlJc w:val="left"/>
    </w:lvl>
  </w:abstractNum>
  <w:abstractNum w:abstractNumId="3">
    <w:nsid w:val="5E9823A5"/>
    <w:multiLevelType w:val="singleLevel"/>
    <w:tmpl w:val="5E9823A5"/>
    <w:lvl w:ilvl="0" w:tentative="0">
      <w:start w:val="1"/>
      <w:numFmt w:val="upperLetter"/>
      <w:suff w:val="nothing"/>
      <w:lvlText w:val="%1."/>
      <w:lvlJc w:val="left"/>
    </w:lvl>
  </w:abstractNum>
  <w:abstractNum w:abstractNumId="4">
    <w:nsid w:val="5E9823D8"/>
    <w:multiLevelType w:val="singleLevel"/>
    <w:tmpl w:val="5E9823D8"/>
    <w:lvl w:ilvl="0" w:tentative="0">
      <w:start w:val="1"/>
      <w:numFmt w:val="decimal"/>
      <w:suff w:val="nothing"/>
      <w:lvlText w:val="%1、"/>
      <w:lvlJc w:val="left"/>
    </w:lvl>
  </w:abstractNum>
  <w:abstractNum w:abstractNumId="5">
    <w:nsid w:val="5E9823E5"/>
    <w:multiLevelType w:val="singleLevel"/>
    <w:tmpl w:val="5E9823E5"/>
    <w:lvl w:ilvl="0" w:tentative="0">
      <w:start w:val="3"/>
      <w:numFmt w:val="decimal"/>
      <w:suff w:val="nothing"/>
      <w:lvlText w:val="%1、"/>
      <w:lvlJc w:val="left"/>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64"/>
    <w:rsid w:val="00022208"/>
    <w:rsid w:val="00035D66"/>
    <w:rsid w:val="00041886"/>
    <w:rsid w:val="00060124"/>
    <w:rsid w:val="000635A9"/>
    <w:rsid w:val="00064BAA"/>
    <w:rsid w:val="0009394B"/>
    <w:rsid w:val="000A7172"/>
    <w:rsid w:val="000B6431"/>
    <w:rsid w:val="000E19E3"/>
    <w:rsid w:val="00120CB7"/>
    <w:rsid w:val="00146E57"/>
    <w:rsid w:val="001722F0"/>
    <w:rsid w:val="00221253"/>
    <w:rsid w:val="002540AD"/>
    <w:rsid w:val="002D179F"/>
    <w:rsid w:val="00301224"/>
    <w:rsid w:val="00305328"/>
    <w:rsid w:val="0031429C"/>
    <w:rsid w:val="00321544"/>
    <w:rsid w:val="00345B85"/>
    <w:rsid w:val="003566FF"/>
    <w:rsid w:val="00356AF4"/>
    <w:rsid w:val="00371DB1"/>
    <w:rsid w:val="003F4B54"/>
    <w:rsid w:val="0041008B"/>
    <w:rsid w:val="004946F3"/>
    <w:rsid w:val="004A2948"/>
    <w:rsid w:val="004E6D18"/>
    <w:rsid w:val="004F163C"/>
    <w:rsid w:val="005059DA"/>
    <w:rsid w:val="005358DA"/>
    <w:rsid w:val="005726CE"/>
    <w:rsid w:val="005F0509"/>
    <w:rsid w:val="005F5178"/>
    <w:rsid w:val="00604BD3"/>
    <w:rsid w:val="00654AB3"/>
    <w:rsid w:val="006656C8"/>
    <w:rsid w:val="00670BE2"/>
    <w:rsid w:val="00685152"/>
    <w:rsid w:val="006C3D01"/>
    <w:rsid w:val="006D35A4"/>
    <w:rsid w:val="006F311F"/>
    <w:rsid w:val="0070172A"/>
    <w:rsid w:val="00702F03"/>
    <w:rsid w:val="007036B6"/>
    <w:rsid w:val="00741C23"/>
    <w:rsid w:val="00782710"/>
    <w:rsid w:val="00790464"/>
    <w:rsid w:val="008320C8"/>
    <w:rsid w:val="00852122"/>
    <w:rsid w:val="00896D19"/>
    <w:rsid w:val="008F4193"/>
    <w:rsid w:val="008F613A"/>
    <w:rsid w:val="009028A5"/>
    <w:rsid w:val="00943543"/>
    <w:rsid w:val="009877DF"/>
    <w:rsid w:val="009A1990"/>
    <w:rsid w:val="009C2BB0"/>
    <w:rsid w:val="009E1B22"/>
    <w:rsid w:val="00A24BE6"/>
    <w:rsid w:val="00A5335B"/>
    <w:rsid w:val="00A61394"/>
    <w:rsid w:val="00A642AB"/>
    <w:rsid w:val="00A771EA"/>
    <w:rsid w:val="00A874C7"/>
    <w:rsid w:val="00AA0C24"/>
    <w:rsid w:val="00AD132A"/>
    <w:rsid w:val="00B03031"/>
    <w:rsid w:val="00B81AF7"/>
    <w:rsid w:val="00B8301D"/>
    <w:rsid w:val="00B94401"/>
    <w:rsid w:val="00BB3859"/>
    <w:rsid w:val="00BB533E"/>
    <w:rsid w:val="00C16AFA"/>
    <w:rsid w:val="00C4088E"/>
    <w:rsid w:val="00C41597"/>
    <w:rsid w:val="00C72A96"/>
    <w:rsid w:val="00CD240D"/>
    <w:rsid w:val="00CF2403"/>
    <w:rsid w:val="00D012C9"/>
    <w:rsid w:val="00D26DAD"/>
    <w:rsid w:val="00D30132"/>
    <w:rsid w:val="00D62196"/>
    <w:rsid w:val="00D71965"/>
    <w:rsid w:val="00D83E9F"/>
    <w:rsid w:val="00D96997"/>
    <w:rsid w:val="00D97B5F"/>
    <w:rsid w:val="00E05A99"/>
    <w:rsid w:val="00E169A0"/>
    <w:rsid w:val="00E2477A"/>
    <w:rsid w:val="00E46227"/>
    <w:rsid w:val="00E74FAF"/>
    <w:rsid w:val="00EF0476"/>
    <w:rsid w:val="00EF519B"/>
    <w:rsid w:val="00F1350E"/>
    <w:rsid w:val="00F73551"/>
    <w:rsid w:val="00F8103D"/>
    <w:rsid w:val="00F821FB"/>
    <w:rsid w:val="00F869E3"/>
    <w:rsid w:val="00FD7F29"/>
    <w:rsid w:val="01750E06"/>
    <w:rsid w:val="01936619"/>
    <w:rsid w:val="01B87444"/>
    <w:rsid w:val="01B90524"/>
    <w:rsid w:val="0215740E"/>
    <w:rsid w:val="0527013A"/>
    <w:rsid w:val="05D959D2"/>
    <w:rsid w:val="0A2DA345"/>
    <w:rsid w:val="0B766B72"/>
    <w:rsid w:val="0E2E6920"/>
    <w:rsid w:val="12BD00D4"/>
    <w:rsid w:val="12E73246"/>
    <w:rsid w:val="1375332F"/>
    <w:rsid w:val="14E80687"/>
    <w:rsid w:val="1524662F"/>
    <w:rsid w:val="156267EA"/>
    <w:rsid w:val="15AF0DDC"/>
    <w:rsid w:val="1701096A"/>
    <w:rsid w:val="176B19F6"/>
    <w:rsid w:val="18D33F3E"/>
    <w:rsid w:val="1C391BDF"/>
    <w:rsid w:val="1DD87927"/>
    <w:rsid w:val="204329AC"/>
    <w:rsid w:val="25F5373C"/>
    <w:rsid w:val="26C54284"/>
    <w:rsid w:val="272706A0"/>
    <w:rsid w:val="27C571A4"/>
    <w:rsid w:val="2911278E"/>
    <w:rsid w:val="2B4A66C4"/>
    <w:rsid w:val="2B7F5D00"/>
    <w:rsid w:val="2C113E56"/>
    <w:rsid w:val="30852679"/>
    <w:rsid w:val="349E10A4"/>
    <w:rsid w:val="34F525C2"/>
    <w:rsid w:val="35BE7DE0"/>
    <w:rsid w:val="39676170"/>
    <w:rsid w:val="3C7118D2"/>
    <w:rsid w:val="3CB17861"/>
    <w:rsid w:val="3DB4036E"/>
    <w:rsid w:val="3DF00C39"/>
    <w:rsid w:val="418B7279"/>
    <w:rsid w:val="41FF72F9"/>
    <w:rsid w:val="427266D2"/>
    <w:rsid w:val="42AC2C68"/>
    <w:rsid w:val="42C82069"/>
    <w:rsid w:val="42FA03F6"/>
    <w:rsid w:val="431F0B40"/>
    <w:rsid w:val="435F662A"/>
    <w:rsid w:val="461F2A85"/>
    <w:rsid w:val="48744B0F"/>
    <w:rsid w:val="49604E97"/>
    <w:rsid w:val="4AB05276"/>
    <w:rsid w:val="4D1F6B5D"/>
    <w:rsid w:val="4EEF6A7A"/>
    <w:rsid w:val="4F00505F"/>
    <w:rsid w:val="4F0B1031"/>
    <w:rsid w:val="50612684"/>
    <w:rsid w:val="50CA064B"/>
    <w:rsid w:val="51DC2697"/>
    <w:rsid w:val="52FF19B3"/>
    <w:rsid w:val="531A088B"/>
    <w:rsid w:val="53913C88"/>
    <w:rsid w:val="53AA4FCD"/>
    <w:rsid w:val="54206B0C"/>
    <w:rsid w:val="59D52F93"/>
    <w:rsid w:val="5A492D63"/>
    <w:rsid w:val="5B394DFA"/>
    <w:rsid w:val="5F772B1F"/>
    <w:rsid w:val="60C67F89"/>
    <w:rsid w:val="6162524E"/>
    <w:rsid w:val="61B46732"/>
    <w:rsid w:val="61D51CCF"/>
    <w:rsid w:val="6244623E"/>
    <w:rsid w:val="63B27778"/>
    <w:rsid w:val="650F0477"/>
    <w:rsid w:val="66303DAF"/>
    <w:rsid w:val="6842104F"/>
    <w:rsid w:val="692E30C5"/>
    <w:rsid w:val="695A48F1"/>
    <w:rsid w:val="69B6426F"/>
    <w:rsid w:val="6E61503C"/>
    <w:rsid w:val="72821C7C"/>
    <w:rsid w:val="73E378DB"/>
    <w:rsid w:val="744271CC"/>
    <w:rsid w:val="745B26C2"/>
    <w:rsid w:val="755C4F00"/>
    <w:rsid w:val="77281F38"/>
    <w:rsid w:val="7803169A"/>
    <w:rsid w:val="79AA3285"/>
    <w:rsid w:val="7BFF01E0"/>
    <w:rsid w:val="7D4E0CA1"/>
    <w:rsid w:val="7D6F5E87"/>
    <w:rsid w:val="7ED130D7"/>
    <w:rsid w:val="BBFE601F"/>
    <w:rsid w:val="EE7FBD44"/>
    <w:rsid w:val="F98C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unhideWhenUsed/>
    <w:qFormat/>
    <w:uiPriority w:val="99"/>
    <w:rPr>
      <w:b/>
      <w:bCs/>
    </w:rPr>
  </w:style>
  <w:style w:type="paragraph" w:styleId="4">
    <w:name w:val="annotation text"/>
    <w:basedOn w:val="1"/>
    <w:link w:val="20"/>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styleId="10">
    <w:name w:val="page number"/>
    <w:basedOn w:val="8"/>
    <w:qFormat/>
    <w:uiPriority w:val="0"/>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styleId="12">
    <w:name w:val="annotation reference"/>
    <w:basedOn w:val="8"/>
    <w:unhideWhenUsed/>
    <w:qFormat/>
    <w:uiPriority w:val="99"/>
    <w:rPr>
      <w:sz w:val="21"/>
      <w:szCs w:val="21"/>
    </w:rPr>
  </w:style>
  <w:style w:type="character" w:customStyle="1" w:styleId="14">
    <w:name w:val="页脚 Char"/>
    <w:basedOn w:val="8"/>
    <w:link w:val="6"/>
    <w:qFormat/>
    <w:uiPriority w:val="0"/>
    <w:rPr>
      <w:rFonts w:ascii="Times New Roman" w:hAnsi="Times New Roman" w:eastAsia="宋体" w:cs="Times New Roman"/>
      <w:sz w:val="18"/>
      <w:szCs w:val="18"/>
    </w:rPr>
  </w:style>
  <w:style w:type="paragraph" w:customStyle="1" w:styleId="15">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6">
    <w:name w:val="正文表格"/>
    <w:basedOn w:val="1"/>
    <w:qFormat/>
    <w:uiPriority w:val="0"/>
    <w:pPr>
      <w:spacing w:before="60" w:after="60"/>
    </w:pPr>
    <w:rPr>
      <w:sz w:val="24"/>
    </w:rPr>
  </w:style>
  <w:style w:type="character" w:customStyle="1" w:styleId="17">
    <w:name w:val="页眉 Char"/>
    <w:basedOn w:val="8"/>
    <w:link w:val="7"/>
    <w:qFormat/>
    <w:uiPriority w:val="99"/>
    <w:rPr>
      <w:rFonts w:ascii="Times New Roman" w:hAnsi="Times New Roman" w:eastAsia="宋体" w:cs="Times New Roman"/>
      <w:sz w:val="18"/>
      <w:szCs w:val="18"/>
    </w:rPr>
  </w:style>
  <w:style w:type="character" w:customStyle="1" w:styleId="18">
    <w:name w:val="标题 1 Char"/>
    <w:basedOn w:val="8"/>
    <w:link w:val="2"/>
    <w:qFormat/>
    <w:uiPriority w:val="9"/>
    <w:rPr>
      <w:rFonts w:ascii="Times New Roman" w:hAnsi="Times New Roman" w:eastAsia="宋体" w:cs="Times New Roman"/>
      <w:b/>
      <w:bCs/>
      <w:kern w:val="44"/>
      <w:sz w:val="44"/>
      <w:szCs w:val="44"/>
    </w:rPr>
  </w:style>
  <w:style w:type="character" w:customStyle="1" w:styleId="19">
    <w:name w:val="批注框文本 Char"/>
    <w:basedOn w:val="8"/>
    <w:link w:val="5"/>
    <w:semiHidden/>
    <w:qFormat/>
    <w:uiPriority w:val="99"/>
    <w:rPr>
      <w:kern w:val="2"/>
      <w:sz w:val="18"/>
      <w:szCs w:val="18"/>
    </w:rPr>
  </w:style>
  <w:style w:type="character" w:customStyle="1" w:styleId="20">
    <w:name w:val="批注文字 Char"/>
    <w:basedOn w:val="8"/>
    <w:link w:val="4"/>
    <w:semiHidden/>
    <w:qFormat/>
    <w:uiPriority w:val="99"/>
    <w:rPr>
      <w:kern w:val="2"/>
      <w:sz w:val="21"/>
    </w:rPr>
  </w:style>
  <w:style w:type="character" w:customStyle="1" w:styleId="21">
    <w:name w:val="批注主题 Char"/>
    <w:basedOn w:val="20"/>
    <w:link w:val="3"/>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491</Words>
  <Characters>2805</Characters>
  <Lines>23</Lines>
  <Paragraphs>6</Paragraphs>
  <ScaleCrop>false</ScaleCrop>
  <LinksUpToDate>false</LinksUpToDate>
  <CharactersWithSpaces>3290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2020-04-10T08:49:00Z</dcterms:created>
  <dc:creator>yjhe</dc:creator>
  <cp:lastModifiedBy>贾思渊</cp:lastModifiedBy>
  <cp:lastPrinted>2020-04-09T07:53:00Z</cp:lastPrinted>
  <dcterms:modified xsi:type="dcterms:W3CDTF">2020-04-17T02:45:42Z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