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926"/>
        <w:gridCol w:w="884"/>
        <w:gridCol w:w="601"/>
        <w:gridCol w:w="513"/>
        <w:gridCol w:w="1842"/>
        <w:gridCol w:w="390"/>
        <w:gridCol w:w="255"/>
        <w:gridCol w:w="441"/>
        <w:gridCol w:w="69"/>
        <w:gridCol w:w="510"/>
        <w:gridCol w:w="257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郊野公园养护费区补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7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667豆各庄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北京市朝阳区豆各庄乡人民政府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7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代意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65472318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591.355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591.355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591.355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7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6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72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更好地推进朝阳区郊野公园精细化管理，使养护工作实现常态化，全面提升朝阳区林地养护整体水平。</w:t>
            </w:r>
          </w:p>
        </w:tc>
        <w:tc>
          <w:tcPr>
            <w:tcW w:w="262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养护标准</w:t>
            </w:r>
          </w:p>
        </w:tc>
        <w:tc>
          <w:tcPr>
            <w:tcW w:w="2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郊野公园养护费区补金额（区补4元/平米、3A及精品6元/平米），郊野公园养护费市补金额（标准2元/㎡）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认真落实林地养护管理措施，达到良好的养护效果，确保林地整洁优美。</w:t>
            </w:r>
          </w:p>
        </w:tc>
        <w:tc>
          <w:tcPr>
            <w:tcW w:w="2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认真落实林地养护管理措施，达到良好的养护效果，确保林地整洁优美。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保证完成全年林地养护任务。</w:t>
            </w:r>
          </w:p>
        </w:tc>
        <w:tc>
          <w:tcPr>
            <w:tcW w:w="2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55"/>
              </w:tabs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保证完成全年林地养护任务。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金额</w:t>
            </w:r>
          </w:p>
        </w:tc>
        <w:tc>
          <w:tcPr>
            <w:tcW w:w="2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其中财政资金591.355 万元。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对于区域环境质量的保持和不断提升具有重要意义，进而可提高整体区域的投资服务价值。</w:t>
            </w:r>
          </w:p>
        </w:tc>
        <w:tc>
          <w:tcPr>
            <w:tcW w:w="2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对于区域环境质量的保持和不断提升具有重要意义，进而可提高整体区域的投资服务价值。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通过对林地的合理养护管理，提升农村政策林高质量发展、调节局地小气候、吸污降尘等作用。</w:t>
            </w:r>
          </w:p>
        </w:tc>
        <w:tc>
          <w:tcPr>
            <w:tcW w:w="2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通过对林地的合理养护管理，提升农村地区政策林林高质量发展、调节局地小气候、吸污降尘等作用。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提升地区百姓宜居品质</w:t>
            </w:r>
          </w:p>
        </w:tc>
        <w:tc>
          <w:tcPr>
            <w:tcW w:w="2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提升地区百姓宜居品质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保障郊野公园绿化美化效果</w:t>
            </w:r>
          </w:p>
        </w:tc>
        <w:tc>
          <w:tcPr>
            <w:tcW w:w="2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保障郊野公园绿化美化效果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确保地区郊野公园路绿化景观完整</w:t>
            </w:r>
          </w:p>
        </w:tc>
        <w:tc>
          <w:tcPr>
            <w:tcW w:w="23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确保地区郊野公园路绿化景观完整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营造群众满意的绿化环境</w:t>
            </w:r>
          </w:p>
        </w:tc>
        <w:tc>
          <w:tcPr>
            <w:tcW w:w="23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营造群众满意的绿化环境</w:t>
            </w:r>
          </w:p>
        </w:tc>
        <w:tc>
          <w:tcPr>
            <w:tcW w:w="6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5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eastAsia="仿宋_GB2312"/>
          <w:b w:val="0"/>
          <w:sz w:val="32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代意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65472318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2022.1.7</w:t>
      </w:r>
    </w:p>
    <w:sectPr>
      <w:pgSz w:w="11906" w:h="16838"/>
      <w:pgMar w:top="567" w:right="720" w:bottom="567" w:left="72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4765C20"/>
    <w:rsid w:val="27476F64"/>
    <w:rsid w:val="28A82627"/>
    <w:rsid w:val="2CEC55AD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0C21568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TotalTime>0</TotalTime>
  <ScaleCrop>false</ScaleCrop>
  <LinksUpToDate>false</LinksUpToDate>
  <CharactersWithSpaces>2172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北京市朝阳区豆各庄乡（地区）社会公共事务中心</cp:lastModifiedBy>
  <cp:lastPrinted>2022-01-05T07:56:00Z</cp:lastPrinted>
  <dcterms:modified xsi:type="dcterms:W3CDTF">2022-01-07T06:52:23Z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  <property fmtid="{D5CDD505-2E9C-101B-9397-08002B2CF9AE}" pid="3" name="ICV">
    <vt:lpwstr>A284E15B73C048D3B570C01B28D55353</vt:lpwstr>
  </property>
</Properties>
</file>