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01" w:tblpY="476"/>
        <w:tblW w:w="58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52"/>
        <w:gridCol w:w="993"/>
        <w:gridCol w:w="1558"/>
        <w:gridCol w:w="1419"/>
        <w:gridCol w:w="1533"/>
        <w:gridCol w:w="1445"/>
        <w:gridCol w:w="1274"/>
      </w:tblGrid>
      <w:tr w:rsidR="00B9068D" w:rsidRPr="000A1F72" w:rsidTr="00523D26">
        <w:trPr>
          <w:trHeight w:val="697"/>
        </w:trPr>
        <w:tc>
          <w:tcPr>
            <w:tcW w:w="5000" w:type="pct"/>
            <w:gridSpan w:val="8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  <w:sz w:val="25"/>
                <w:szCs w:val="25"/>
              </w:rPr>
              <w:t>北京市城镇职工基本医疗保险医疗费用报销比例一览表</w:t>
            </w:r>
          </w:p>
        </w:tc>
      </w:tr>
      <w:tr w:rsidR="00523D26" w:rsidRPr="000A1F72" w:rsidTr="0081204D">
        <w:trPr>
          <w:trHeight w:val="269"/>
        </w:trPr>
        <w:tc>
          <w:tcPr>
            <w:tcW w:w="365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城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镇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职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工</w:t>
            </w:r>
          </w:p>
        </w:tc>
        <w:tc>
          <w:tcPr>
            <w:tcW w:w="435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门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proofErr w:type="gramStart"/>
            <w:r w:rsidRPr="000A1F72">
              <w:rPr>
                <w:rStyle w:val="a4"/>
                <w:rFonts w:ascii="Times New Roman"/>
              </w:rPr>
              <w:t>诊</w:t>
            </w:r>
            <w:proofErr w:type="gramEnd"/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类</w:t>
            </w:r>
          </w:p>
        </w:tc>
        <w:tc>
          <w:tcPr>
            <w:tcW w:w="1303" w:type="pct"/>
            <w:gridSpan w:val="2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参保人员类别</w:t>
            </w:r>
          </w:p>
        </w:tc>
        <w:tc>
          <w:tcPr>
            <w:tcW w:w="725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起付线</w:t>
            </w:r>
          </w:p>
        </w:tc>
        <w:tc>
          <w:tcPr>
            <w:tcW w:w="1521" w:type="pct"/>
            <w:gridSpan w:val="2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0A1F72">
              <w:rPr>
                <w:rFonts w:ascii="Times New Roman"/>
                <w:b/>
              </w:rPr>
              <w:t>支付比例</w:t>
            </w:r>
          </w:p>
        </w:tc>
        <w:tc>
          <w:tcPr>
            <w:tcW w:w="651" w:type="pct"/>
            <w:vMerge w:val="restart"/>
            <w:tcBorders>
              <w:top w:val="single" w:sz="6" w:space="0" w:color="3E3E3E"/>
              <w:left w:val="single" w:sz="4" w:space="0" w:color="auto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ordWrap w:val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上不封顶</w:t>
            </w:r>
          </w:p>
        </w:tc>
      </w:tr>
      <w:tr w:rsidR="00523D26" w:rsidRPr="000A1F72" w:rsidTr="0081204D">
        <w:trPr>
          <w:trHeight w:val="269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43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0A1F72">
              <w:rPr>
                <w:rFonts w:ascii="Times New Roman" w:hAnsi="Times New Roman"/>
                <w:b/>
              </w:rPr>
              <w:t>2</w:t>
            </w:r>
            <w:r w:rsidRPr="000A1F72">
              <w:rPr>
                <w:rFonts w:ascii="Times New Roman"/>
                <w:b/>
              </w:rPr>
              <w:t>万元以下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b/>
              </w:rPr>
            </w:pPr>
            <w:r w:rsidRPr="000A1F72">
              <w:rPr>
                <w:rFonts w:ascii="Times New Roman" w:hAnsi="Times New Roman"/>
                <w:b/>
              </w:rPr>
              <w:t>2</w:t>
            </w:r>
            <w:r w:rsidRPr="000A1F72">
              <w:rPr>
                <w:rFonts w:ascii="Times New Roman"/>
                <w:b/>
              </w:rPr>
              <w:t>万元以上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ordWrap w:val="0"/>
              <w:jc w:val="center"/>
              <w:rPr>
                <w:rStyle w:val="a4"/>
                <w:rFonts w:ascii="Times New Roman" w:hAnsi="Times New Roman"/>
              </w:rPr>
            </w:pPr>
          </w:p>
        </w:tc>
      </w:tr>
      <w:tr w:rsidR="00523D26" w:rsidRPr="000A1F72" w:rsidTr="0081204D">
        <w:trPr>
          <w:trHeight w:val="176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pct"/>
            <w:gridSpan w:val="2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在职</w:t>
            </w:r>
          </w:p>
        </w:tc>
        <w:tc>
          <w:tcPr>
            <w:tcW w:w="725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1800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元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医院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70%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60%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ordWrap w:val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</w:tr>
      <w:tr w:rsidR="00523D26" w:rsidRPr="000A1F72" w:rsidTr="0081204D">
        <w:trPr>
          <w:trHeight w:val="175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pct"/>
            <w:gridSpan w:val="2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社区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90%</w:t>
            </w:r>
          </w:p>
        </w:tc>
        <w:tc>
          <w:tcPr>
            <w:tcW w:w="738" w:type="pct"/>
            <w:vMerge/>
            <w:tcBorders>
              <w:left w:val="single" w:sz="6" w:space="0" w:color="3E3E3E"/>
              <w:bottom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ordWrap w:val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</w:tr>
      <w:tr w:rsidR="00523D26" w:rsidRPr="000A1F72" w:rsidTr="0081204D">
        <w:trPr>
          <w:trHeight w:val="176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退休</w:t>
            </w:r>
          </w:p>
        </w:tc>
        <w:tc>
          <w:tcPr>
            <w:tcW w:w="796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70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岁以下</w:t>
            </w:r>
          </w:p>
        </w:tc>
        <w:tc>
          <w:tcPr>
            <w:tcW w:w="725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068D" w:rsidRPr="000A1F72" w:rsidRDefault="00B9068D" w:rsidP="00523D26">
            <w:pPr>
              <w:widowControl/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 w:cs="Times New Roman"/>
                <w:color w:val="3E3E3E"/>
                <w:kern w:val="0"/>
                <w:sz w:val="18"/>
                <w:szCs w:val="18"/>
              </w:rPr>
              <w:t>1300</w:t>
            </w:r>
            <w:r w:rsidRPr="000A1F72">
              <w:rPr>
                <w:rFonts w:ascii="Times New Roman" w:eastAsia="微软雅黑" w:hAnsi="微软雅黑" w:cs="Times New Roman"/>
                <w:color w:val="3E3E3E"/>
                <w:kern w:val="0"/>
                <w:sz w:val="18"/>
                <w:szCs w:val="18"/>
              </w:rPr>
              <w:t>元</w:t>
            </w:r>
          </w:p>
          <w:p w:rsidR="00B9068D" w:rsidRPr="000A1F72" w:rsidRDefault="00B9068D" w:rsidP="00523D2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医院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85%</w:t>
            </w:r>
          </w:p>
        </w:tc>
        <w:tc>
          <w:tcPr>
            <w:tcW w:w="738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80%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（含退休人员统一补充医疗保险）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ordWrap w:val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</w:tr>
      <w:tr w:rsidR="00523D26" w:rsidRPr="000A1F72" w:rsidTr="0081204D">
        <w:trPr>
          <w:trHeight w:val="175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796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社区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90%</w:t>
            </w:r>
          </w:p>
        </w:tc>
        <w:tc>
          <w:tcPr>
            <w:tcW w:w="738" w:type="pct"/>
            <w:vMerge/>
            <w:tcBorders>
              <w:left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ordWrap w:val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</w:tr>
      <w:tr w:rsidR="00523D26" w:rsidRPr="000A1F72" w:rsidTr="0081204D">
        <w:trPr>
          <w:trHeight w:val="176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70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岁以上</w:t>
            </w:r>
          </w:p>
        </w:tc>
        <w:tc>
          <w:tcPr>
            <w:tcW w:w="72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医院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90%</w:t>
            </w:r>
          </w:p>
        </w:tc>
        <w:tc>
          <w:tcPr>
            <w:tcW w:w="738" w:type="pct"/>
            <w:vMerge/>
            <w:tcBorders>
              <w:left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</w:tr>
      <w:tr w:rsidR="00523D26" w:rsidRPr="000A1F72" w:rsidTr="0081204D">
        <w:trPr>
          <w:trHeight w:val="175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社区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90%</w:t>
            </w:r>
          </w:p>
        </w:tc>
        <w:tc>
          <w:tcPr>
            <w:tcW w:w="738" w:type="pct"/>
            <w:vMerge/>
            <w:tcBorders>
              <w:left w:val="single" w:sz="6" w:space="0" w:color="3E3E3E"/>
              <w:bottom w:val="single" w:sz="6" w:space="0" w:color="3E3E3E"/>
              <w:right w:val="single" w:sz="4" w:space="0" w:color="auto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</w:p>
        </w:tc>
      </w:tr>
      <w:tr w:rsidR="00523D26" w:rsidRPr="000A1F72" w:rsidTr="00523D26"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住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院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类</w:t>
            </w:r>
          </w:p>
        </w:tc>
        <w:tc>
          <w:tcPr>
            <w:tcW w:w="507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参保人员类别</w:t>
            </w:r>
          </w:p>
        </w:tc>
        <w:tc>
          <w:tcPr>
            <w:tcW w:w="796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起付线</w:t>
            </w:r>
          </w:p>
        </w:tc>
        <w:tc>
          <w:tcPr>
            <w:tcW w:w="2897" w:type="pct"/>
            <w:gridSpan w:val="4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报销比例</w:t>
            </w:r>
          </w:p>
        </w:tc>
      </w:tr>
      <w:tr w:rsidR="00523D26" w:rsidRPr="000A1F72" w:rsidTr="0081204D"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81204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医疗费用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金额段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一级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医院</w:t>
            </w:r>
          </w:p>
        </w:tc>
        <w:tc>
          <w:tcPr>
            <w:tcW w:w="73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二级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医院</w:t>
            </w:r>
          </w:p>
        </w:tc>
        <w:tc>
          <w:tcPr>
            <w:tcW w:w="6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三级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医院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在职</w:t>
            </w:r>
          </w:p>
        </w:tc>
        <w:tc>
          <w:tcPr>
            <w:tcW w:w="796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本年度第一次住院</w:t>
            </w:r>
          </w:p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1300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元，第二次及以后每次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650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元</w:t>
            </w: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1300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元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—3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90%</w:t>
            </w:r>
          </w:p>
        </w:tc>
        <w:tc>
          <w:tcPr>
            <w:tcW w:w="73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87%</w:t>
            </w:r>
          </w:p>
        </w:tc>
        <w:tc>
          <w:tcPr>
            <w:tcW w:w="6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85%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3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—4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95%</w:t>
            </w:r>
          </w:p>
        </w:tc>
        <w:tc>
          <w:tcPr>
            <w:tcW w:w="73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92%</w:t>
            </w:r>
          </w:p>
        </w:tc>
        <w:tc>
          <w:tcPr>
            <w:tcW w:w="6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90%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4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—10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97%</w:t>
            </w:r>
          </w:p>
        </w:tc>
        <w:tc>
          <w:tcPr>
            <w:tcW w:w="73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97%</w:t>
            </w:r>
          </w:p>
        </w:tc>
        <w:tc>
          <w:tcPr>
            <w:tcW w:w="6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95%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10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—50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2172" w:type="pct"/>
            <w:gridSpan w:val="3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85%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退休</w:t>
            </w: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1300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元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—3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97%</w:t>
            </w:r>
          </w:p>
        </w:tc>
        <w:tc>
          <w:tcPr>
            <w:tcW w:w="73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96.1%</w:t>
            </w:r>
          </w:p>
        </w:tc>
        <w:tc>
          <w:tcPr>
            <w:tcW w:w="6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95.5%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3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—4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98.5%</w:t>
            </w:r>
          </w:p>
        </w:tc>
        <w:tc>
          <w:tcPr>
            <w:tcW w:w="73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97.6%</w:t>
            </w:r>
          </w:p>
        </w:tc>
        <w:tc>
          <w:tcPr>
            <w:tcW w:w="6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97%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4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—10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78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99.1%</w:t>
            </w:r>
          </w:p>
        </w:tc>
        <w:tc>
          <w:tcPr>
            <w:tcW w:w="73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99.1%</w:t>
            </w:r>
          </w:p>
        </w:tc>
        <w:tc>
          <w:tcPr>
            <w:tcW w:w="65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98.5%</w:t>
            </w:r>
          </w:p>
        </w:tc>
      </w:tr>
      <w:tr w:rsidR="00523D26" w:rsidRPr="000A1F72" w:rsidTr="0081204D">
        <w:trPr>
          <w:trHeight w:val="420"/>
        </w:trPr>
        <w:tc>
          <w:tcPr>
            <w:tcW w:w="365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10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—50</w:t>
            </w:r>
            <w:r w:rsidRPr="000A1F72">
              <w:rPr>
                <w:rFonts w:ascii="Times New Roman" w:eastAsia="微软雅黑" w:hAnsi="微软雅黑"/>
                <w:color w:val="3E3E3E"/>
                <w:sz w:val="18"/>
                <w:szCs w:val="18"/>
              </w:rPr>
              <w:t>万</w:t>
            </w:r>
          </w:p>
        </w:tc>
        <w:tc>
          <w:tcPr>
            <w:tcW w:w="2172" w:type="pct"/>
            <w:gridSpan w:val="3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B9068D" w:rsidRPr="000A1F72" w:rsidRDefault="00B9068D" w:rsidP="00523D2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color w:val="3E3E3E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color w:val="3E3E3E"/>
                <w:sz w:val="18"/>
                <w:szCs w:val="18"/>
              </w:rPr>
              <w:t>90%</w:t>
            </w:r>
          </w:p>
        </w:tc>
      </w:tr>
    </w:tbl>
    <w:p w:rsidR="00861F92" w:rsidRPr="000A1F72" w:rsidRDefault="00861F92">
      <w:pPr>
        <w:rPr>
          <w:rFonts w:ascii="Times New Roman" w:hAnsi="Times New Roman" w:cs="Times New Roman"/>
        </w:rPr>
      </w:pPr>
    </w:p>
    <w:p w:rsidR="00B9068D" w:rsidRPr="000A1F72" w:rsidRDefault="00B9068D">
      <w:pPr>
        <w:rPr>
          <w:rFonts w:ascii="Times New Roman" w:hAnsi="Times New Roman" w:cs="Times New Roman"/>
        </w:rPr>
      </w:pPr>
    </w:p>
    <w:p w:rsidR="00B9068D" w:rsidRPr="000A1F72" w:rsidRDefault="00B9068D" w:rsidP="00B9068D">
      <w:pPr>
        <w:pStyle w:val="a3"/>
        <w:widowControl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注：</w:t>
      </w:r>
    </w:p>
    <w:p w:rsidR="00B9068D" w:rsidRPr="000A1F72" w:rsidRDefault="00B9068D" w:rsidP="00B9068D">
      <w:pPr>
        <w:pStyle w:val="a3"/>
        <w:widowControl/>
        <w:numPr>
          <w:ilvl w:val="0"/>
          <w:numId w:val="2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起付线和封顶线按一个自然年度（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1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月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1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日至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12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月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31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日）累计计算；</w:t>
      </w:r>
    </w:p>
    <w:p w:rsidR="00B9068D" w:rsidRPr="000A1F72" w:rsidRDefault="00B9068D" w:rsidP="00B9068D">
      <w:pPr>
        <w:pStyle w:val="a3"/>
        <w:widowControl/>
        <w:numPr>
          <w:ilvl w:val="0"/>
          <w:numId w:val="2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医事服务费</w:t>
      </w:r>
      <w:proofErr w:type="gramStart"/>
      <w:r w:rsidRPr="000A1F72">
        <w:rPr>
          <w:rFonts w:ascii="Times New Roman" w:eastAsia="微软雅黑" w:hAnsi="微软雅黑"/>
          <w:color w:val="3E3E3E"/>
          <w:sz w:val="20"/>
          <w:szCs w:val="18"/>
        </w:rPr>
        <w:t>不计入起付</w:t>
      </w:r>
      <w:proofErr w:type="gramEnd"/>
      <w:r w:rsidRPr="000A1F72">
        <w:rPr>
          <w:rFonts w:ascii="Times New Roman" w:eastAsia="微软雅黑" w:hAnsi="微软雅黑"/>
          <w:color w:val="3E3E3E"/>
          <w:sz w:val="20"/>
          <w:szCs w:val="18"/>
        </w:rPr>
        <w:t>线和封顶线；</w:t>
      </w:r>
    </w:p>
    <w:p w:rsidR="00B9068D" w:rsidRPr="000A1F72" w:rsidRDefault="00B9068D" w:rsidP="00B9068D">
      <w:pPr>
        <w:pStyle w:val="a3"/>
        <w:widowControl/>
        <w:numPr>
          <w:ilvl w:val="0"/>
          <w:numId w:val="2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退休人员住院费用报销比例包含退休人员补充</w:t>
      </w:r>
      <w:bookmarkStart w:id="0" w:name="_GoBack"/>
      <w:bookmarkEnd w:id="0"/>
      <w:r w:rsidRPr="000A1F72">
        <w:rPr>
          <w:rFonts w:ascii="Times New Roman" w:eastAsia="微软雅黑" w:hAnsi="微软雅黑"/>
          <w:color w:val="3E3E3E"/>
          <w:sz w:val="20"/>
          <w:szCs w:val="18"/>
        </w:rPr>
        <w:t>保险。</w:t>
      </w:r>
    </w:p>
    <w:p w:rsidR="00B9068D" w:rsidRPr="000A1F72" w:rsidRDefault="00B9068D" w:rsidP="00B9068D">
      <w:pPr>
        <w:jc w:val="left"/>
        <w:rPr>
          <w:rFonts w:ascii="Times New Roman" w:hAnsi="Times New Roman" w:cs="Times New Roman"/>
        </w:rPr>
      </w:pPr>
    </w:p>
    <w:p w:rsidR="00B9068D" w:rsidRDefault="00B9068D">
      <w:pPr>
        <w:rPr>
          <w:rFonts w:ascii="Times New Roman" w:hAnsi="Times New Roman" w:cs="Times New Roman" w:hint="eastAsia"/>
        </w:rPr>
      </w:pPr>
    </w:p>
    <w:p w:rsidR="002059FA" w:rsidRDefault="002059FA">
      <w:pPr>
        <w:rPr>
          <w:rFonts w:ascii="Times New Roman" w:hAnsi="Times New Roman" w:cs="Times New Roman" w:hint="eastAsia"/>
        </w:rPr>
      </w:pPr>
    </w:p>
    <w:p w:rsidR="002059FA" w:rsidRDefault="002059FA">
      <w:pPr>
        <w:rPr>
          <w:rFonts w:ascii="Times New Roman" w:hAnsi="Times New Roman" w:cs="Times New Roman" w:hint="eastAsia"/>
        </w:rPr>
      </w:pPr>
    </w:p>
    <w:p w:rsidR="002059FA" w:rsidRDefault="002059FA">
      <w:pPr>
        <w:rPr>
          <w:rFonts w:ascii="Times New Roman" w:hAnsi="Times New Roman" w:cs="Times New Roman" w:hint="eastAsia"/>
        </w:rPr>
      </w:pPr>
    </w:p>
    <w:p w:rsidR="002059FA" w:rsidRDefault="002059FA">
      <w:pPr>
        <w:rPr>
          <w:rFonts w:ascii="Times New Roman" w:hAnsi="Times New Roman" w:cs="Times New Roman" w:hint="eastAsia"/>
        </w:rPr>
      </w:pPr>
    </w:p>
    <w:p w:rsidR="002059FA" w:rsidRDefault="002059FA">
      <w:pPr>
        <w:rPr>
          <w:rFonts w:ascii="Times New Roman" w:hAnsi="Times New Roman" w:cs="Times New Roman" w:hint="eastAsia"/>
        </w:rPr>
      </w:pPr>
    </w:p>
    <w:p w:rsidR="00B9068D" w:rsidRPr="000A1F72" w:rsidRDefault="00B9068D">
      <w:pPr>
        <w:rPr>
          <w:rFonts w:ascii="Times New Roman" w:hAnsi="Times New Roman" w:cs="Times New Roman"/>
        </w:rPr>
      </w:pPr>
    </w:p>
    <w:p w:rsidR="00B9068D" w:rsidRPr="000A1F72" w:rsidRDefault="00B9068D">
      <w:pPr>
        <w:rPr>
          <w:rFonts w:ascii="Times New Roman" w:hAnsi="Times New Roman" w:cs="Times New Roman"/>
        </w:rPr>
      </w:pPr>
    </w:p>
    <w:p w:rsidR="00B9068D" w:rsidRPr="000A1F72" w:rsidRDefault="00B9068D">
      <w:pPr>
        <w:rPr>
          <w:rFonts w:ascii="Times New Roman" w:hAnsi="Times New Roman" w:cs="Times New Roman"/>
        </w:rPr>
      </w:pPr>
    </w:p>
    <w:tbl>
      <w:tblPr>
        <w:tblW w:w="5810" w:type="pct"/>
        <w:jc w:val="center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019"/>
        <w:gridCol w:w="1021"/>
        <w:gridCol w:w="1010"/>
        <w:gridCol w:w="992"/>
        <w:gridCol w:w="992"/>
        <w:gridCol w:w="1087"/>
        <w:gridCol w:w="1042"/>
        <w:gridCol w:w="1189"/>
      </w:tblGrid>
      <w:tr w:rsidR="00121449" w:rsidRPr="000A1F72" w:rsidTr="007355CE">
        <w:trPr>
          <w:jc w:val="center"/>
        </w:trPr>
        <w:tc>
          <w:tcPr>
            <w:tcW w:w="5000" w:type="pct"/>
            <w:gridSpan w:val="9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  <w:sz w:val="25"/>
                <w:szCs w:val="25"/>
              </w:rPr>
              <w:t>北京市城乡居民基本医疗保险医疗费用</w:t>
            </w:r>
          </w:p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  <w:sz w:val="25"/>
                <w:szCs w:val="25"/>
              </w:rPr>
              <w:t>报销比例一览表</w:t>
            </w:r>
          </w:p>
        </w:tc>
      </w:tr>
      <w:tr w:rsidR="00121449" w:rsidRPr="000A1F72" w:rsidTr="00F42A53">
        <w:trPr>
          <w:trHeight w:val="533"/>
          <w:jc w:val="center"/>
        </w:trPr>
        <w:tc>
          <w:tcPr>
            <w:tcW w:w="681" w:type="pct"/>
            <w:vMerge w:val="restar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widowControl/>
              <w:wordWrap w:val="0"/>
              <w:jc w:val="center"/>
              <w:rPr>
                <w:rFonts w:ascii="Times New Roman" w:hAnsi="Times New Roman" w:cs="Times New Roman"/>
              </w:rPr>
            </w:pPr>
            <w:r w:rsidRPr="000A1F72">
              <w:rPr>
                <w:rStyle w:val="a4"/>
                <w:rFonts w:ascii="Times New Roman" w:cs="Times New Roman"/>
                <w:kern w:val="0"/>
                <w:sz w:val="24"/>
                <w:szCs w:val="28"/>
              </w:rPr>
              <w:t>类别</w:t>
            </w:r>
          </w:p>
        </w:tc>
        <w:tc>
          <w:tcPr>
            <w:tcW w:w="527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vAlign w:val="center"/>
          </w:tcPr>
          <w:p w:rsidR="00F42A53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参保人</w:t>
            </w:r>
          </w:p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员类别</w:t>
            </w:r>
          </w:p>
        </w:tc>
        <w:tc>
          <w:tcPr>
            <w:tcW w:w="1563" w:type="pct"/>
            <w:gridSpan w:val="3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起付线</w:t>
            </w:r>
          </w:p>
        </w:tc>
        <w:tc>
          <w:tcPr>
            <w:tcW w:w="2229" w:type="pct"/>
            <w:gridSpan w:val="4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报销比例（按医院级别）</w:t>
            </w:r>
          </w:p>
        </w:tc>
      </w:tr>
      <w:tr w:rsidR="00F42A53" w:rsidRPr="000A1F72" w:rsidTr="00F42A53">
        <w:trPr>
          <w:trHeight w:val="533"/>
          <w:jc w:val="center"/>
        </w:trPr>
        <w:tc>
          <w:tcPr>
            <w:tcW w:w="681" w:type="pct"/>
            <w:vMerge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F42A53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一级</w:t>
            </w:r>
          </w:p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及以下</w:t>
            </w:r>
          </w:p>
        </w:tc>
        <w:tc>
          <w:tcPr>
            <w:tcW w:w="52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二级</w:t>
            </w:r>
          </w:p>
        </w:tc>
        <w:tc>
          <w:tcPr>
            <w:tcW w:w="51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三级</w:t>
            </w:r>
          </w:p>
        </w:tc>
        <w:tc>
          <w:tcPr>
            <w:tcW w:w="51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F42A53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一级</w:t>
            </w:r>
          </w:p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及以下</w:t>
            </w:r>
          </w:p>
        </w:tc>
        <w:tc>
          <w:tcPr>
            <w:tcW w:w="56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二级</w:t>
            </w:r>
          </w:p>
        </w:tc>
        <w:tc>
          <w:tcPr>
            <w:tcW w:w="539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三级</w:t>
            </w:r>
          </w:p>
        </w:tc>
        <w:tc>
          <w:tcPr>
            <w:tcW w:w="61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封顶线</w:t>
            </w:r>
          </w:p>
        </w:tc>
      </w:tr>
      <w:tr w:rsidR="00F42A53" w:rsidRPr="000A1F72" w:rsidTr="00F42A53">
        <w:trPr>
          <w:trHeight w:val="533"/>
          <w:jc w:val="center"/>
        </w:trPr>
        <w:tc>
          <w:tcPr>
            <w:tcW w:w="681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门诊类</w:t>
            </w:r>
          </w:p>
        </w:tc>
        <w:tc>
          <w:tcPr>
            <w:tcW w:w="527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城乡居民</w:t>
            </w:r>
          </w:p>
        </w:tc>
        <w:tc>
          <w:tcPr>
            <w:tcW w:w="52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100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1035" w:type="pct"/>
            <w:gridSpan w:val="2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550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51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55%</w:t>
            </w:r>
          </w:p>
        </w:tc>
        <w:tc>
          <w:tcPr>
            <w:tcW w:w="56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50%</w:t>
            </w:r>
          </w:p>
        </w:tc>
        <w:tc>
          <w:tcPr>
            <w:tcW w:w="539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50%</w:t>
            </w:r>
          </w:p>
        </w:tc>
        <w:tc>
          <w:tcPr>
            <w:tcW w:w="61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5000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</w:tr>
      <w:tr w:rsidR="00F42A53" w:rsidRPr="000A1F72" w:rsidTr="00F42A53">
        <w:trPr>
          <w:trHeight w:val="533"/>
          <w:jc w:val="center"/>
        </w:trPr>
        <w:tc>
          <w:tcPr>
            <w:tcW w:w="681" w:type="pct"/>
            <w:vMerge w:val="restart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0A1F72">
              <w:rPr>
                <w:rStyle w:val="a4"/>
                <w:rFonts w:ascii="Times New Roman"/>
              </w:rPr>
              <w:t>住院类</w:t>
            </w:r>
          </w:p>
        </w:tc>
        <w:tc>
          <w:tcPr>
            <w:tcW w:w="527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老年人、劳动年龄内</w:t>
            </w:r>
          </w:p>
        </w:tc>
        <w:tc>
          <w:tcPr>
            <w:tcW w:w="52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300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52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800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51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1300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51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80%</w:t>
            </w:r>
          </w:p>
        </w:tc>
        <w:tc>
          <w:tcPr>
            <w:tcW w:w="56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78%</w:t>
            </w:r>
          </w:p>
        </w:tc>
        <w:tc>
          <w:tcPr>
            <w:tcW w:w="539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75%—78%</w:t>
            </w:r>
          </w:p>
        </w:tc>
        <w:tc>
          <w:tcPr>
            <w:tcW w:w="61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25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万元</w:t>
            </w:r>
          </w:p>
        </w:tc>
      </w:tr>
      <w:tr w:rsidR="00F42A53" w:rsidRPr="000A1F72" w:rsidTr="00F42A53">
        <w:trPr>
          <w:trHeight w:val="533"/>
          <w:jc w:val="center"/>
        </w:trPr>
        <w:tc>
          <w:tcPr>
            <w:tcW w:w="681" w:type="pct"/>
            <w:vMerge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527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学生、儿童</w:t>
            </w:r>
          </w:p>
        </w:tc>
        <w:tc>
          <w:tcPr>
            <w:tcW w:w="528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150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52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400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51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650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元</w:t>
            </w:r>
          </w:p>
        </w:tc>
        <w:tc>
          <w:tcPr>
            <w:tcW w:w="51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80%</w:t>
            </w:r>
          </w:p>
        </w:tc>
        <w:tc>
          <w:tcPr>
            <w:tcW w:w="56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78%</w:t>
            </w:r>
          </w:p>
        </w:tc>
        <w:tc>
          <w:tcPr>
            <w:tcW w:w="539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75%—78%</w:t>
            </w:r>
          </w:p>
        </w:tc>
        <w:tc>
          <w:tcPr>
            <w:tcW w:w="615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vAlign w:val="center"/>
          </w:tcPr>
          <w:p w:rsidR="00121449" w:rsidRPr="000A1F72" w:rsidRDefault="00121449" w:rsidP="00935C2D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Times New Roman" w:eastAsia="微软雅黑" w:hAnsi="Times New Roman"/>
                <w:sz w:val="18"/>
                <w:szCs w:val="18"/>
              </w:rPr>
            </w:pPr>
            <w:r w:rsidRPr="000A1F72">
              <w:rPr>
                <w:rFonts w:ascii="Times New Roman" w:eastAsia="微软雅黑" w:hAnsi="Times New Roman"/>
                <w:sz w:val="18"/>
                <w:szCs w:val="18"/>
              </w:rPr>
              <w:t>25</w:t>
            </w:r>
            <w:r w:rsidRPr="000A1F72">
              <w:rPr>
                <w:rFonts w:ascii="Times New Roman" w:eastAsia="微软雅黑" w:hAnsi="微软雅黑"/>
                <w:sz w:val="18"/>
                <w:szCs w:val="18"/>
              </w:rPr>
              <w:t>万元</w:t>
            </w:r>
          </w:p>
        </w:tc>
      </w:tr>
    </w:tbl>
    <w:p w:rsidR="00121449" w:rsidRPr="000A1F72" w:rsidRDefault="00121449">
      <w:pPr>
        <w:rPr>
          <w:rFonts w:ascii="Times New Roman" w:hAnsi="Times New Roman" w:cs="Times New Roman"/>
        </w:rPr>
      </w:pPr>
    </w:p>
    <w:p w:rsidR="00E8061B" w:rsidRPr="000A1F72" w:rsidRDefault="00E8061B" w:rsidP="00E8061B">
      <w:pPr>
        <w:pStyle w:val="a3"/>
        <w:widowControl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注：</w:t>
      </w:r>
    </w:p>
    <w:p w:rsidR="00E8061B" w:rsidRPr="000A1F72" w:rsidRDefault="00E8061B" w:rsidP="00E8061B">
      <w:pPr>
        <w:pStyle w:val="a3"/>
        <w:widowControl/>
        <w:numPr>
          <w:ilvl w:val="0"/>
          <w:numId w:val="4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起付线和封顶线按一个自然年度（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1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月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1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日至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12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月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31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日）累计计算；</w:t>
      </w:r>
    </w:p>
    <w:p w:rsidR="00E8061B" w:rsidRPr="000A1F72" w:rsidRDefault="00E8061B" w:rsidP="00E8061B">
      <w:pPr>
        <w:pStyle w:val="a3"/>
        <w:widowControl/>
        <w:numPr>
          <w:ilvl w:val="0"/>
          <w:numId w:val="4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医事服务费</w:t>
      </w:r>
      <w:proofErr w:type="gramStart"/>
      <w:r w:rsidRPr="000A1F72">
        <w:rPr>
          <w:rFonts w:ascii="Times New Roman" w:eastAsia="微软雅黑" w:hAnsi="微软雅黑"/>
          <w:color w:val="3E3E3E"/>
          <w:sz w:val="20"/>
          <w:szCs w:val="18"/>
        </w:rPr>
        <w:t>不计入起付</w:t>
      </w:r>
      <w:proofErr w:type="gramEnd"/>
      <w:r w:rsidRPr="000A1F72">
        <w:rPr>
          <w:rFonts w:ascii="Times New Roman" w:eastAsia="微软雅黑" w:hAnsi="微软雅黑"/>
          <w:color w:val="3E3E3E"/>
          <w:sz w:val="20"/>
          <w:szCs w:val="18"/>
        </w:rPr>
        <w:t>线和封顶线；</w:t>
      </w:r>
    </w:p>
    <w:p w:rsidR="00E8061B" w:rsidRPr="000A1F72" w:rsidRDefault="00E8061B" w:rsidP="00E8061B">
      <w:pPr>
        <w:pStyle w:val="a3"/>
        <w:widowControl/>
        <w:numPr>
          <w:ilvl w:val="0"/>
          <w:numId w:val="4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上表住院起付线特指本年度首次住院，老年人和劳动年龄内居民本年度第二次及以后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 xml:space="preserve">     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住院，起付线减半。</w:t>
      </w:r>
    </w:p>
    <w:p w:rsidR="00E8061B" w:rsidRPr="000A1F72" w:rsidRDefault="00E8061B" w:rsidP="00E8061B">
      <w:pPr>
        <w:pStyle w:val="a3"/>
        <w:widowControl/>
        <w:numPr>
          <w:ilvl w:val="0"/>
          <w:numId w:val="4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学生儿童的住院起付线均减半。</w:t>
      </w:r>
    </w:p>
    <w:p w:rsidR="00E8061B" w:rsidRPr="000A1F72" w:rsidRDefault="00E8061B" w:rsidP="00E8061B">
      <w:pPr>
        <w:pStyle w:val="a3"/>
        <w:widowControl/>
        <w:numPr>
          <w:ilvl w:val="0"/>
          <w:numId w:val="4"/>
        </w:numPr>
        <w:wordWrap w:val="0"/>
        <w:spacing w:beforeAutospacing="0" w:afterAutospacing="0"/>
        <w:rPr>
          <w:rFonts w:ascii="Times New Roman" w:eastAsia="微软雅黑" w:hAnsi="Times New Roman"/>
          <w:color w:val="3E3E3E"/>
          <w:sz w:val="20"/>
          <w:szCs w:val="18"/>
        </w:rPr>
      </w:pPr>
      <w:r w:rsidRPr="000A1F72">
        <w:rPr>
          <w:rFonts w:ascii="Times New Roman" w:eastAsia="微软雅黑" w:hAnsi="微软雅黑"/>
          <w:color w:val="3E3E3E"/>
          <w:sz w:val="20"/>
          <w:szCs w:val="18"/>
        </w:rPr>
        <w:t>区属三级定点医院住院报销比例为</w:t>
      </w:r>
      <w:r w:rsidRPr="000A1F72">
        <w:rPr>
          <w:rFonts w:ascii="Times New Roman" w:eastAsia="微软雅黑" w:hAnsi="Times New Roman"/>
          <w:color w:val="3E3E3E"/>
          <w:sz w:val="20"/>
          <w:szCs w:val="18"/>
        </w:rPr>
        <w:t>78%</w:t>
      </w:r>
      <w:r w:rsidRPr="000A1F72">
        <w:rPr>
          <w:rFonts w:ascii="Times New Roman" w:eastAsia="微软雅黑" w:hAnsi="微软雅黑"/>
          <w:color w:val="3E3E3E"/>
          <w:sz w:val="20"/>
          <w:szCs w:val="18"/>
        </w:rPr>
        <w:t>。</w:t>
      </w:r>
    </w:p>
    <w:p w:rsidR="00E8061B" w:rsidRPr="000A1F72" w:rsidRDefault="00E8061B">
      <w:pPr>
        <w:rPr>
          <w:rFonts w:ascii="Times New Roman" w:hAnsi="Times New Roman" w:cs="Times New Roman"/>
        </w:rPr>
      </w:pPr>
    </w:p>
    <w:sectPr w:rsidR="00E8061B" w:rsidRPr="000A1F72" w:rsidSect="0086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972"/>
    <w:multiLevelType w:val="hybridMultilevel"/>
    <w:tmpl w:val="A080E6C4"/>
    <w:lvl w:ilvl="0" w:tplc="14ECE78C">
      <w:start w:val="1"/>
      <w:numFmt w:val="decimal"/>
      <w:lvlText w:val="（%1）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abstractNum w:abstractNumId="1">
    <w:nsid w:val="264431F1"/>
    <w:multiLevelType w:val="hybridMultilevel"/>
    <w:tmpl w:val="3698B9E8"/>
    <w:lvl w:ilvl="0" w:tplc="14ECE78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596577"/>
    <w:multiLevelType w:val="hybridMultilevel"/>
    <w:tmpl w:val="91A4A932"/>
    <w:lvl w:ilvl="0" w:tplc="14ECE78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31E7"/>
    <w:multiLevelType w:val="hybridMultilevel"/>
    <w:tmpl w:val="4C0A73D6"/>
    <w:lvl w:ilvl="0" w:tplc="14ECE78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68D"/>
    <w:rsid w:val="000A1F72"/>
    <w:rsid w:val="00121449"/>
    <w:rsid w:val="002059FA"/>
    <w:rsid w:val="00523D26"/>
    <w:rsid w:val="007355CE"/>
    <w:rsid w:val="0081204D"/>
    <w:rsid w:val="00861F92"/>
    <w:rsid w:val="00B9068D"/>
    <w:rsid w:val="00DC026C"/>
    <w:rsid w:val="00E8061B"/>
    <w:rsid w:val="00ED5B2C"/>
    <w:rsid w:val="00F2667A"/>
    <w:rsid w:val="00F4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06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9068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AutoBVT</cp:lastModifiedBy>
  <cp:revision>11</cp:revision>
  <cp:lastPrinted>2024-06-03T06:46:00Z</cp:lastPrinted>
  <dcterms:created xsi:type="dcterms:W3CDTF">2024-06-03T06:32:00Z</dcterms:created>
  <dcterms:modified xsi:type="dcterms:W3CDTF">2024-07-03T07:32:00Z</dcterms:modified>
</cp:coreProperties>
</file>