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2023年1-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sz w:val="44"/>
          <w:szCs w:val="44"/>
        </w:rPr>
        <w:t>月朝阳区主要经济指标数据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月，朝阳区实现规模以上工业总产值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338.3亿元，同比增长5.7%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t>分行业看，1-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月，在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sz w:val="28"/>
          <w:szCs w:val="28"/>
        </w:rPr>
        <w:t>个工业大类行业中，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14个行业产值同比增长，12个行业同比下降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</w:rPr>
        <w:t>图1  2022年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w w:val="90"/>
          <w:sz w:val="28"/>
          <w:szCs w:val="28"/>
        </w:rPr>
        <w:t>2月至2023年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1-5</w:t>
      </w:r>
      <w:r>
        <w:rPr>
          <w:rFonts w:hint="eastAsia" w:ascii="宋体" w:hAnsi="宋体" w:cs="宋体"/>
          <w:b/>
          <w:w w:val="90"/>
          <w:sz w:val="28"/>
          <w:szCs w:val="28"/>
        </w:rPr>
        <w:t>月规模以上工业总产值累计增速（%）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86280"/>
            <wp:effectExtent l="0" t="0" r="10160" b="762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2．固定资产投资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月，朝阳区固定资产投资（不含农户）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同比</w:t>
      </w:r>
      <w:r>
        <w:rPr>
          <w:rFonts w:hint="eastAsia" w:asciiTheme="minorEastAsia" w:hAnsiTheme="minorEastAsia"/>
          <w:sz w:val="28"/>
          <w:szCs w:val="28"/>
        </w:rPr>
        <w:t>增长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28.3%,其中，房地产开发投资同比增长39.0%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图2  2022年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2月至2023年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1-5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月固定资产投资（不含农户）累计增速（%）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月，朝阳区实现社会消费品零售总额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1363.0亿元，同比增长6.9%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>图3  2022年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spacing w:val="-6"/>
          <w:sz w:val="28"/>
          <w:szCs w:val="28"/>
        </w:rPr>
        <w:t>2月至2023年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1-5</w:t>
      </w:r>
      <w:r>
        <w:rPr>
          <w:rFonts w:hint="eastAsia" w:ascii="宋体" w:hAnsi="宋体" w:cs="宋体"/>
          <w:b/>
          <w:spacing w:val="-6"/>
          <w:sz w:val="28"/>
          <w:szCs w:val="28"/>
        </w:rPr>
        <w:t>月社会消费品零售总额累计增速（%）</w:t>
      </w:r>
    </w:p>
    <w:p>
      <w:pPr>
        <w:spacing w:line="480" w:lineRule="auto"/>
        <w:jc w:val="center"/>
      </w:pPr>
      <w:r>
        <w:drawing>
          <wp:inline distT="0" distB="0" distL="114300" distR="114300">
            <wp:extent cx="5273040" cy="1883410"/>
            <wp:effectExtent l="0" t="0" r="10160" b="88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>
      <w:pPr>
        <w:widowControl/>
        <w:adjustRightInd w:val="0"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4A518BA"/>
    <w:rsid w:val="055F4794"/>
    <w:rsid w:val="06D206FE"/>
    <w:rsid w:val="079239A0"/>
    <w:rsid w:val="09FE6C99"/>
    <w:rsid w:val="0CD2757C"/>
    <w:rsid w:val="0EAC2FE8"/>
    <w:rsid w:val="0EF546E1"/>
    <w:rsid w:val="10D16479"/>
    <w:rsid w:val="121C5A48"/>
    <w:rsid w:val="156C4552"/>
    <w:rsid w:val="1B5B5321"/>
    <w:rsid w:val="1F136385"/>
    <w:rsid w:val="20BC6E7B"/>
    <w:rsid w:val="22327339"/>
    <w:rsid w:val="22CA17D0"/>
    <w:rsid w:val="2540269A"/>
    <w:rsid w:val="26362F2D"/>
    <w:rsid w:val="26D96D0C"/>
    <w:rsid w:val="34C25C14"/>
    <w:rsid w:val="35E80586"/>
    <w:rsid w:val="3C242497"/>
    <w:rsid w:val="3CBF1BA4"/>
    <w:rsid w:val="41532AEA"/>
    <w:rsid w:val="41D47F41"/>
    <w:rsid w:val="422135F3"/>
    <w:rsid w:val="43062204"/>
    <w:rsid w:val="473D71C1"/>
    <w:rsid w:val="4CA2427C"/>
    <w:rsid w:val="4FB17C81"/>
    <w:rsid w:val="54770CC2"/>
    <w:rsid w:val="567C5CAC"/>
    <w:rsid w:val="5C2A2F81"/>
    <w:rsid w:val="5D3C397F"/>
    <w:rsid w:val="5E2451F4"/>
    <w:rsid w:val="62CB76AB"/>
    <w:rsid w:val="664C647F"/>
    <w:rsid w:val="6927334E"/>
    <w:rsid w:val="6DA57E9F"/>
    <w:rsid w:val="75203DE9"/>
    <w:rsid w:val="75601036"/>
    <w:rsid w:val="75C7123D"/>
    <w:rsid w:val="771861AB"/>
    <w:rsid w:val="78C460F2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\&#22806;&#32593;&#20449;&#24687;\2023&#24180;\6&#26376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\&#22806;&#32593;&#20449;&#24687;\2023&#24180;\6&#26376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449;&#24687;\&#22806;&#32593;&#20449;&#24687;\2023&#24180;\6&#26376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7140211150213"/>
          <c:y val="0.170723574524842"/>
          <c:w val="0.924337840340804"/>
          <c:h val="0.514104701567189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[外网信息图.xls]工业!$A$90:$B$104</c:f>
              <c:multiLvlStrCache>
                <c:ptCount val="15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[外网信息图.xls]工业!$C$90:$C$104</c:f>
              <c:numCache>
                <c:formatCode>0.0_ </c:formatCode>
                <c:ptCount val="15"/>
                <c:pt idx="0">
                  <c:v>2.7</c:v>
                </c:pt>
                <c:pt idx="1">
                  <c:v>3.6</c:v>
                </c:pt>
                <c:pt idx="2">
                  <c:v>0.2</c:v>
                </c:pt>
                <c:pt idx="3">
                  <c:v>-2.4</c:v>
                </c:pt>
                <c:pt idx="4">
                  <c:v>0.02</c:v>
                </c:pt>
                <c:pt idx="5">
                  <c:v>-0.3</c:v>
                </c:pt>
                <c:pt idx="6">
                  <c:v>-1.3</c:v>
                </c:pt>
                <c:pt idx="7">
                  <c:v>-0.9</c:v>
                </c:pt>
                <c:pt idx="8">
                  <c:v>-1</c:v>
                </c:pt>
                <c:pt idx="9">
                  <c:v>-1.4</c:v>
                </c:pt>
                <c:pt idx="10">
                  <c:v>-1</c:v>
                </c:pt>
                <c:pt idx="11">
                  <c:v>4.8</c:v>
                </c:pt>
                <c:pt idx="12">
                  <c:v>4.2</c:v>
                </c:pt>
                <c:pt idx="13">
                  <c:v>3.6</c:v>
                </c:pt>
                <c:pt idx="14">
                  <c:v>5.7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854848"/>
        <c:axId val="59856384"/>
      </c:lineChart>
      <c:catAx>
        <c:axId val="5985484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59856384"/>
        <c:crosses val="autoZero"/>
        <c:auto val="1"/>
        <c:lblAlgn val="ctr"/>
        <c:lblOffset val="100"/>
        <c:noMultiLvlLbl val="0"/>
      </c:catAx>
      <c:valAx>
        <c:axId val="59856384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985484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[外网信息图.xls]投资!$A$90:$B$104</c:f>
              <c:multiLvlStrCache>
                <c:ptCount val="15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[外网信息图.xls]投资!$C$90:$C$104</c:f>
              <c:numCache>
                <c:formatCode>General</c:formatCode>
                <c:ptCount val="15"/>
                <c:pt idx="0">
                  <c:v>8.9</c:v>
                </c:pt>
                <c:pt idx="1">
                  <c:v>12.8</c:v>
                </c:pt>
                <c:pt idx="2">
                  <c:v>11.3</c:v>
                </c:pt>
                <c:pt idx="3">
                  <c:v>7.5</c:v>
                </c:pt>
                <c:pt idx="4">
                  <c:v>10.1</c:v>
                </c:pt>
                <c:pt idx="5">
                  <c:v>11.4</c:v>
                </c:pt>
                <c:pt idx="6">
                  <c:v>14.1</c:v>
                </c:pt>
                <c:pt idx="7">
                  <c:v>18.4</c:v>
                </c:pt>
                <c:pt idx="8">
                  <c:v>14.1</c:v>
                </c:pt>
                <c:pt idx="9">
                  <c:v>16.7</c:v>
                </c:pt>
                <c:pt idx="10" c:formatCode="0.0_ ">
                  <c:v>13</c:v>
                </c:pt>
                <c:pt idx="11">
                  <c:v>1.4</c:v>
                </c:pt>
                <c:pt idx="12">
                  <c:v>11.8</c:v>
                </c:pt>
                <c:pt idx="13">
                  <c:v>16.8</c:v>
                </c:pt>
                <c:pt idx="14">
                  <c:v>23.8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[外网信息图.xls]零售额!$A$90:$B$104</c:f>
              <c:multiLvlStrCache>
                <c:ptCount val="15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[外网信息图.xls]零售额!$C$90:$C$104</c:f>
              <c:numCache>
                <c:formatCode>0.0_ </c:formatCode>
                <c:ptCount val="15"/>
                <c:pt idx="0">
                  <c:v>0.2</c:v>
                </c:pt>
                <c:pt idx="1">
                  <c:v>-1.4</c:v>
                </c:pt>
                <c:pt idx="2">
                  <c:v>-6.2</c:v>
                </c:pt>
                <c:pt idx="3">
                  <c:v>-11.7</c:v>
                </c:pt>
                <c:pt idx="4">
                  <c:v>-11.3</c:v>
                </c:pt>
                <c:pt idx="5">
                  <c:v>-10.6</c:v>
                </c:pt>
                <c:pt idx="6">
                  <c:v>-9.3</c:v>
                </c:pt>
                <c:pt idx="7">
                  <c:v>-7.8</c:v>
                </c:pt>
                <c:pt idx="8">
                  <c:v>-8.1</c:v>
                </c:pt>
                <c:pt idx="9">
                  <c:v>-9.5</c:v>
                </c:pt>
                <c:pt idx="10">
                  <c:v>-10.5</c:v>
                </c:pt>
                <c:pt idx="11">
                  <c:v>-5.6</c:v>
                </c:pt>
                <c:pt idx="12">
                  <c:v>-2.6</c:v>
                </c:pt>
                <c:pt idx="13">
                  <c:v>1</c:v>
                </c:pt>
                <c:pt idx="14">
                  <c:v>6.9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张娇娇</cp:lastModifiedBy>
  <cp:lastPrinted>2023-05-18T06:09:00Z</cp:lastPrinted>
  <dcterms:modified xsi:type="dcterms:W3CDTF">2023-06-19T00:54:56Z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