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2024年</w:t>
      </w:r>
      <w:r>
        <w:rPr>
          <w:rFonts w:hint="eastAsia" w:ascii="宋体" w:hAnsi="宋体"/>
          <w:b/>
          <w:sz w:val="44"/>
          <w:szCs w:val="44"/>
        </w:rPr>
        <w:t>1-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8</w:t>
      </w:r>
      <w:r>
        <w:rPr>
          <w:rFonts w:hint="eastAsia" w:ascii="宋体" w:hAnsi="宋体"/>
          <w:b/>
          <w:sz w:val="44"/>
          <w:szCs w:val="44"/>
        </w:rPr>
        <w:t>月</w:t>
      </w:r>
      <w:r>
        <w:rPr>
          <w:rFonts w:hint="eastAsia" w:ascii="宋体" w:hAnsi="宋体"/>
          <w:b/>
          <w:sz w:val="44"/>
          <w:szCs w:val="44"/>
          <w:lang w:eastAsia="zh-CN"/>
        </w:rPr>
        <w:t>朝阳区</w:t>
      </w:r>
      <w:r>
        <w:rPr>
          <w:rFonts w:hint="eastAsia" w:ascii="宋体" w:hAnsi="宋体"/>
          <w:b/>
          <w:sz w:val="44"/>
          <w:szCs w:val="44"/>
        </w:rPr>
        <w:t>大中型重点企业</w:t>
      </w:r>
    </w:p>
    <w:p>
      <w:pPr>
        <w:spacing w:beforeLines="50" w:afterLines="5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研发费用同比增长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8.9</w:t>
      </w:r>
      <w:r>
        <w:rPr>
          <w:rFonts w:hint="eastAsia" w:ascii="宋体" w:hAnsi="宋体"/>
          <w:b/>
          <w:sz w:val="44"/>
          <w:szCs w:val="44"/>
        </w:rPr>
        <w:t>%</w:t>
      </w:r>
    </w:p>
    <w:p>
      <w:pPr>
        <w:widowControl/>
        <w:shd w:val="clear" w:color="auto" w:fill="FFFFFF"/>
        <w:spacing w:line="480" w:lineRule="auto"/>
        <w:jc w:val="center"/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 w:line="480" w:lineRule="auto"/>
        <w:ind w:firstLine="560" w:firstLineChars="200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年1-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月，朝阳区大中型重点企业</w:t>
      </w:r>
      <w:r>
        <w:rPr>
          <w:rFonts w:hint="eastAsia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实现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研发费用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249.7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亿元，同比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8.9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分行业看，工业企业</w:t>
      </w:r>
      <w:r>
        <w:rPr>
          <w:rFonts w:hint="eastAsia" w:cs="宋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实现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研发费用</w:t>
      </w:r>
      <w:r>
        <w:rPr>
          <w:rFonts w:hint="eastAsia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12.9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亿元，同比</w:t>
      </w:r>
      <w:r>
        <w:rPr>
          <w:rFonts w:hint="eastAsia" w:cs="宋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1.4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%；信息传输、软件和信息技术服务业</w:t>
      </w:r>
      <w:r>
        <w:rPr>
          <w:rFonts w:hint="eastAsia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198.1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亿元，同比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6.7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%；科学研究和技术服务业</w:t>
      </w:r>
      <w:r>
        <w:rPr>
          <w:rFonts w:hint="eastAsia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38.7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亿元，同比增长</w:t>
      </w:r>
      <w:r>
        <w:rPr>
          <w:rFonts w:hint="eastAsia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24.8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spacing w:line="480" w:lineRule="auto"/>
        <w:ind w:firstLine="562" w:firstLineChars="200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562" w:firstLineChars="20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附注：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一、统计范围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大中型工业企业，大中型信息传输、软件和信息技术服务业企业，大中型科学研究和技术服务业企业。大中型企业划分标准遵照执行国家统计局制定的《统计上大中小微型企业划分办法》。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二、采集渠道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按照《工业统计报表制度》《服务业统计报表制度》的要求，通过北京统计联网直报系统上报统计数据。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三、主要统计指标解释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研发费用:指企业在新知识、新技术、新产品、新工艺等的研究与开发过程中发生的费用化支出，以及计入“管理费用”会计科目的企业自行开发无形资产的摊销。费用化支出主要包括研发活动的人工费用、直接投入费用、用于研发活动的仪器、设备的折旧费、用于研发活动的软件、专利权、非专利技术的摊销费用、新产品设计费、新工艺规程制定费以及其他研发活动相关费用。执行《企业会计准则》的企业，根据会计“利润表”中“研发费用”项目的本年累计数填报。执行《小企业会计准则》的企业，根据会计“利润表”中“研究费用”项目的本年累计数填报。执行《企业会计制度》的企业以及会计“利润表”未列示“研发费用”或“研究费用”的企业，根据会计“管理费用”科目下“研究费用”明细科目的本期发生额，以及“管理费用”科目下“无形资产摊销”明细科目的本期发生额分析填报。</w:t>
      </w: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474CE"/>
    <w:rsid w:val="65F6254A"/>
    <w:rsid w:val="66E4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2024-09-30T07:33:00Z</dcterms:created>
  <dc:creator>lss</dc:creator>
  <cp:lastModifiedBy>lss</cp:lastModifiedBy>
  <dcterms:modified xsi:type="dcterms:W3CDTF">2024-09-30T07:44:22Z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