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朝阳建外漳浦堡磊再生资源回收有限公司</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“6·10”一般触电事故整改和防范措施</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区商务局、区总工会、区司法局、区人力社保局</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hAnsi="Times New Roman" w:eastAsia="仿宋_GB2312" w:cs="Times New Roman"/>
          <w:sz w:val="32"/>
          <w:szCs w:val="32"/>
        </w:rPr>
        <w:t>朝阳建外漳浦堡磊再生资源回收有限公司“6·10”一般触电事故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朝阳建外漳浦堡磊再生资源回收有限公司“6·10”一般触电事故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朝阳建外漳浦堡磊再生资源回收有限公司“6·10”一般触电事故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rPr>
          <w:rFonts w:hint="default" w:ascii="仿宋_GB2312" w:hAnsi="Calibri" w:eastAsia="仿宋_GB2312"/>
          <w:sz w:val="32"/>
          <w:szCs w:val="32"/>
          <w:lang w:val="en-US" w:eastAsia="zh-CN"/>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lang w:eastAsia="zh-CN"/>
        </w:rPr>
        <w:t>北京盒马网络科技有限公司（以下简称“盒马公司”）、漳浦堡磊再生资源回收有限公司（以下简称“漳浦堡磊公司”）和北京万达时代物业管理有限公司（以下简称“北京万达时代公司”）</w:t>
      </w:r>
      <w:r>
        <w:rPr>
          <w:rFonts w:hint="eastAsia" w:ascii="仿宋_GB2312" w:hAnsi="Calibri" w:eastAsia="仿宋_GB2312"/>
          <w:sz w:val="32"/>
          <w:szCs w:val="32"/>
          <w:lang w:val="en-US" w:eastAsia="zh-CN"/>
        </w:rPr>
        <w:t>等四家事故相关单位进行访谈，并</w:t>
      </w:r>
      <w:r>
        <w:rPr>
          <w:rFonts w:hint="eastAsia" w:ascii="仿宋_GB2312" w:hAnsi="Calibri" w:eastAsia="仿宋_GB2312"/>
          <w:sz w:val="32"/>
          <w:szCs w:val="32"/>
        </w:rPr>
        <w:t>组织人员赴事故现场勘查。经核实，事故地点——建外CBD万达广场B1层盒马鲜生X会员店</w:t>
      </w:r>
      <w:r>
        <w:rPr>
          <w:rFonts w:hint="eastAsia" w:ascii="仿宋_GB2312" w:hAnsi="Calibri" w:eastAsia="仿宋_GB2312"/>
          <w:sz w:val="32"/>
          <w:szCs w:val="32"/>
          <w:lang w:val="en-US" w:eastAsia="zh-CN"/>
        </w:rPr>
        <w:t>已完成拆除工作，已更换其他生产经营单位正常运营，</w:t>
      </w:r>
      <w:r>
        <w:rPr>
          <w:rFonts w:hint="eastAsia" w:ascii="仿宋_GB2312" w:hAnsi="Calibri" w:eastAsia="仿宋_GB2312"/>
          <w:sz w:val="32"/>
          <w:szCs w:val="32"/>
          <w:lang w:eastAsia="zh-CN"/>
        </w:rPr>
        <w:t>北京盒马网络科技有限公司建国路分公司（以下简称“盒马建国路分公司”）</w:t>
      </w:r>
      <w:r>
        <w:rPr>
          <w:rFonts w:hint="eastAsia" w:ascii="仿宋_GB2312" w:hAnsi="Calibri" w:eastAsia="仿宋_GB2312"/>
          <w:sz w:val="32"/>
          <w:szCs w:val="32"/>
          <w:lang w:val="en-US" w:eastAsia="zh-CN"/>
        </w:rPr>
        <w:t>已注销，因此，评估组抽选盒马公司广顺北大街店查看现状安全管理情况。</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朝阳建外漳浦堡磊再生资源回收有限公司“6·10”一般触电事故</w:t>
      </w:r>
      <w:r>
        <w:rPr>
          <w:rFonts w:hint="eastAsia" w:ascii="仿宋_GB2312" w:hAnsi="Calibri" w:eastAsia="仿宋_GB2312"/>
          <w:sz w:val="32"/>
          <w:szCs w:val="32"/>
        </w:rPr>
        <w:t>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（一）建议移送司法机关处理的人员</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朱某，事发项目实际承包人及现场负责人，负责施工现场安全管理工作。涉嫌重大责任事故罪，</w:t>
      </w:r>
      <w:r>
        <w:rPr>
          <w:rFonts w:hint="eastAsia" w:ascii="仿宋_GB2312" w:eastAsia="仿宋_GB2312"/>
          <w:sz w:val="32"/>
          <w:szCs w:val="32"/>
          <w:highlight w:val="none"/>
          <w:lang w:val="en-US" w:eastAsia="zh-CN"/>
        </w:rPr>
        <w:t>已</w:t>
      </w:r>
      <w:r>
        <w:rPr>
          <w:rFonts w:hint="eastAsia" w:ascii="仿宋_GB2312" w:eastAsia="仿宋_GB2312"/>
          <w:sz w:val="32"/>
          <w:szCs w:val="32"/>
          <w:highlight w:val="none"/>
        </w:rPr>
        <w:t>由公安机关立案侦查。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）对事故有关责任人员和责任单位的行政处罚建议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漳浦堡磊公司法定代表人、总经理</w:t>
      </w:r>
      <w:r>
        <w:rPr>
          <w:rFonts w:hint="eastAsia" w:ascii="仿宋_GB2312" w:eastAsia="仿宋_GB2312"/>
          <w:sz w:val="32"/>
          <w:szCs w:val="32"/>
          <w:lang w:val="en-US" w:eastAsia="zh-CN"/>
        </w:rPr>
        <w:t>陈某桐</w:t>
      </w:r>
      <w:r>
        <w:rPr>
          <w:rFonts w:hint="eastAsia" w:ascii="仿宋_GB2312" w:eastAsia="仿宋_GB2312"/>
          <w:sz w:val="32"/>
          <w:szCs w:val="32"/>
        </w:rPr>
        <w:t>，全面负责本单位安全生产管理工作。未严格履行安全生产管理职责，未落实安全风险分级管控和隐患排查治理双重预防工作机制，督促、检查本单位的安全生产工作不到位，未及时消除不具备特种作业资质人员违规拆除配电柜电源线的生产安全事故隐患。其行为违反了《中华人民共和国安全生产法》第二十一条第（五）项的规定，对事故发生负有管理责任。依据《中华人民共和国安全生产法》第九十五条第（一）项的规定，建议由朝阳区应急管理局给予</w:t>
      </w:r>
      <w:r>
        <w:rPr>
          <w:rFonts w:hint="eastAsia" w:ascii="仿宋_GB2312" w:eastAsia="仿宋_GB2312"/>
          <w:sz w:val="32"/>
          <w:szCs w:val="32"/>
          <w:lang w:val="en-US" w:eastAsia="zh-CN"/>
        </w:rPr>
        <w:t>陈某桐</w:t>
      </w:r>
      <w:r>
        <w:rPr>
          <w:rFonts w:hint="eastAsia" w:ascii="仿宋_GB2312" w:eastAsia="仿宋_GB2312"/>
          <w:sz w:val="32"/>
          <w:szCs w:val="32"/>
        </w:rPr>
        <w:t>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陈某桐</w:t>
      </w:r>
      <w:r>
        <w:rPr>
          <w:rFonts w:hint="eastAsia" w:ascii="仿宋_GB2312" w:eastAsia="仿宋_GB2312"/>
          <w:sz w:val="32"/>
          <w:szCs w:val="32"/>
        </w:rPr>
        <w:t>处以人民币</w:t>
      </w:r>
      <w:r>
        <w:rPr>
          <w:rFonts w:hint="eastAsia" w:ascii="仿宋_GB2312" w:eastAsia="仿宋_GB2312"/>
          <w:sz w:val="32"/>
          <w:szCs w:val="32"/>
          <w:lang w:val="en-US" w:eastAsia="zh-CN"/>
        </w:rPr>
        <w:t>壹万陆仟玖佰零捌角</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〕01</w:t>
      </w:r>
      <w:r>
        <w:rPr>
          <w:rFonts w:hint="eastAsia" w:ascii="仿宋_GB2312" w:eastAsia="仿宋_GB2312"/>
          <w:sz w:val="32"/>
          <w:szCs w:val="32"/>
          <w:lang w:val="en-US" w:eastAsia="zh-CN"/>
        </w:rPr>
        <w:t>0</w:t>
      </w:r>
      <w:r>
        <w:rPr>
          <w:rFonts w:hint="eastAsia" w:ascii="仿宋_GB2312" w:eastAsia="仿宋_GB2312"/>
          <w:sz w:val="32"/>
          <w:szCs w:val="32"/>
        </w:rPr>
        <w:t>-A</w:t>
      </w:r>
      <w:r>
        <w:rPr>
          <w:rFonts w:hint="eastAsia" w:ascii="仿宋_GB2312" w:eastAsia="仿宋_GB2312"/>
          <w:sz w:val="32"/>
          <w:szCs w:val="32"/>
          <w:lang w:val="en-US" w:eastAsia="zh-CN"/>
        </w:rPr>
        <w:t>2</w:t>
      </w:r>
      <w:r>
        <w:rPr>
          <w:rFonts w:hint="eastAsia" w:ascii="仿宋_GB2312" w:eastAsia="仿宋_GB2312"/>
          <w:sz w:val="32"/>
          <w:szCs w:val="32"/>
        </w:rPr>
        <w:t>号，并已结案。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hAnsi="Calibri" w:eastAsia="仿宋_GB2312"/>
          <w:sz w:val="32"/>
          <w:szCs w:val="32"/>
          <w:lang w:eastAsia="zh-CN"/>
        </w:rPr>
        <w:t>盒马建国路分公司</w:t>
      </w:r>
      <w:r>
        <w:rPr>
          <w:rFonts w:hint="eastAsia" w:ascii="仿宋_GB2312" w:eastAsia="仿宋_GB2312"/>
          <w:sz w:val="32"/>
          <w:szCs w:val="32"/>
        </w:rPr>
        <w:t>总经理</w:t>
      </w:r>
      <w:r>
        <w:rPr>
          <w:rFonts w:hint="eastAsia" w:ascii="仿宋_GB2312" w:eastAsia="仿宋_GB2312"/>
          <w:sz w:val="32"/>
          <w:szCs w:val="32"/>
          <w:lang w:val="en-US" w:eastAsia="zh-CN"/>
        </w:rPr>
        <w:t>宋某洲</w:t>
      </w:r>
      <w:r>
        <w:rPr>
          <w:rFonts w:hint="eastAsia" w:ascii="仿宋_GB2312" w:eastAsia="仿宋_GB2312"/>
          <w:sz w:val="32"/>
          <w:szCs w:val="32"/>
        </w:rPr>
        <w:t>，全面负责本单位安全生产管理工作。未严格履行安全生产管理职责，未落实安全风险分级管控和隐患排查治理双重预防工作机制，督促、检查本单位的安全生产工作不到位，未及时消除事发配电室未锁闭且无人看管、不具备特种作业资质人员违规拆除配电柜电源线的事故隐患。其行为违反了《中华人民共和国安全生产法》第二十一条第（五）项的规定，对事故发生负有管理责任。依据《中华人民共和国安全生产法》第九十五条第（一）项的规定，建议由朝阳区应急管理局给予</w:t>
      </w:r>
      <w:r>
        <w:rPr>
          <w:rFonts w:hint="eastAsia" w:ascii="仿宋_GB2312" w:eastAsia="仿宋_GB2312"/>
          <w:sz w:val="32"/>
          <w:szCs w:val="32"/>
          <w:lang w:val="en-US" w:eastAsia="zh-CN"/>
        </w:rPr>
        <w:t>宋某洲</w:t>
      </w:r>
      <w:r>
        <w:rPr>
          <w:rFonts w:hint="eastAsia" w:ascii="仿宋_GB2312" w:eastAsia="仿宋_GB2312"/>
          <w:sz w:val="32"/>
          <w:szCs w:val="32"/>
        </w:rPr>
        <w:t>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宋某洲</w:t>
      </w:r>
      <w:r>
        <w:rPr>
          <w:rFonts w:hint="eastAsia" w:ascii="仿宋_GB2312" w:eastAsia="仿宋_GB2312"/>
          <w:sz w:val="32"/>
          <w:szCs w:val="32"/>
        </w:rPr>
        <w:t>处以人民币</w:t>
      </w:r>
      <w:r>
        <w:rPr>
          <w:rFonts w:hint="eastAsia" w:ascii="仿宋_GB2312" w:eastAsia="仿宋_GB2312"/>
          <w:sz w:val="32"/>
          <w:szCs w:val="32"/>
          <w:lang w:val="en-US" w:eastAsia="zh-CN"/>
        </w:rPr>
        <w:t>贰拾壹万玖仟贰佰肆拾伍元贰角叁分</w:t>
      </w:r>
      <w:r>
        <w:rPr>
          <w:rFonts w:hint="eastAsia" w:ascii="仿宋_GB2312" w:eastAsia="仿宋_GB2312"/>
          <w:sz w:val="32"/>
          <w:szCs w:val="32"/>
        </w:rPr>
        <w:t>的行政处罚，处罚决定书编号：（京朝）应急告〔202</w:t>
      </w:r>
      <w:r>
        <w:rPr>
          <w:rFonts w:hint="eastAsia" w:ascii="仿宋_GB2312" w:eastAsia="仿宋_GB2312"/>
          <w:sz w:val="32"/>
          <w:szCs w:val="32"/>
          <w:lang w:val="en-US" w:eastAsia="zh-CN"/>
        </w:rPr>
        <w:t>4</w:t>
      </w:r>
      <w:r>
        <w:rPr>
          <w:rFonts w:hint="eastAsia" w:ascii="仿宋_GB2312" w:eastAsia="仿宋_GB2312"/>
          <w:sz w:val="32"/>
          <w:szCs w:val="32"/>
        </w:rPr>
        <w:t>〕01</w:t>
      </w:r>
      <w:r>
        <w:rPr>
          <w:rFonts w:hint="eastAsia" w:ascii="仿宋_GB2312" w:eastAsia="仿宋_GB2312"/>
          <w:sz w:val="32"/>
          <w:szCs w:val="32"/>
          <w:lang w:val="en-US" w:eastAsia="zh-CN"/>
        </w:rPr>
        <w:t>0</w:t>
      </w:r>
      <w:r>
        <w:rPr>
          <w:rFonts w:hint="eastAsia" w:ascii="仿宋_GB2312" w:eastAsia="仿宋_GB2312"/>
          <w:sz w:val="32"/>
          <w:szCs w:val="32"/>
        </w:rPr>
        <w:t>-A</w:t>
      </w:r>
      <w:r>
        <w:rPr>
          <w:rFonts w:hint="eastAsia" w:ascii="仿宋_GB2312" w:eastAsia="仿宋_GB2312"/>
          <w:sz w:val="32"/>
          <w:szCs w:val="32"/>
          <w:lang w:val="en-US" w:eastAsia="zh-CN"/>
        </w:rPr>
        <w:t>4</w:t>
      </w:r>
      <w:r>
        <w:rPr>
          <w:rFonts w:hint="eastAsia" w:ascii="仿宋_GB2312" w:eastAsia="仿宋_GB2312"/>
          <w:sz w:val="32"/>
          <w:szCs w:val="32"/>
        </w:rPr>
        <w:t>号。</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hAnsi="Times New Roman" w:eastAsia="仿宋_GB2312" w:cs="Times New Roman"/>
          <w:kern w:val="2"/>
          <w:sz w:val="32"/>
          <w:szCs w:val="32"/>
          <w:lang w:val="en-US" w:eastAsia="zh-CN" w:bidi="ar-SA"/>
        </w:rPr>
        <w:t>3.</w:t>
      </w:r>
      <w:r>
        <w:rPr>
          <w:rFonts w:hint="eastAsia" w:ascii="仿宋_GB2312" w:eastAsia="仿宋_GB2312"/>
          <w:sz w:val="32"/>
          <w:szCs w:val="32"/>
        </w:rPr>
        <w:t>漳浦堡磊公司。对施工现场安全管理不到位，未严格审查项目分包方的安全生产条件及相关作业人员的特种作业资质，未向施工人员提供必需的安全防护用品并监督佩戴和使用，对施工人员的安全教育培训不到位。其行为违反了《中华人民共和国安全生产法》第二十八条第一款、第四十五条、第四十九条第一款的规定，对事故发生负有主要管理责任。依据《中华人民共和国安全生产法》第一百一十四条第一款第（一）项的规定，建议由朝阳区应急管理局给予漳浦堡磊公司罚款的行政处罚。</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区应急管理局已根据《事故调查报告》的上述要求，依法对漳浦堡磊公司处以人民币</w:t>
      </w:r>
      <w:r>
        <w:rPr>
          <w:rFonts w:hint="eastAsia" w:ascii="仿宋_GB2312" w:eastAsia="仿宋_GB2312"/>
          <w:sz w:val="32"/>
          <w:szCs w:val="32"/>
          <w:lang w:val="en-US" w:eastAsia="zh-CN"/>
        </w:rPr>
        <w:t>伍拾伍</w:t>
      </w:r>
      <w:r>
        <w:rPr>
          <w:rFonts w:hint="eastAsia" w:ascii="仿宋_GB2312" w:eastAsia="仿宋_GB2312"/>
          <w:sz w:val="32"/>
          <w:szCs w:val="32"/>
        </w:rPr>
        <w:t>万元整的行政处罚，处罚决定书编号：（京朝）应急告〔202</w:t>
      </w:r>
      <w:r>
        <w:rPr>
          <w:rFonts w:hint="eastAsia" w:ascii="仿宋_GB2312" w:eastAsia="仿宋_GB2312"/>
          <w:sz w:val="32"/>
          <w:szCs w:val="32"/>
          <w:lang w:val="en-US" w:eastAsia="zh-CN"/>
        </w:rPr>
        <w:t>4</w:t>
      </w:r>
      <w:r>
        <w:rPr>
          <w:rFonts w:hint="eastAsia" w:ascii="仿宋_GB2312" w:eastAsia="仿宋_GB2312"/>
          <w:sz w:val="32"/>
          <w:szCs w:val="32"/>
        </w:rPr>
        <w:t>〕01</w:t>
      </w:r>
      <w:r>
        <w:rPr>
          <w:rFonts w:hint="eastAsia" w:ascii="仿宋_GB2312" w:eastAsia="仿宋_GB2312"/>
          <w:sz w:val="32"/>
          <w:szCs w:val="32"/>
          <w:lang w:val="en-US" w:eastAsia="zh-CN"/>
        </w:rPr>
        <w:t>0</w:t>
      </w:r>
      <w:r>
        <w:rPr>
          <w:rFonts w:hint="eastAsia" w:ascii="仿宋_GB2312" w:eastAsia="仿宋_GB2312"/>
          <w:sz w:val="32"/>
          <w:szCs w:val="32"/>
        </w:rPr>
        <w:t>-A</w:t>
      </w:r>
      <w:r>
        <w:rPr>
          <w:rFonts w:hint="eastAsia" w:ascii="仿宋_GB2312" w:eastAsia="仿宋_GB2312"/>
          <w:sz w:val="32"/>
          <w:szCs w:val="32"/>
          <w:lang w:val="en-US" w:eastAsia="zh-CN"/>
        </w:rPr>
        <w:t>1</w:t>
      </w:r>
      <w:r>
        <w:rPr>
          <w:rFonts w:hint="eastAsia" w:ascii="仿宋_GB2312" w:eastAsia="仿宋_GB2312"/>
          <w:sz w:val="32"/>
          <w:szCs w:val="32"/>
        </w:rPr>
        <w:t>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盒马建国路分公司。安全生产规章制度落实不到位，对事发配电室失管失控，对外包项目施工单位的安全生产工作协调</w:t>
      </w:r>
      <w:r>
        <w:rPr>
          <w:rFonts w:hint="eastAsia" w:ascii="仿宋_GB2312" w:eastAsia="仿宋_GB2312"/>
          <w:sz w:val="32"/>
          <w:szCs w:val="32"/>
          <w:lang w:eastAsia="zh-CN"/>
        </w:rPr>
        <w:t>、</w:t>
      </w:r>
      <w:r>
        <w:rPr>
          <w:rFonts w:hint="eastAsia" w:ascii="仿宋_GB2312" w:eastAsia="仿宋_GB2312"/>
          <w:sz w:val="32"/>
          <w:szCs w:val="32"/>
        </w:rPr>
        <w:t>管理、检查不到位，未能及时发现并消除事故隐患。其行为违反了《中华人民共和国安全生产法》第四十四条第一款、第四十九条第二款的规定，对事故发生负有管理责任。依据《中华人民共和国安全生产法》第一百一十四条第一款第（一）项的规定，建议由朝阳区应急管理局给予盒马建国路分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区应急管理局已根据《事故调查报告》的上述要求，依法对盒马建国路分公司处以人民币</w:t>
      </w:r>
      <w:r>
        <w:rPr>
          <w:rFonts w:hint="eastAsia" w:ascii="仿宋_GB2312" w:eastAsia="仿宋_GB2312"/>
          <w:sz w:val="32"/>
          <w:szCs w:val="32"/>
          <w:lang w:val="en-US" w:eastAsia="zh-CN"/>
        </w:rPr>
        <w:t>伍拾伍</w:t>
      </w:r>
      <w:r>
        <w:rPr>
          <w:rFonts w:hint="eastAsia" w:ascii="仿宋_GB2312" w:eastAsia="仿宋_GB2312"/>
          <w:sz w:val="32"/>
          <w:szCs w:val="32"/>
        </w:rPr>
        <w:t>万元整的行政处罚，处罚决定书编号：（京朝）应急告〔202</w:t>
      </w:r>
      <w:r>
        <w:rPr>
          <w:rFonts w:hint="eastAsia" w:ascii="仿宋_GB2312" w:eastAsia="仿宋_GB2312"/>
          <w:sz w:val="32"/>
          <w:szCs w:val="32"/>
          <w:lang w:val="en-US" w:eastAsia="zh-CN"/>
        </w:rPr>
        <w:t>4</w:t>
      </w:r>
      <w:r>
        <w:rPr>
          <w:rFonts w:hint="eastAsia" w:ascii="仿宋_GB2312" w:eastAsia="仿宋_GB2312"/>
          <w:sz w:val="32"/>
          <w:szCs w:val="32"/>
        </w:rPr>
        <w:t>〕01</w:t>
      </w:r>
      <w:r>
        <w:rPr>
          <w:rFonts w:hint="eastAsia" w:ascii="仿宋_GB2312" w:eastAsia="仿宋_GB2312"/>
          <w:sz w:val="32"/>
          <w:szCs w:val="32"/>
          <w:lang w:val="en-US" w:eastAsia="zh-CN"/>
        </w:rPr>
        <w:t>0</w:t>
      </w:r>
      <w:r>
        <w:rPr>
          <w:rFonts w:hint="eastAsia" w:ascii="仿宋_GB2312" w:eastAsia="仿宋_GB2312"/>
          <w:sz w:val="32"/>
          <w:szCs w:val="32"/>
        </w:rPr>
        <w:t>-A</w:t>
      </w:r>
      <w:r>
        <w:rPr>
          <w:rFonts w:hint="eastAsia" w:ascii="仿宋_GB2312" w:eastAsia="仿宋_GB2312"/>
          <w:sz w:val="32"/>
          <w:szCs w:val="32"/>
          <w:lang w:val="en-US" w:eastAsia="zh-CN"/>
        </w:rPr>
        <w:t>3</w:t>
      </w:r>
      <w:r>
        <w:rPr>
          <w:rFonts w:hint="eastAsia" w:ascii="仿宋_GB2312" w:eastAsia="仿宋_GB2312"/>
          <w:sz w:val="32"/>
          <w:szCs w:val="32"/>
        </w:rPr>
        <w:t>号。</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1.推进安全生产规章制度有效落实盒马建国路分公司及漳浦堡磊公司要充分吸取本次事故教训，高度重视企业安全生产工作，严格按照《中华人民共和国安全生产法》《北京市安全生产条例》等法律法规及其他规章制度要求，压紧压实企业主体责任，建立健全各项安全生产规章制度，推动落实全员安全生产责任制，在作业资质审查、施工项目管理、特种作业、配电室安全等重点工作方面加大监管、检查力度，从根本上消除事故隐患。</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重视企业各级人员安全教育培训工作盒马建国路分公司及漳浦堡磊公司要牢固树立安全发展理念，以事故为鉴、以事故促改，增强企业管理人员防范风险意识和安全管理能力。同时继续加强对一线施工人员的安全教育培训，提升专业知识储备和岗位操作技能，建立完善企业考核评价机制，督促相关人员严格按照规章制度开展施工作业，严防事故发生。</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加强外包项目施工单位的安全管理盒马建国路分公司要不断加强外包项目施工单位安全生产工作的统一协调、管理和定期检查，发现隐患问题及时督促整改。同时，要与外包项目施工单位签订专门的安全生产管理协议或者在项目合同中明确各方安全生产职责，督促施工方落实安全生产管理职责，提升企业外包项目安全生产管理水平。</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4.继续推动承租单位安全生产工作落深落细北京万达时代公司作为物业管理单位要在原有工作基础上主动向前一步，按照北京市安委办印发的《关于进一步加强生产经营单位外包外租安全生产管理工作的通知》要求，继续推动承租单位在使用场所及设施设备、安全教育培训、应急处置等各方面工作落深、落细、落实。</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5.提升属地监管效能。建外办事处要通过加强监督指导和社会共治等日常管理工作，督促生产经营单位落实安全生产法律法规要求，提高外包外租安全管理意识，规范签订安全生产管理协议，推动承发包和承出租单位安全管理职责和措施落实到位，压紧压实属地政府安全监管责任，坚决杜绝“以包代管、只租不管”等违法违规行为，防范和遏制违法外包外租引发的生产安全事故，促进生产经营单位外包外租安全规范有序。</w:t>
      </w:r>
    </w:p>
    <w:p>
      <w:pPr>
        <w:spacing w:line="560" w:lineRule="exact"/>
        <w:ind w:firstLine="610" w:firstLineChars="190"/>
        <w:rPr>
          <w:rFonts w:hint="eastAsia" w:ascii="仿宋_GB2312" w:eastAsia="仿宋_GB2312"/>
          <w:b/>
          <w:bCs/>
          <w:sz w:val="32"/>
          <w:szCs w:val="32"/>
        </w:rPr>
      </w:pPr>
      <w:r>
        <w:rPr>
          <w:rFonts w:hint="eastAsia" w:ascii="仿宋_GB2312" w:eastAsia="仿宋_GB2312"/>
          <w:b/>
          <w:bCs/>
          <w:sz w:val="32"/>
          <w:szCs w:val="32"/>
          <w:lang w:val="en-US" w:eastAsia="zh-CN"/>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spacing w:line="560" w:lineRule="exact"/>
        <w:ind w:firstLine="608" w:firstLineChars="190"/>
        <w:rPr>
          <w:rFonts w:hint="default" w:ascii="仿宋_GB2312" w:eastAsia="仿宋_GB2312"/>
          <w:sz w:val="32"/>
          <w:szCs w:val="32"/>
          <w:lang w:val="en-US"/>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sz w:val="32"/>
          <w:szCs w:val="32"/>
          <w:lang w:val="en-US" w:eastAsia="zh-CN"/>
        </w:rPr>
        <w:t>盒马公司自事故发生后，从集团启动最高级别安全响应，统筹部署，督导北京分公司及全国各单元严格落实整改，一是成立了以集团安委会为核心的专项工作组，对全国所有门店及运营单位暂停所有非必要的第三方高危作业（特别是电力作业）进行全面安全自查，要求各区域、各门店对照“</w:t>
      </w:r>
      <w:r>
        <w:rPr>
          <w:rFonts w:hint="eastAsia" w:ascii="仿宋_GB2312" w:hAnsi="Calibri" w:eastAsia="仿宋_GB2312"/>
          <w:sz w:val="32"/>
          <w:szCs w:val="32"/>
          <w:lang w:val="en-US" w:eastAsia="zh-CN"/>
        </w:rPr>
        <w:t>6·10</w:t>
      </w:r>
      <w:r>
        <w:rPr>
          <w:rFonts w:hint="eastAsia" w:ascii="仿宋_GB2312" w:eastAsia="仿宋_GB2312"/>
          <w:sz w:val="32"/>
          <w:szCs w:val="32"/>
          <w:lang w:val="en-US" w:eastAsia="zh-CN"/>
        </w:rPr>
        <w:t>”事故原因，彻查类似隐患；二是制度标准升级与强制推行，总公司依据事故调查报告，迅速修订并发布了安全管理核心制度，建立集团统一的第三方供应商准入与淘汰机制，要求所有外包单位及其作业人员信息必须上传存档，每日作业前，门店安全员必须通过门店管理人员核对施工人员证件有效性，无证或证照过期者严禁入场；三是高危作业全程监控与主动预警，要求全国门店的高危作业区域必须安装视频监控，并逐步接入总部监控平台，实现远程巡查和实时报警；四是设立专项资金，用于支持全国门店的安全设施改造，优先完成所有门店配电室的标准化升级，包括加装电压感应报警装置、绝缘护罩、增配应急设备；五是强化应急准备，在各门店配齐应急设备，针对第三方作业人员，强制要求其在入场前接受安全交底和应急流程告知，明确一旦发生意外，如何第一时间求助、如何配合施救等。</w:t>
      </w:r>
    </w:p>
    <w:p>
      <w:pPr>
        <w:spacing w:line="560" w:lineRule="exact"/>
        <w:ind w:firstLine="608" w:firstLineChars="190"/>
        <w:rPr>
          <w:rFonts w:hint="eastAsia" w:ascii="仿宋_GB2312" w:hAnsi="Calibri" w:eastAsia="仿宋_GB2312"/>
          <w:sz w:val="32"/>
          <w:szCs w:val="32"/>
          <w:lang w:val="en-US" w:eastAsia="zh-CN"/>
        </w:rPr>
      </w:pPr>
      <w:r>
        <w:rPr>
          <w:rFonts w:hint="eastAsia" w:ascii="仿宋_GB2312" w:eastAsia="仿宋_GB2312"/>
          <w:sz w:val="32"/>
          <w:szCs w:val="32"/>
          <w:lang w:val="en-US" w:eastAsia="zh-CN"/>
        </w:rPr>
        <w:t>2.</w:t>
      </w:r>
      <w:r>
        <w:rPr>
          <w:rFonts w:hint="eastAsia" w:ascii="仿宋_GB2312" w:hAnsi="Calibri" w:eastAsia="仿宋_GB2312"/>
          <w:sz w:val="32"/>
          <w:szCs w:val="32"/>
          <w:lang w:eastAsia="zh-CN"/>
        </w:rPr>
        <w:t>北京万达时代公司</w:t>
      </w:r>
      <w:r>
        <w:rPr>
          <w:rFonts w:hint="eastAsia" w:ascii="仿宋_GB2312" w:hAnsi="Calibri" w:eastAsia="仿宋_GB2312"/>
          <w:sz w:val="32"/>
          <w:szCs w:val="32"/>
          <w:lang w:val="en-US" w:eastAsia="zh-CN"/>
        </w:rPr>
        <w:t>以整改事项为契机，提出安全工作做细、做实的进一步要求学习全员安全生产责任制度，一是强化使其审批工作，在租赁合同中嵌入《安全生产责任制》，明确消防设施维护、安全通道管理等硬性条款；二是租赁前强制开展安全评估，涵盖建筑结构、电气线路等隐患点，强化对现场作业人员进行特种作业证书的登记、审核，核实作业人员的真实性，强化施工前技术交底工作，对现场作业人员进行施工工具、消防器材、紧急抢救等实操演练；三是强化现场管控，由相关负责人组织编制施工安全管控方案，建立每日对装修现场巡查制度，指定巡查责任人，每周进行现场评审会，施工期间，每2小时进行一次现场巡查，对检查中发现的问题，及时整改；四是深化复盘总结，对施工中发生的典型事故和发现的安全隐患进行回溯分析，对现有管理机制、流程的漏洞进行诊断，补充相关内容等。</w:t>
      </w:r>
    </w:p>
    <w:p>
      <w:pPr>
        <w:spacing w:line="560" w:lineRule="exact"/>
        <w:ind w:firstLine="608" w:firstLineChars="190"/>
        <w:rPr>
          <w:rFonts w:hint="default" w:ascii="仿宋_GB2312" w:eastAsia="仿宋_GB2312"/>
          <w:sz w:val="32"/>
          <w:szCs w:val="32"/>
          <w:highlight w:val="yellow"/>
          <w:lang w:val="en-US" w:eastAsia="zh-CN"/>
        </w:rPr>
      </w:pPr>
      <w:r>
        <w:rPr>
          <w:rFonts w:hint="eastAsia" w:ascii="仿宋_GB2312" w:hAnsi="Calibri" w:eastAsia="仿宋_GB2312"/>
          <w:sz w:val="32"/>
          <w:szCs w:val="32"/>
          <w:highlight w:val="none"/>
          <w:lang w:val="en-US" w:eastAsia="zh-CN"/>
        </w:rPr>
        <w:t>3.</w:t>
      </w:r>
      <w:r>
        <w:rPr>
          <w:rFonts w:hint="eastAsia" w:ascii="仿宋_GB2312" w:eastAsia="仿宋_GB2312"/>
          <w:sz w:val="32"/>
          <w:szCs w:val="32"/>
          <w:highlight w:val="none"/>
          <w:lang w:val="en-US" w:eastAsia="zh-CN"/>
        </w:rPr>
        <w:t>漳浦堡磊公司自事故发生后，一是立即停产排查，消除现有隐患，全面核查电气线路、设备老化情况，对破损、裸露、违规接线等问题登记造册，限期更换整改；排查作业区域安全防护设施（如绝缘手套、验电器、接地线等），补充配齐合格防护用品，报废过期失效设备；二是完善安全管理制度，制定明确作业审批流程（需提交作业方案、安全交底记录、应急预案），未经审批严禁开工，建立“作业前－作业中－作业后”三查机制，明确责任分工，总经理为第一责任人，安全部门牵头监督，拆旧作业组实行“组长负责制”，签订安全责任书；三是强化人员安全培训。对作业人员开展专项培训，组织全员安全警示教育等；四是优化作业现场管控。作业区域设置明显警示标识（如“正在作业，禁止入内”“小心触电”），划定安全作业范围，设置隔离护栏，配备充足应急物资（如绝缘棒、急救箱、应急照明设备），定期检查维护等；五是建立长效监督机制，每月开展一次安全隐患排查治理，形成排查报告，建立安全考核奖惩制度，将安全绩效与工资薪酬挂钩，对安全工作表现突出的个人和班组给予奖励，对违规操作造成隐患的予以处罚。</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属地建外街道办事处</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spacing w:line="560" w:lineRule="exact"/>
        <w:ind w:firstLine="640" w:firstLineChars="200"/>
        <w:rPr>
          <w:rFonts w:hint="eastAsia" w:ascii="Times New Roman" w:hAnsi="Times New Roman" w:eastAsia="仿宋_GB2312"/>
          <w:sz w:val="32"/>
          <w:szCs w:val="32"/>
          <w:lang w:val="en-US" w:eastAsia="zh-CN"/>
        </w:rPr>
      </w:pPr>
      <w:r>
        <w:rPr>
          <w:rFonts w:hint="eastAsia" w:ascii="仿宋_GB2312" w:eastAsia="仿宋_GB2312"/>
          <w:sz w:val="32"/>
          <w:szCs w:val="32"/>
          <w:lang w:val="en-US" w:eastAsia="zh-CN"/>
        </w:rPr>
        <w:t>建外办事处通过加强监督指导和社会共治等日常管理工作，一是整合平安建设办公室、城市管理办公室、综合行政执法队等职能部门，联合建国门消防救援大队、建外派出所、建外市场所等力量，细化分工和责任区域；二是</w:t>
      </w:r>
      <w:r>
        <w:rPr>
          <w:rFonts w:ascii="仿宋_GB2312" w:hAnsi="Times New Roman" w:eastAsia="仿宋_GB2312"/>
          <w:sz w:val="32"/>
          <w:szCs w:val="32"/>
        </w:rPr>
        <w:t>进一步加大隐患排查力度，突出电动自行车、消防、燃气、危化品、建筑施工等重点行业、领域，深入查找、坚决整改存在的问题和薄弱环节，对存在较大隐患或者整改不及时的企业建立黑名单制度，提高检查复查频次，联合区相关执法部门开展精准打击，加大执法处罚力度，提高企业违法成本</w:t>
      </w:r>
      <w:r>
        <w:rPr>
          <w:rFonts w:hint="eastAsia" w:ascii="仿宋_GB2312" w:eastAsia="仿宋_GB2312"/>
          <w:sz w:val="32"/>
          <w:szCs w:val="32"/>
          <w:lang w:eastAsia="zh-CN"/>
        </w:rPr>
        <w:t>；</w:t>
      </w:r>
      <w:r>
        <w:rPr>
          <w:rFonts w:hint="eastAsia" w:ascii="仿宋_GB2312" w:eastAsia="仿宋_GB2312"/>
          <w:sz w:val="32"/>
          <w:szCs w:val="32"/>
          <w:lang w:val="en-US" w:eastAsia="zh-CN"/>
        </w:rPr>
        <w:t>三是</w:t>
      </w:r>
      <w:r>
        <w:rPr>
          <w:rFonts w:ascii="仿宋_GB2312" w:hAnsi="Times New Roman" w:eastAsia="仿宋_GB2312"/>
          <w:sz w:val="32"/>
          <w:szCs w:val="32"/>
        </w:rPr>
        <w:t>整合</w:t>
      </w:r>
      <w:r>
        <w:rPr>
          <w:rFonts w:hint="eastAsia" w:ascii="仿宋_GB2312" w:hAnsi="Times New Roman" w:eastAsia="仿宋_GB2312"/>
          <w:sz w:val="32"/>
          <w:szCs w:val="32"/>
        </w:rPr>
        <w:t>地区</w:t>
      </w:r>
      <w:r>
        <w:rPr>
          <w:rFonts w:ascii="仿宋_GB2312" w:hAnsi="Times New Roman" w:eastAsia="仿宋_GB2312"/>
          <w:sz w:val="32"/>
          <w:szCs w:val="32"/>
        </w:rPr>
        <w:t>资源，调动地区企业参与地区共建的主动性，促进地区企业落实安全生产主体责任。结合</w:t>
      </w:r>
      <w:r>
        <w:rPr>
          <w:rFonts w:ascii="Times New Roman" w:hAnsi="Times New Roman" w:eastAsia="仿宋_GB2312"/>
          <w:sz w:val="32"/>
          <w:szCs w:val="32"/>
        </w:rPr>
        <w:t>“</w:t>
      </w:r>
      <w:r>
        <w:rPr>
          <w:rFonts w:hint="eastAsia" w:ascii="仿宋_GB2312" w:hAnsi="Times New Roman" w:eastAsia="仿宋_GB2312"/>
          <w:sz w:val="32"/>
          <w:szCs w:val="32"/>
        </w:rPr>
        <w:t>企安安”企业自查端和政府检查端的使用</w:t>
      </w:r>
      <w:r>
        <w:rPr>
          <w:rFonts w:ascii="仿宋_GB2312" w:hAnsi="Times New Roman" w:eastAsia="仿宋_GB2312"/>
          <w:sz w:val="32"/>
          <w:szCs w:val="32"/>
        </w:rPr>
        <w:t>，进一步织密监管责任体系之网，督促地区生产经营单位建立健全隐患自查制度和自查工作记录档案</w:t>
      </w:r>
      <w:r>
        <w:rPr>
          <w:rFonts w:hint="eastAsia" w:ascii="仿宋_GB2312" w:eastAsia="仿宋_GB2312"/>
          <w:sz w:val="32"/>
          <w:szCs w:val="32"/>
          <w:lang w:eastAsia="zh-CN"/>
        </w:rPr>
        <w:t>；</w:t>
      </w:r>
      <w:r>
        <w:rPr>
          <w:rFonts w:hint="eastAsia" w:ascii="仿宋_GB2312" w:eastAsia="仿宋_GB2312"/>
          <w:sz w:val="32"/>
          <w:szCs w:val="32"/>
          <w:lang w:val="en-US" w:eastAsia="zh-CN"/>
        </w:rPr>
        <w:t>四是</w:t>
      </w:r>
      <w:r>
        <w:rPr>
          <w:rFonts w:ascii="仿宋_GB2312" w:hAnsi="Times New Roman" w:eastAsia="仿宋_GB2312"/>
          <w:sz w:val="32"/>
          <w:szCs w:val="32"/>
        </w:rPr>
        <w:t>结合</w:t>
      </w:r>
      <w:r>
        <w:rPr>
          <w:rFonts w:ascii="Times New Roman" w:hAnsi="Times New Roman" w:eastAsia="仿宋_GB2312"/>
          <w:sz w:val="32"/>
          <w:szCs w:val="32"/>
        </w:rPr>
        <w:t>“</w:t>
      </w:r>
      <w:r>
        <w:rPr>
          <w:rFonts w:ascii="仿宋_GB2312" w:hAnsi="Times New Roman" w:eastAsia="仿宋_GB2312"/>
          <w:sz w:val="32"/>
          <w:szCs w:val="32"/>
        </w:rPr>
        <w:t>一警六员</w:t>
      </w:r>
      <w:r>
        <w:rPr>
          <w:rFonts w:ascii="Times New Roman" w:hAnsi="Times New Roman" w:eastAsia="仿宋_GB2312"/>
          <w:sz w:val="32"/>
          <w:szCs w:val="32"/>
        </w:rPr>
        <w:t>”</w:t>
      </w:r>
      <w:r>
        <w:rPr>
          <w:rFonts w:ascii="仿宋_GB2312" w:hAnsi="Times New Roman" w:eastAsia="仿宋_GB2312"/>
          <w:sz w:val="32"/>
          <w:szCs w:val="32"/>
        </w:rPr>
        <w:t>实操实训，企业管理人员现场轮训、应急演练等工作，广泛开展安全宣传教育活动</w:t>
      </w:r>
      <w:r>
        <w:rPr>
          <w:rFonts w:hint="eastAsia" w:ascii="仿宋_GB2312" w:eastAsia="仿宋_GB2312"/>
          <w:sz w:val="32"/>
          <w:szCs w:val="32"/>
          <w:lang w:eastAsia="zh-CN"/>
        </w:rPr>
        <w:t>，</w:t>
      </w:r>
      <w:r>
        <w:rPr>
          <w:rFonts w:hint="eastAsia" w:ascii="仿宋_GB2312" w:eastAsia="仿宋_GB2312"/>
          <w:sz w:val="32"/>
          <w:szCs w:val="32"/>
          <w:lang w:val="en-US" w:eastAsia="zh-CN"/>
        </w:rPr>
        <w:t>同时</w:t>
      </w:r>
      <w:r>
        <w:rPr>
          <w:rFonts w:hint="eastAsia" w:ascii="仿宋_GB2312" w:hAnsi="Times New Roman" w:eastAsia="仿宋_GB2312"/>
          <w:sz w:val="32"/>
          <w:szCs w:val="32"/>
        </w:rPr>
        <w:t>开展内部安全技能培训和大练兵工作，提高街道内部人员隐患辨识能力，加大检查覆盖频次，提高检查效果，每周量化各科室、各社区检查数据，并提报工委会和主任办公会通报</w:t>
      </w:r>
      <w:r>
        <w:rPr>
          <w:rFonts w:hint="eastAsia" w:ascii="仿宋_GB2312" w:eastAsia="仿宋_GB2312"/>
          <w:sz w:val="32"/>
          <w:szCs w:val="32"/>
          <w:lang w:val="en-US" w:eastAsia="zh-CN"/>
        </w:rPr>
        <w:t>等。</w:t>
      </w:r>
    </w:p>
    <w:p>
      <w:pPr>
        <w:spacing w:line="560" w:lineRule="exact"/>
        <w:ind w:firstLine="608" w:firstLineChars="190"/>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事故单位</w:t>
      </w:r>
      <w:r>
        <w:rPr>
          <w:rFonts w:hint="default" w:ascii="仿宋_GB2312" w:eastAsia="仿宋_GB2312"/>
          <w:sz w:val="32"/>
          <w:szCs w:val="32"/>
          <w:lang w:val="en-US" w:eastAsia="zh-CN"/>
        </w:rPr>
        <w:t>按照《事故调查报告》中要求，</w:t>
      </w:r>
      <w:r>
        <w:rPr>
          <w:rFonts w:hint="eastAsia" w:ascii="仿宋_GB2312" w:eastAsia="仿宋_GB2312"/>
          <w:sz w:val="32"/>
          <w:szCs w:val="32"/>
          <w:lang w:val="en-US" w:eastAsia="zh-CN"/>
        </w:rPr>
        <w:t>推进了安全生产规章制度有效落实，在作业资质审查、施工项目管理、特种作业、配电室安全等重点工作方面加大监管、检查力度，重视企业各级人员安全教育培训工作，同时继续加强对一线施工人员的安全教育培训，提升专业知识储备和岗位操作技能，建立完善企业考核评价机制，加强了外包项目的安全管理，推动承租单位安全生产工作落深落细；属地履行了安全监管责任，通过融合力量，细分责任，加大了隐患排查力度等，</w:t>
      </w:r>
      <w:r>
        <w:rPr>
          <w:rFonts w:hint="default" w:ascii="仿宋_GB2312" w:eastAsia="仿宋_GB2312"/>
          <w:sz w:val="32"/>
          <w:szCs w:val="32"/>
          <w:lang w:val="en-US" w:eastAsia="zh-CN"/>
        </w:rPr>
        <w:t>落实了事故整改措施。</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08" w:firstLineChars="190"/>
        <w:rPr>
          <w:rFonts w:hint="eastAsia" w:ascii="仿宋_GB2312" w:hAnsi="Calibri" w:eastAsia="仿宋_GB2312"/>
          <w:sz w:val="32"/>
          <w:szCs w:val="32"/>
          <w:lang w:val="en-US" w:eastAsia="zh-CN"/>
        </w:rPr>
      </w:pPr>
      <w:r>
        <w:rPr>
          <w:rFonts w:hint="eastAsia" w:ascii="仿宋_GB2312" w:hAnsi="Calibri" w:eastAsia="仿宋_GB2312"/>
          <w:sz w:val="32"/>
          <w:szCs w:val="32"/>
        </w:rPr>
        <w:t>经核实，事故地点——建外CBD万达广场B1层盒马鲜生X会员店</w:t>
      </w:r>
      <w:r>
        <w:rPr>
          <w:rFonts w:hint="eastAsia" w:ascii="仿宋_GB2312" w:hAnsi="Calibri" w:eastAsia="仿宋_GB2312"/>
          <w:sz w:val="32"/>
          <w:szCs w:val="32"/>
          <w:lang w:val="en-US" w:eastAsia="zh-CN"/>
        </w:rPr>
        <w:t>已完成拆除工作，已更换其他生产经营单位正常运营，</w:t>
      </w:r>
      <w:r>
        <w:rPr>
          <w:rFonts w:hint="eastAsia" w:ascii="仿宋_GB2312" w:hAnsi="Calibri" w:eastAsia="仿宋_GB2312"/>
          <w:sz w:val="32"/>
          <w:szCs w:val="32"/>
          <w:lang w:eastAsia="zh-CN"/>
        </w:rPr>
        <w:t>北京盒马网络科技有限公司建国路分公司（以下简称“盒马建国路分公司”）</w:t>
      </w:r>
      <w:r>
        <w:rPr>
          <w:rFonts w:hint="eastAsia" w:ascii="仿宋_GB2312" w:hAnsi="Calibri" w:eastAsia="仿宋_GB2312"/>
          <w:sz w:val="32"/>
          <w:szCs w:val="32"/>
          <w:lang w:val="en-US" w:eastAsia="zh-CN"/>
        </w:rPr>
        <w:t>已注销，因此，评估组抽选盒马公司广顺北大街店查看现状安全管理情况。</w:t>
      </w:r>
    </w:p>
    <w:p>
      <w:pPr>
        <w:spacing w:line="560" w:lineRule="exact"/>
        <w:ind w:firstLine="608" w:firstLineChars="190"/>
        <w:rPr>
          <w:rFonts w:hint="eastAsia" w:ascii="仿宋_GB2312" w:hAnsi="Calibri" w:eastAsia="仿宋_GB2312"/>
          <w:sz w:val="32"/>
          <w:szCs w:val="32"/>
          <w:lang w:eastAsia="zh-CN"/>
        </w:rPr>
      </w:pPr>
      <w:r>
        <w:rPr>
          <w:rFonts w:hint="eastAsia" w:ascii="仿宋_GB2312" w:hAnsi="Calibri" w:eastAsia="仿宋_GB2312"/>
          <w:sz w:val="32"/>
          <w:szCs w:val="32"/>
        </w:rPr>
        <w:t>盒马公司提供了安全生产责任制、安全生产管理机构、安全生产规章、安全操作规程、事故隐患内部举报奖励制度、生产安全事故应急预案、相关方安全协议、劳动防护用品发放记录、安全资金投入计划、年度安全投入资金使用情况记录表、隐患排查记录表、安全例会会议记录等文件</w:t>
      </w:r>
      <w:r>
        <w:rPr>
          <w:rFonts w:hint="eastAsia" w:ascii="仿宋_GB2312" w:hAnsi="Calibri" w:eastAsia="仿宋_GB2312"/>
          <w:sz w:val="32"/>
          <w:szCs w:val="32"/>
          <w:lang w:eastAsia="zh-CN"/>
        </w:rPr>
        <w:t>。</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rPr>
        <w:t>北京万达时代公司在现状安全管理工作中针对外包外租单位做到了强化审批工作，加强现场动态管控，以及定期对现有管理机制、流程的漏洞进行诊断，从而补充相关内容，以及对现有安全保证措施清单进行</w:t>
      </w:r>
      <w:r>
        <w:rPr>
          <w:rFonts w:hint="eastAsia" w:ascii="仿宋_GB2312" w:hAnsi="Calibri" w:eastAsia="仿宋_GB2312"/>
          <w:sz w:val="32"/>
          <w:szCs w:val="32"/>
          <w:lang w:eastAsia="zh-CN"/>
        </w:rPr>
        <w:t>梳理</w:t>
      </w:r>
      <w:r>
        <w:rPr>
          <w:rFonts w:hint="eastAsia" w:ascii="仿宋_GB2312" w:hAnsi="Calibri" w:eastAsia="仿宋_GB2312"/>
          <w:sz w:val="32"/>
          <w:szCs w:val="32"/>
        </w:rPr>
        <w:t>，改进关键措施等。</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rPr>
        <w:t>综上，根据</w:t>
      </w:r>
      <w:r>
        <w:rPr>
          <w:rFonts w:hint="eastAsia" w:ascii="仿宋_GB2312" w:hAnsi="Calibri" w:eastAsia="仿宋_GB2312"/>
          <w:sz w:val="32"/>
          <w:szCs w:val="32"/>
          <w:lang w:val="en-US" w:eastAsia="zh-CN"/>
        </w:rPr>
        <w:t>盒马公司、</w:t>
      </w:r>
      <w:r>
        <w:rPr>
          <w:rFonts w:hint="eastAsia" w:ascii="仿宋_GB2312" w:hAnsi="Calibri" w:eastAsia="仿宋_GB2312"/>
          <w:sz w:val="32"/>
          <w:szCs w:val="32"/>
        </w:rPr>
        <w:t>北京万达时代公司提供的事故发生后的</w:t>
      </w:r>
      <w:r>
        <w:rPr>
          <w:rFonts w:hint="eastAsia" w:ascii="仿宋_GB2312" w:hAnsi="Calibri" w:eastAsia="仿宋_GB2312"/>
          <w:sz w:val="32"/>
          <w:szCs w:val="32"/>
          <w:lang w:val="en-US" w:eastAsia="zh-CN"/>
        </w:rPr>
        <w:t>安全工作</w:t>
      </w:r>
      <w:r>
        <w:rPr>
          <w:rFonts w:hint="eastAsia" w:ascii="仿宋_GB2312" w:hAnsi="Calibri" w:eastAsia="仿宋_GB2312"/>
          <w:sz w:val="32"/>
          <w:szCs w:val="32"/>
        </w:rPr>
        <w:t>相关资料，基本可以证明</w:t>
      </w:r>
      <w:r>
        <w:rPr>
          <w:rFonts w:hint="eastAsia" w:ascii="仿宋_GB2312" w:hAnsi="Calibri" w:eastAsia="仿宋_GB2312"/>
          <w:sz w:val="32"/>
          <w:szCs w:val="32"/>
          <w:lang w:val="en-US" w:eastAsia="zh-CN"/>
        </w:rPr>
        <w:t>上述</w:t>
      </w:r>
      <w:r>
        <w:rPr>
          <w:rFonts w:hint="eastAsia" w:ascii="仿宋_GB2312" w:hAnsi="Calibri" w:eastAsia="仿宋_GB2312"/>
          <w:sz w:val="32"/>
          <w:szCs w:val="32"/>
        </w:rPr>
        <w:t>单位安全管理现状符合《事故调查报告》中的要求</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但还应继续完善部分专项安全工作，具体见《</w:t>
      </w:r>
      <w:r>
        <w:rPr>
          <w:rFonts w:hint="eastAsia" w:ascii="仿宋_GB2312" w:hAnsi="Calibri" w:eastAsia="仿宋_GB2312"/>
          <w:sz w:val="32"/>
          <w:szCs w:val="32"/>
        </w:rPr>
        <w:t>专项评估报告</w:t>
      </w:r>
      <w:r>
        <w:rPr>
          <w:rFonts w:hint="eastAsia" w:ascii="仿宋_GB2312" w:hAnsi="Calibri" w:eastAsia="仿宋_GB2312"/>
          <w:sz w:val="32"/>
          <w:szCs w:val="32"/>
          <w:lang w:val="en-US" w:eastAsia="zh-CN"/>
        </w:rPr>
        <w:t>》</w:t>
      </w:r>
      <w:r>
        <w:rPr>
          <w:rFonts w:hint="eastAsia" w:ascii="仿宋_GB2312" w:hAnsi="Calibri" w:eastAsia="仿宋_GB2312"/>
          <w:sz w:val="32"/>
          <w:szCs w:val="32"/>
        </w:rPr>
        <w:t>。</w:t>
      </w:r>
    </w:p>
    <w:p>
      <w:pPr>
        <w:spacing w:line="560" w:lineRule="exact"/>
        <w:ind w:firstLine="608" w:firstLineChars="190"/>
        <w:rPr>
          <w:rFonts w:hint="eastAsia" w:ascii="仿宋_GB2312" w:hAnsi="Calibri" w:eastAsia="仿宋_GB2312"/>
          <w:sz w:val="32"/>
          <w:szCs w:val="32"/>
          <w:lang w:val="en-US" w:eastAsia="zh-CN"/>
        </w:rPr>
      </w:pPr>
      <w:r>
        <w:rPr>
          <w:rFonts w:hint="eastAsia" w:ascii="仿宋_GB2312" w:hAnsi="Calibri" w:eastAsia="仿宋_GB2312"/>
          <w:sz w:val="32"/>
          <w:szCs w:val="32"/>
          <w:lang w:val="en-US" w:eastAsia="zh-CN"/>
        </w:rPr>
        <w:t>漳浦堡磊公司因其经营情况，主要在福建省漳浦县从事废品回收工作，公司表示现状临时用电规范有序，未发现任何安全隐患；管理制度全面执行，作业审批、安全交底、现场监护等流程规范到位，未发生一起违规作业行为；作业人员全部通过专项培训考核，熟练掌握电气安全操作规范和应急救援技能；安全巡查、隐患排查形成常态化机制，累计开展隐患排查12次，整改隐患36项，整改完成率100%；一年来，作业及日常运营中未发生任何触电、火灾等安全事故，安全生产形势稳定向好。</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施工人员违章作业，有关</w:t>
      </w:r>
      <w:r>
        <w:rPr>
          <w:rFonts w:hint="eastAsia" w:ascii="仿宋_GB2312" w:hAnsi="Calibri" w:eastAsia="仿宋_GB2312"/>
          <w:sz w:val="32"/>
          <w:szCs w:val="32"/>
        </w:rPr>
        <w:t>单位</w:t>
      </w:r>
      <w:r>
        <w:rPr>
          <w:rFonts w:hint="eastAsia" w:ascii="仿宋_GB2312" w:hAnsi="Calibri" w:eastAsia="仿宋_GB2312"/>
          <w:sz w:val="32"/>
          <w:szCs w:val="32"/>
          <w:lang w:val="en-US" w:eastAsia="zh-CN"/>
        </w:rPr>
        <w:t>违规发包，未</w:t>
      </w:r>
      <w:r>
        <w:rPr>
          <w:rFonts w:hint="eastAsia" w:ascii="仿宋_GB2312" w:hAnsi="Calibri" w:eastAsia="仿宋_GB2312"/>
          <w:sz w:val="32"/>
          <w:szCs w:val="32"/>
        </w:rPr>
        <w:t>及时发现并消除违章作业的事故隐患</w:t>
      </w:r>
      <w:r>
        <w:rPr>
          <w:rFonts w:hint="eastAsia" w:ascii="仿宋_GB2312" w:hAnsi="Calibri" w:eastAsia="仿宋_GB2312"/>
          <w:sz w:val="32"/>
          <w:szCs w:val="32"/>
          <w:lang w:val="en-US" w:eastAsia="zh-CN"/>
        </w:rPr>
        <w:t>等。</w:t>
      </w:r>
      <w:r>
        <w:rPr>
          <w:rFonts w:hint="eastAsia" w:ascii="仿宋_GB2312" w:hAnsi="Calibri" w:eastAsia="仿宋_GB2312"/>
          <w:sz w:val="32"/>
          <w:szCs w:val="32"/>
        </w:rPr>
        <w:t>具体问题和工作建议如下：</w:t>
      </w:r>
    </w:p>
    <w:p>
      <w:pPr>
        <w:snapToGrid w:val="0"/>
        <w:spacing w:line="600" w:lineRule="exact"/>
        <w:ind w:firstLine="643" w:firstLineChars="200"/>
        <w:rPr>
          <w:rFonts w:hint="default" w:ascii="黑体" w:hAnsi="黑体" w:eastAsia="仿宋_GB2312"/>
          <w:sz w:val="32"/>
          <w:szCs w:val="32"/>
          <w:lang w:val="en-US" w:eastAsia="zh-CN"/>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w:t>
      </w:r>
      <w:r>
        <w:rPr>
          <w:rFonts w:hint="eastAsia" w:ascii="仿宋_GB2312" w:hAnsi="Calibri" w:eastAsia="仿宋_GB2312"/>
          <w:sz w:val="32"/>
          <w:szCs w:val="32"/>
          <w:lang w:val="en-US" w:eastAsia="zh-CN"/>
        </w:rPr>
        <w:t>又是一起因无资质人员未佩戴劳动防护用品，违章作业，甲方发包单位未严格审核外包单位资质且又对作业现场管理不到位等典型问题，最终导致事故发生的一起典型拆除工程安全事故。</w:t>
      </w:r>
    </w:p>
    <w:p>
      <w:pPr>
        <w:spacing w:line="560" w:lineRule="exact"/>
        <w:ind w:firstLine="643"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b/>
          <w:bCs/>
          <w:sz w:val="32"/>
          <w:szCs w:val="32"/>
        </w:rPr>
        <w:t>建议：</w:t>
      </w:r>
      <w:r>
        <w:rPr>
          <w:rFonts w:hint="eastAsia" w:ascii="仿宋_GB2312" w:hAnsi="Calibri" w:eastAsia="仿宋_GB2312"/>
          <w:sz w:val="32"/>
          <w:szCs w:val="32"/>
          <w:lang w:val="en-US" w:eastAsia="zh-CN"/>
        </w:rPr>
        <w:t>拆除工程必须遵照《建设工程安全生产管理条例》《建筑拆除工程安全技术规范》等相关法律法规的要求开展实施。建设单位须履行“第一责任人”法定职责，发包给具备相应资质的单位，保障安全投入，并在施工前向所在属地、住建部门办理拆除工程备案，依法委托监理并对监理履职情况进行检查，开工前与施工单位、监理单位签订“安全生产管理协议”，明确三方安全边界；施工单位在拆除作业过程中应针对结构、配电柜、高处屋架、女儿墙等高风险作业环节制定安全操作规程，同时对现场作业人员做好安全交底，并安排人员现场监护；属地及行业部门应针对拆除工程做好项目备案、现场作业时的监督检查，确保工程作业合法合规、安全有序。</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highlight w:val="none"/>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eastAsia="zh-CN"/>
        </w:rPr>
        <w:t>朝阳建外漳浦堡磊再生资源回收有限公司“6·10”一般触电事故</w:t>
      </w:r>
      <w:r>
        <w:rPr>
          <w:rFonts w:hint="eastAsia" w:ascii="仿宋_GB2312" w:hAnsi="Calibri" w:eastAsia="仿宋_GB2312"/>
          <w:sz w:val="32"/>
          <w:szCs w:val="32"/>
        </w:rPr>
        <w:t>责任追究和防范整改措施落实情况进行评估后认定：区应急管理局已依法落实了</w:t>
      </w:r>
      <w:r>
        <w:rPr>
          <w:rFonts w:hint="eastAsia" w:ascii="仿宋_GB2312" w:hAnsi="Calibri" w:eastAsia="仿宋_GB2312"/>
          <w:sz w:val="32"/>
          <w:szCs w:val="32"/>
          <w:lang w:eastAsia="zh-CN"/>
        </w:rPr>
        <w:t>盒马建国路分公司</w:t>
      </w:r>
      <w:r>
        <w:rPr>
          <w:rFonts w:hint="eastAsia" w:ascii="仿宋_GB2312" w:hAnsi="Calibri" w:eastAsia="仿宋_GB2312"/>
          <w:sz w:val="32"/>
          <w:szCs w:val="32"/>
          <w:lang w:val="en-US" w:eastAsia="zh-CN"/>
        </w:rPr>
        <w:t>和</w:t>
      </w:r>
      <w:r>
        <w:rPr>
          <w:rFonts w:hint="eastAsia" w:ascii="仿宋_GB2312" w:hAnsi="Calibri" w:eastAsia="仿宋_GB2312"/>
          <w:sz w:val="32"/>
          <w:szCs w:val="32"/>
          <w:lang w:eastAsia="zh-CN"/>
        </w:rPr>
        <w:t>漳浦堡磊公司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w:t>
      </w:r>
      <w:r>
        <w:rPr>
          <w:rFonts w:hint="eastAsia" w:ascii="仿宋_GB2312" w:hAnsi="宋体" w:eastAsia="仿宋_GB2312" w:cs="MingLiU"/>
          <w:sz w:val="32"/>
          <w:szCs w:val="32"/>
          <w:highlight w:val="none"/>
        </w:rPr>
        <w:t>行政处罚</w:t>
      </w:r>
      <w:r>
        <w:rPr>
          <w:rFonts w:hint="eastAsia" w:ascii="仿宋_GB2312" w:hAnsi="宋体" w:eastAsia="仿宋_GB2312" w:cs="MingLiU"/>
          <w:sz w:val="32"/>
          <w:szCs w:val="32"/>
          <w:highlight w:val="none"/>
          <w:lang w:eastAsia="zh-CN"/>
        </w:rPr>
        <w:t>。</w:t>
      </w:r>
      <w:r>
        <w:rPr>
          <w:rFonts w:hint="eastAsia" w:ascii="仿宋_GB2312" w:hAnsi="Calibri" w:eastAsia="仿宋_GB2312"/>
          <w:sz w:val="32"/>
          <w:szCs w:val="32"/>
          <w:highlight w:val="none"/>
          <w:lang w:eastAsia="zh-CN"/>
        </w:rPr>
        <w:t>盒马公司</w:t>
      </w:r>
      <w:r>
        <w:rPr>
          <w:rFonts w:hint="eastAsia" w:ascii="仿宋_GB2312" w:hAnsi="Calibri" w:eastAsia="仿宋_GB2312"/>
          <w:sz w:val="32"/>
          <w:szCs w:val="32"/>
          <w:highlight w:val="none"/>
          <w:lang w:val="en-US" w:eastAsia="zh-CN"/>
        </w:rPr>
        <w:t>和</w:t>
      </w:r>
      <w:r>
        <w:rPr>
          <w:rFonts w:hint="eastAsia" w:ascii="仿宋_GB2312" w:hAnsi="Calibri" w:eastAsia="仿宋_GB2312"/>
          <w:sz w:val="32"/>
          <w:szCs w:val="32"/>
          <w:highlight w:val="none"/>
          <w:lang w:eastAsia="zh-CN"/>
        </w:rPr>
        <w:t>北京万达时代公司</w:t>
      </w:r>
      <w:r>
        <w:rPr>
          <w:rFonts w:hint="eastAsia" w:ascii="仿宋_GB2312" w:hAnsi="宋体" w:eastAsia="仿宋_GB2312" w:cs="MingLiU"/>
          <w:sz w:val="32"/>
          <w:szCs w:val="32"/>
          <w:highlight w:val="none"/>
        </w:rPr>
        <w:t>已基本落实了事故整改和防范措施</w:t>
      </w:r>
      <w:r>
        <w:rPr>
          <w:rFonts w:hint="eastAsia" w:ascii="仿宋_GB2312" w:hAnsi="宋体" w:eastAsia="仿宋_GB2312" w:cs="MingLiU"/>
          <w:sz w:val="32"/>
          <w:szCs w:val="32"/>
          <w:highlight w:val="none"/>
          <w:lang w:eastAsia="zh-CN"/>
        </w:rPr>
        <w:t>，</w:t>
      </w:r>
      <w:r>
        <w:rPr>
          <w:rFonts w:hint="eastAsia" w:ascii="仿宋_GB2312" w:hAnsi="Calibri" w:eastAsia="仿宋_GB2312"/>
          <w:sz w:val="32"/>
          <w:szCs w:val="32"/>
          <w:highlight w:val="none"/>
        </w:rPr>
        <w:t>安全</w:t>
      </w:r>
      <w:r>
        <w:rPr>
          <w:rFonts w:hint="eastAsia" w:ascii="仿宋_GB2312" w:hAnsi="Calibri" w:eastAsia="仿宋_GB2312"/>
          <w:sz w:val="32"/>
          <w:szCs w:val="32"/>
          <w:highlight w:val="none"/>
          <w:lang w:val="en-US" w:eastAsia="zh-CN"/>
        </w:rPr>
        <w:t>管理</w:t>
      </w:r>
      <w:r>
        <w:rPr>
          <w:rFonts w:hint="eastAsia" w:ascii="仿宋_GB2312" w:hAnsi="Calibri" w:eastAsia="仿宋_GB2312"/>
          <w:sz w:val="32"/>
          <w:szCs w:val="32"/>
          <w:highlight w:val="none"/>
        </w:rPr>
        <w:t>现状基本符合《事故调查报告》中的要求。</w:t>
      </w: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pStyle w:val="9"/>
        <w:rPr>
          <w:rFonts w:hint="eastAsia" w:ascii="仿宋_GB2312" w:hAnsi="Calibri" w:eastAsia="仿宋_GB2312"/>
          <w:sz w:val="32"/>
          <w:szCs w:val="32"/>
          <w:highlight w:val="none"/>
        </w:rPr>
      </w:pPr>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191135</wp:posOffset>
                </wp:positionH>
                <wp:positionV relativeFrom="paragraph">
                  <wp:posOffset>190500</wp:posOffset>
                </wp:positionV>
                <wp:extent cx="5292090" cy="1905"/>
                <wp:effectExtent l="0" t="0" r="0" b="0"/>
                <wp:wrapNone/>
                <wp:docPr id="16" name="直线 8"/>
                <wp:cNvGraphicFramePr/>
                <a:graphic xmlns:a="http://schemas.openxmlformats.org/drawingml/2006/main">
                  <a:graphicData uri="http://schemas.microsoft.com/office/word/2010/wordprocessingShape">
                    <wps:wsp>
                      <wps:cNvCnPr/>
                      <wps:spPr>
                        <a:xfrm>
                          <a:off x="0" y="0"/>
                          <a:ext cx="5292090"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05pt;margin-top:15pt;height:0.15pt;width:416.7pt;z-index:251665408;mso-width-relative:page;mso-height-relative:page;" filled="f" stroked="t" coordsize="21600,21600" o:gfxdata="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6WuLXAAAACAEAAA8AAAAAAAAAAQAgAAAA&#10;IgAAAGRycy9kb3ducmV2LnhtbFBLAQIUABQAAAAIAIdO4kAYL2gb0wEAAKADAAAOAAAAAAAAAAEA&#10;IAAAACYBAABkcnMvZTJvRG9jLnhtbFBLBQYAAAAABgAGAFkBAABrBQ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highlight w:val="none"/>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184785</wp:posOffset>
                </wp:positionH>
                <wp:positionV relativeFrom="paragraph">
                  <wp:posOffset>236855</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55pt;margin-top:18.65pt;height:0.25pt;width:416.75pt;z-index:251666432;mso-width-relative:page;mso-height-relative:page;" filled="f" stroked="t" coordsize="21600,21600" o:gfxdata="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hAEA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bookmarkStart w:id="0" w:name="_GoBack"/>
      <w:bookmarkEnd w:id="0"/>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8D3979"/>
    <w:rsid w:val="069A0BAE"/>
    <w:rsid w:val="06D70D0B"/>
    <w:rsid w:val="06EA2014"/>
    <w:rsid w:val="07C42731"/>
    <w:rsid w:val="07D50A82"/>
    <w:rsid w:val="08020673"/>
    <w:rsid w:val="08024860"/>
    <w:rsid w:val="080B3CCE"/>
    <w:rsid w:val="083E2DCC"/>
    <w:rsid w:val="09395132"/>
    <w:rsid w:val="093966C8"/>
    <w:rsid w:val="09F5360E"/>
    <w:rsid w:val="0A875662"/>
    <w:rsid w:val="0C580AA0"/>
    <w:rsid w:val="0C932615"/>
    <w:rsid w:val="0CC33E27"/>
    <w:rsid w:val="0CCD5D88"/>
    <w:rsid w:val="0D4E25C8"/>
    <w:rsid w:val="0DF10C0F"/>
    <w:rsid w:val="0E901BFC"/>
    <w:rsid w:val="0FDA3BDD"/>
    <w:rsid w:val="11C47306"/>
    <w:rsid w:val="120A7EEE"/>
    <w:rsid w:val="12761364"/>
    <w:rsid w:val="12C30C0A"/>
    <w:rsid w:val="12CB3273"/>
    <w:rsid w:val="13F11728"/>
    <w:rsid w:val="14D97A25"/>
    <w:rsid w:val="152E7E9C"/>
    <w:rsid w:val="157D4F44"/>
    <w:rsid w:val="15C131C8"/>
    <w:rsid w:val="161517B0"/>
    <w:rsid w:val="161C3B02"/>
    <w:rsid w:val="16967D49"/>
    <w:rsid w:val="16A93786"/>
    <w:rsid w:val="176C5189"/>
    <w:rsid w:val="180C4747"/>
    <w:rsid w:val="182D226A"/>
    <w:rsid w:val="1ACBD757"/>
    <w:rsid w:val="1D011855"/>
    <w:rsid w:val="1D2B6712"/>
    <w:rsid w:val="1E824AD7"/>
    <w:rsid w:val="1E853909"/>
    <w:rsid w:val="1FC07808"/>
    <w:rsid w:val="1FD14E87"/>
    <w:rsid w:val="20BE7FB3"/>
    <w:rsid w:val="217B50A8"/>
    <w:rsid w:val="22BA5686"/>
    <w:rsid w:val="231A7848"/>
    <w:rsid w:val="24357E42"/>
    <w:rsid w:val="244C11AC"/>
    <w:rsid w:val="24AE4950"/>
    <w:rsid w:val="27167CA1"/>
    <w:rsid w:val="275C02AB"/>
    <w:rsid w:val="2B1B1727"/>
    <w:rsid w:val="2DED1171"/>
    <w:rsid w:val="2F4632F5"/>
    <w:rsid w:val="2F6F6CA3"/>
    <w:rsid w:val="2F926FA6"/>
    <w:rsid w:val="3008327B"/>
    <w:rsid w:val="30DF783E"/>
    <w:rsid w:val="318E3C61"/>
    <w:rsid w:val="32B815D2"/>
    <w:rsid w:val="33BE464F"/>
    <w:rsid w:val="34981E4A"/>
    <w:rsid w:val="3772388E"/>
    <w:rsid w:val="37B11C6E"/>
    <w:rsid w:val="38153DAB"/>
    <w:rsid w:val="38655C6B"/>
    <w:rsid w:val="38663E78"/>
    <w:rsid w:val="3AF54945"/>
    <w:rsid w:val="3C1910A3"/>
    <w:rsid w:val="3CF823AB"/>
    <w:rsid w:val="3DAA7D83"/>
    <w:rsid w:val="3DFB2670"/>
    <w:rsid w:val="3E403614"/>
    <w:rsid w:val="3E6F7CF1"/>
    <w:rsid w:val="425C4736"/>
    <w:rsid w:val="428325B0"/>
    <w:rsid w:val="43EB6D64"/>
    <w:rsid w:val="44834057"/>
    <w:rsid w:val="448B68F7"/>
    <w:rsid w:val="4539487A"/>
    <w:rsid w:val="45C956D9"/>
    <w:rsid w:val="47416E57"/>
    <w:rsid w:val="477D5248"/>
    <w:rsid w:val="4C674964"/>
    <w:rsid w:val="4CA656E0"/>
    <w:rsid w:val="4EDF405A"/>
    <w:rsid w:val="4EF10877"/>
    <w:rsid w:val="4F0D5D3B"/>
    <w:rsid w:val="5091017C"/>
    <w:rsid w:val="51AF2D32"/>
    <w:rsid w:val="51D41B82"/>
    <w:rsid w:val="53CA1D77"/>
    <w:rsid w:val="56725555"/>
    <w:rsid w:val="577529AD"/>
    <w:rsid w:val="579F29EE"/>
    <w:rsid w:val="57E1517B"/>
    <w:rsid w:val="587C1944"/>
    <w:rsid w:val="587D3EE8"/>
    <w:rsid w:val="597102E2"/>
    <w:rsid w:val="5A5A64AE"/>
    <w:rsid w:val="5AD50D90"/>
    <w:rsid w:val="5B591312"/>
    <w:rsid w:val="5CCB7BDF"/>
    <w:rsid w:val="5E7728A4"/>
    <w:rsid w:val="5EE83548"/>
    <w:rsid w:val="61907509"/>
    <w:rsid w:val="6261568E"/>
    <w:rsid w:val="659624A5"/>
    <w:rsid w:val="65DE54CC"/>
    <w:rsid w:val="66F11A0F"/>
    <w:rsid w:val="67334E8F"/>
    <w:rsid w:val="67CA67ED"/>
    <w:rsid w:val="68FD27D1"/>
    <w:rsid w:val="6903299E"/>
    <w:rsid w:val="6A014B30"/>
    <w:rsid w:val="6C532847"/>
    <w:rsid w:val="6D686754"/>
    <w:rsid w:val="6D762F8A"/>
    <w:rsid w:val="6DCE1342"/>
    <w:rsid w:val="6F930565"/>
    <w:rsid w:val="6FDD0513"/>
    <w:rsid w:val="70153A16"/>
    <w:rsid w:val="70635B32"/>
    <w:rsid w:val="706978A3"/>
    <w:rsid w:val="70C55809"/>
    <w:rsid w:val="71482BF2"/>
    <w:rsid w:val="71E90846"/>
    <w:rsid w:val="73E16E08"/>
    <w:rsid w:val="73E33DD2"/>
    <w:rsid w:val="740E252B"/>
    <w:rsid w:val="74404E3F"/>
    <w:rsid w:val="74BA6EDD"/>
    <w:rsid w:val="74EF7D79"/>
    <w:rsid w:val="75F57250"/>
    <w:rsid w:val="76362243"/>
    <w:rsid w:val="79255E1C"/>
    <w:rsid w:val="798E173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annotation subject"/>
    <w:basedOn w:val="5"/>
    <w:next w:val="5"/>
    <w:link w:val="27"/>
    <w:unhideWhenUsed/>
    <w:qFormat/>
    <w:uiPriority w:val="99"/>
    <w:rPr>
      <w:b/>
      <w:bCs/>
    </w:rPr>
  </w:style>
  <w:style w:type="paragraph" w:styleId="5">
    <w:name w:val="annotation text"/>
    <w:basedOn w:val="1"/>
    <w:link w:val="26"/>
    <w:unhideWhenUsed/>
    <w:qFormat/>
    <w:uiPriority w:val="99"/>
    <w:pPr>
      <w:jc w:val="left"/>
    </w:pPr>
  </w:style>
  <w:style w:type="paragraph" w:styleId="6">
    <w:name w:val="toa heading"/>
    <w:basedOn w:val="1"/>
    <w:next w:val="1"/>
    <w:unhideWhenUsed/>
    <w:qFormat/>
    <w:uiPriority w:val="99"/>
    <w:pPr>
      <w:spacing w:before="120"/>
    </w:pPr>
    <w:rPr>
      <w:rFonts w:ascii="等线 Light" w:hAnsi="等线 Light"/>
    </w:rPr>
  </w:style>
  <w:style w:type="paragraph" w:styleId="7">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宋体"/>
    </w:rPr>
  </w:style>
  <w:style w:type="paragraph" w:styleId="10">
    <w:name w:val="Date"/>
    <w:basedOn w:val="1"/>
    <w:next w:val="1"/>
    <w:link w:val="22"/>
    <w:semiHidden/>
    <w:qFormat/>
    <w:uiPriority w:val="99"/>
    <w:pPr>
      <w:ind w:left="100" w:leftChars="2500"/>
    </w:pPr>
  </w:style>
  <w:style w:type="paragraph" w:styleId="11">
    <w:name w:val="Balloon Text"/>
    <w:basedOn w:val="1"/>
    <w:link w:val="28"/>
    <w:unhideWhenUsed/>
    <w:qFormat/>
    <w:uiPriority w:val="99"/>
    <w:rPr>
      <w:sz w:val="18"/>
      <w:szCs w:val="18"/>
    </w:rPr>
  </w:style>
  <w:style w:type="paragraph" w:styleId="12">
    <w:name w:val="footer"/>
    <w:basedOn w:val="1"/>
    <w:link w:val="21"/>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2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6">
    <w:name w:val="page number"/>
    <w:basedOn w:val="15"/>
    <w:qFormat/>
    <w:uiPriority w:val="99"/>
    <w:rPr>
      <w:rFonts w:cs="Times New Roman"/>
    </w:rPr>
  </w:style>
  <w:style w:type="character" w:styleId="17">
    <w:name w:val="annotation reference"/>
    <w:basedOn w:val="15"/>
    <w:unhideWhenUsed/>
    <w:qFormat/>
    <w:uiPriority w:val="99"/>
    <w:rPr>
      <w:sz w:val="21"/>
      <w:szCs w:val="21"/>
    </w:rPr>
  </w:style>
  <w:style w:type="paragraph" w:customStyle="1" w:styleId="19">
    <w:name w:val="List Paragraph"/>
    <w:basedOn w:val="1"/>
    <w:qFormat/>
    <w:uiPriority w:val="99"/>
    <w:pPr>
      <w:ind w:firstLine="420" w:firstLineChars="200"/>
    </w:pPr>
    <w:rPr>
      <w:rFonts w:ascii="Calibri" w:hAnsi="Calibri"/>
      <w:szCs w:val="22"/>
    </w:rPr>
  </w:style>
  <w:style w:type="character" w:customStyle="1" w:styleId="20">
    <w:name w:val="页眉 字符"/>
    <w:basedOn w:val="15"/>
    <w:link w:val="13"/>
    <w:qFormat/>
    <w:locked/>
    <w:uiPriority w:val="99"/>
    <w:rPr>
      <w:rFonts w:cs="Times New Roman"/>
      <w:sz w:val="18"/>
      <w:szCs w:val="18"/>
    </w:rPr>
  </w:style>
  <w:style w:type="character" w:customStyle="1" w:styleId="21">
    <w:name w:val="页脚 字符"/>
    <w:basedOn w:val="15"/>
    <w:link w:val="12"/>
    <w:qFormat/>
    <w:locked/>
    <w:uiPriority w:val="99"/>
    <w:rPr>
      <w:rFonts w:cs="Times New Roman"/>
      <w:sz w:val="18"/>
      <w:szCs w:val="18"/>
    </w:rPr>
  </w:style>
  <w:style w:type="character" w:customStyle="1" w:styleId="22">
    <w:name w:val="日期 字符"/>
    <w:basedOn w:val="15"/>
    <w:link w:val="10"/>
    <w:semiHidden/>
    <w:qFormat/>
    <w:locked/>
    <w:uiPriority w:val="99"/>
    <w:rPr>
      <w:rFonts w:ascii="Times New Roman" w:hAnsi="Times New Roman" w:eastAsia="宋体" w:cs="Times New Roman"/>
      <w:sz w:val="24"/>
      <w:szCs w:val="24"/>
    </w:rPr>
  </w:style>
  <w:style w:type="character" w:customStyle="1" w:styleId="23">
    <w:name w:val="font11"/>
    <w:basedOn w:val="15"/>
    <w:qFormat/>
    <w:uiPriority w:val="99"/>
    <w:rPr>
      <w:rFonts w:ascii="仿宋_GB2312" w:eastAsia="仿宋_GB2312" w:cs="Times New Roman"/>
      <w:sz w:val="24"/>
      <w:szCs w:val="24"/>
    </w:rPr>
  </w:style>
  <w:style w:type="character" w:customStyle="1" w:styleId="24">
    <w:name w:val="Char Char3"/>
    <w:qFormat/>
    <w:uiPriority w:val="99"/>
    <w:rPr>
      <w:kern w:val="2"/>
      <w:sz w:val="18"/>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批注文字 字符"/>
    <w:basedOn w:val="15"/>
    <w:link w:val="5"/>
    <w:qFormat/>
    <w:uiPriority w:val="99"/>
    <w:rPr>
      <w:kern w:val="2"/>
      <w:sz w:val="21"/>
      <w:szCs w:val="24"/>
    </w:rPr>
  </w:style>
  <w:style w:type="character" w:customStyle="1" w:styleId="27">
    <w:name w:val="批注主题 字符"/>
    <w:basedOn w:val="26"/>
    <w:link w:val="4"/>
    <w:semiHidden/>
    <w:qFormat/>
    <w:uiPriority w:val="99"/>
    <w:rPr>
      <w:b/>
      <w:bCs/>
      <w:kern w:val="2"/>
      <w:sz w:val="21"/>
      <w:szCs w:val="24"/>
    </w:rPr>
  </w:style>
  <w:style w:type="character" w:customStyle="1" w:styleId="28">
    <w:name w:val="批注框文本 字符"/>
    <w:basedOn w:val="15"/>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00faf0b8-9771-4f8b-81bb-b297646ffd17</errorID>
      <errorWord>强</errorWord>
      <group>L1_Word</group>
      <groupName>字词问题</groupName>
      <ability>L2_Typo</ability>
      <abilityName>字词错误</abilityName>
      <candidateList>
        <item>强对</item>
      </candidateList>
      <explain/>
      <paraID>2921F46C</paraID>
      <start>29</start>
      <end>30</end>
      <status>unmodified</status>
      <modifiedWord/>
      <trackRevisions>false</trackRevisions>
    </reviewItem>
    <reviewItem>
      <errorID>b8eb3f8f-8c26-488d-818f-b52b44f9f565</errorID>
      <errorWord>提高</errorWord>
      <group>L1_Word</group>
      <groupName>字词问题</groupName>
      <ability>L2_Typo</ability>
      <abilityName>字词错误</abilityName>
      <candidateList>
        <item>增强</item>
      </candidateList>
      <explain>“提高～意识”搭配不当，建议修改为“增强～意识”。</explain>
      <paraID> 6B4C751</paraID>
      <start>59</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74911-9361-422f-8c9b-e6ac7ef3177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13</Pages>
  <Words>6129</Words>
  <Characters>6190</Characters>
  <Lines>27</Lines>
  <Paragraphs>7</Paragraphs>
  <TotalTime>0</TotalTime>
  <ScaleCrop>false</ScaleCrop>
  <LinksUpToDate>false</LinksUpToDate>
  <CharactersWithSpaces>6190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2026-01-07T02:40:47Z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