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华文中宋"/>
          <w:bCs/>
          <w:sz w:val="36"/>
          <w:szCs w:val="44"/>
        </w:rPr>
      </w:pPr>
    </w:p>
    <w:p>
      <w:pPr>
        <w:jc w:val="center"/>
        <w:rPr>
          <w:rFonts w:ascii="宋体" w:hAnsi="宋体" w:eastAsia="宋体" w:cs="宋体"/>
          <w:b/>
          <w:sz w:val="36"/>
          <w:szCs w:val="44"/>
        </w:rPr>
      </w:pPr>
      <w:r>
        <w:rPr>
          <w:rFonts w:hint="eastAsia" w:ascii="Arial" w:hAnsi="Arial" w:eastAsia="宋体" w:cs="Arial"/>
          <w:b/>
          <w:sz w:val="36"/>
          <w:szCs w:val="44"/>
          <w:lang w:val="en-US" w:eastAsia="zh-CN"/>
        </w:rPr>
        <w:t>北京市朝阳区</w:t>
      </w:r>
      <w:r>
        <w:rPr>
          <w:rFonts w:hint="eastAsia" w:ascii="Arial" w:hAnsi="Arial" w:eastAsia="宋体" w:cs="Arial"/>
          <w:b/>
          <w:sz w:val="36"/>
          <w:szCs w:val="44"/>
          <w:lang w:val="en-US" w:eastAsia="zh-Hans"/>
        </w:rPr>
        <w:t>知识产权运营服务体系建设</w:t>
      </w:r>
      <w:r>
        <w:rPr>
          <w:rFonts w:hint="eastAsia" w:ascii="宋体" w:hAnsi="宋体" w:eastAsia="宋体" w:cs="宋体"/>
          <w:b/>
          <w:sz w:val="36"/>
          <w:szCs w:val="44"/>
        </w:rPr>
        <w:t>转移支付</w:t>
      </w:r>
      <w:r>
        <w:rPr>
          <w:rFonts w:hint="eastAsia" w:ascii="Arial" w:hAnsi="Arial" w:eastAsia="宋体" w:cs="Arial"/>
          <w:b/>
          <w:sz w:val="36"/>
          <w:szCs w:val="44"/>
        </w:rPr>
        <w:t>20</w:t>
      </w:r>
      <w:r>
        <w:rPr>
          <w:rFonts w:hint="eastAsia" w:ascii="Arial" w:hAnsi="Arial" w:eastAsia="宋体" w:cs="Arial"/>
          <w:b/>
          <w:sz w:val="36"/>
          <w:szCs w:val="44"/>
          <w:lang w:val="en-US" w:eastAsia="zh-CN"/>
        </w:rPr>
        <w:t>20</w:t>
      </w:r>
      <w:r>
        <w:rPr>
          <w:rFonts w:hint="eastAsia" w:ascii="宋体" w:hAnsi="宋体" w:eastAsia="宋体" w:cs="宋体"/>
          <w:b/>
          <w:sz w:val="36"/>
          <w:szCs w:val="44"/>
        </w:rPr>
        <w:t>年度绩效自评报告</w:t>
      </w:r>
    </w:p>
    <w:p>
      <w:pPr>
        <w:rPr>
          <w:rFonts w:hint="eastAsia" w:ascii="黑体" w:hAnsi="黑体" w:eastAsia="黑体" w:cs="黑体"/>
          <w:bCs/>
          <w:szCs w:val="32"/>
        </w:rPr>
      </w:pPr>
    </w:p>
    <w:p>
      <w:pPr>
        <w:ind w:firstLine="600" w:firstLineChars="200"/>
        <w:rPr>
          <w:rFonts w:hint="default" w:ascii="黑体" w:hAnsi="黑体" w:eastAsia="黑体" w:cs="黑体"/>
          <w:bCs/>
          <w:szCs w:val="32"/>
          <w:lang w:val="en-US" w:eastAsia="zh-CN"/>
        </w:rPr>
      </w:pPr>
      <w:r>
        <w:rPr>
          <w:rFonts w:hint="eastAsia" w:ascii="仿宋_GB2312"/>
          <w:szCs w:val="32"/>
          <w:lang w:val="en-US" w:eastAsia="zh-CN"/>
        </w:rPr>
        <w:t>根据《财政部关于开展2020年度中央对地方转移支付预算执行情况绩效自评工作的通知》财监【2021】2号的要求，我局进行了自评工作，汇报如下：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ascii="黑体" w:hAnsi="黑体" w:eastAsia="黑体" w:cs="黑体"/>
          <w:bCs/>
          <w:szCs w:val="32"/>
        </w:rPr>
      </w:pPr>
      <w:r>
        <w:rPr>
          <w:rFonts w:hint="eastAsia" w:ascii="黑体" w:hAnsi="黑体" w:eastAsia="黑体" w:cs="黑体"/>
          <w:bCs/>
          <w:szCs w:val="32"/>
        </w:rPr>
        <w:t>一、绩效目标分解下达情况</w:t>
      </w:r>
    </w:p>
    <w:p>
      <w:pPr>
        <w:ind w:firstLine="600" w:firstLineChars="200"/>
        <w:outlineLvl w:val="0"/>
        <w:rPr>
          <w:rFonts w:hint="eastAsia" w:ascii="仿宋_GB2312"/>
          <w:szCs w:val="32"/>
          <w:highlight w:val="none"/>
          <w:lang w:eastAsia="zh-Hans"/>
        </w:rPr>
      </w:pPr>
      <w:r>
        <w:rPr>
          <w:rFonts w:hint="eastAsia" w:ascii="仿宋_GB2312"/>
          <w:szCs w:val="32"/>
        </w:rPr>
        <w:t>根据《国家知识产权局办公室关于 2020年重点城市知识产权运营服务体系建设工作的通知》(国知办函运字〔2020〕448号)，北京市朝阳区被确定为2020年知识产权运营服务体系建设重点城市。</w:t>
      </w:r>
      <w:r>
        <w:rPr>
          <w:rFonts w:hint="eastAsia" w:ascii="仿宋_GB2312"/>
          <w:szCs w:val="32"/>
          <w:highlight w:val="none"/>
          <w:lang w:val="en-US" w:eastAsia="zh-Hans"/>
        </w:rPr>
        <w:t>根据</w:t>
      </w:r>
      <w:r>
        <w:rPr>
          <w:rFonts w:hint="eastAsia" w:ascii="仿宋_GB2312"/>
          <w:szCs w:val="32"/>
          <w:highlight w:val="none"/>
          <w:lang w:eastAsia="zh-Hans"/>
        </w:rPr>
        <w:t>财政部办公厅、国家知识产权局办公室《关于做好2020年知识产权运营服务体系建设工作的通知》（财办建〔2020〕40号）</w:t>
      </w:r>
      <w:r>
        <w:rPr>
          <w:rFonts w:hint="eastAsia" w:ascii="仿宋_GB2312"/>
          <w:szCs w:val="32"/>
          <w:highlight w:val="none"/>
          <w:lang w:val="en-US" w:eastAsia="zh-Hans"/>
        </w:rPr>
        <w:t>的要求</w:t>
      </w:r>
      <w:r>
        <w:rPr>
          <w:rFonts w:hint="eastAsia" w:ascii="仿宋_GB2312"/>
          <w:szCs w:val="32"/>
          <w:highlight w:val="none"/>
          <w:lang w:eastAsia="zh-Hans"/>
        </w:rPr>
        <w:t>，中央财政对每个城市支持1.5亿元，其中2020年拨付1亿元。</w:t>
      </w:r>
    </w:p>
    <w:p>
      <w:pPr>
        <w:ind w:firstLine="601" w:firstLineChars="200"/>
        <w:outlineLvl w:val="0"/>
        <w:rPr>
          <w:rFonts w:hint="eastAsia" w:ascii="楷体_GB2312" w:hAnsi="楷体_GB2312" w:eastAsia="楷体_GB2312" w:cs="楷体_GB2312"/>
          <w:b/>
          <w:bCs/>
          <w:szCs w:val="32"/>
          <w:lang w:eastAsia="zh-Hans"/>
        </w:rPr>
      </w:pPr>
      <w:r>
        <w:rPr>
          <w:rFonts w:hint="default" w:ascii="楷体_GB2312" w:hAnsi="楷体_GB2312" w:eastAsia="楷体_GB2312" w:cs="楷体_GB2312"/>
          <w:b/>
          <w:bCs/>
          <w:szCs w:val="32"/>
          <w:lang w:eastAsia="zh-Hans"/>
        </w:rPr>
        <w:t>（</w:t>
      </w:r>
      <w:r>
        <w:rPr>
          <w:rFonts w:hint="eastAsia" w:ascii="楷体_GB2312" w:hAnsi="楷体_GB2312" w:eastAsia="楷体_GB2312" w:cs="楷体_GB2312"/>
          <w:b/>
          <w:bCs/>
          <w:szCs w:val="32"/>
          <w:lang w:val="en-US" w:eastAsia="zh-Hans"/>
        </w:rPr>
        <w:t>一</w:t>
      </w:r>
      <w:r>
        <w:rPr>
          <w:rFonts w:hint="default" w:ascii="楷体_GB2312" w:hAnsi="楷体_GB2312" w:eastAsia="楷体_GB2312" w:cs="楷体_GB2312"/>
          <w:b/>
          <w:bCs/>
          <w:szCs w:val="32"/>
          <w:lang w:eastAsia="zh-Hans"/>
        </w:rPr>
        <w:t>）</w:t>
      </w:r>
      <w:r>
        <w:rPr>
          <w:rFonts w:hint="eastAsia" w:ascii="黑体" w:hAnsi="黑体" w:eastAsia="黑体" w:cs="黑体"/>
          <w:bCs/>
          <w:szCs w:val="32"/>
          <w:lang w:val="en-US" w:eastAsia="zh-CN"/>
        </w:rPr>
        <w:t>2020-2023年</w:t>
      </w:r>
      <w:r>
        <w:rPr>
          <w:rFonts w:hint="eastAsia" w:ascii="楷体_GB2312" w:hAnsi="楷体_GB2312" w:eastAsia="楷体_GB2312" w:cs="楷体_GB2312"/>
          <w:b/>
          <w:bCs/>
          <w:szCs w:val="32"/>
          <w:lang w:val="en-US" w:eastAsia="zh-Hans"/>
        </w:rPr>
        <w:t>国家知识产权局指标</w:t>
      </w:r>
    </w:p>
    <w:p>
      <w:pPr>
        <w:keepNext w:val="0"/>
        <w:keepLines w:val="0"/>
        <w:pageBreakBefore w:val="0"/>
        <w:shd w:val="clear"/>
        <w:kinsoku/>
        <w:wordWrap/>
        <w:overflowPunct/>
        <w:topLinePunct w:val="0"/>
        <w:autoSpaceDE/>
        <w:autoSpaceDN/>
        <w:bidi w:val="0"/>
        <w:spacing w:line="580" w:lineRule="exact"/>
        <w:ind w:firstLine="640" w:firstLineChars="200"/>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Hans"/>
        </w:rPr>
        <w:t>根据</w:t>
      </w:r>
      <w:r>
        <w:rPr>
          <w:rFonts w:hint="default" w:ascii="仿宋_GB2312" w:hAnsi="仿宋_GB2312" w:eastAsia="仿宋_GB2312" w:cs="仿宋_GB2312"/>
          <w:color w:val="auto"/>
          <w:sz w:val="32"/>
          <w:szCs w:val="32"/>
          <w:highlight w:val="none"/>
          <w:shd w:val="clear" w:color="auto" w:fill="auto"/>
          <w:lang w:eastAsia="zh-Hans"/>
        </w:rPr>
        <w:t>财政部办公厅、国家知识产权局办公室《关于做好2020年知识产权运营服务体系建设工作的通知》（财办建〔2020〕40号）</w:t>
      </w:r>
      <w:r>
        <w:rPr>
          <w:rFonts w:hint="eastAsia" w:ascii="仿宋_GB2312" w:hAnsi="仿宋_GB2312" w:eastAsia="仿宋_GB2312" w:cs="仿宋_GB2312"/>
          <w:color w:val="auto"/>
          <w:sz w:val="32"/>
          <w:szCs w:val="32"/>
          <w:highlight w:val="none"/>
          <w:shd w:val="clear" w:color="auto" w:fill="auto"/>
          <w:lang w:val="en-US" w:eastAsia="zh-Hans"/>
        </w:rPr>
        <w:t>要求</w:t>
      </w:r>
      <w:r>
        <w:rPr>
          <w:rFonts w:hint="default" w:ascii="仿宋_GB2312" w:hAnsi="仿宋_GB2312" w:eastAsia="仿宋_GB2312" w:cs="仿宋_GB2312"/>
          <w:color w:val="auto"/>
          <w:sz w:val="32"/>
          <w:szCs w:val="32"/>
          <w:highlight w:val="none"/>
          <w:shd w:val="clear" w:color="auto" w:fill="auto"/>
          <w:lang w:eastAsia="zh-Hans"/>
        </w:rPr>
        <w:t>，</w:t>
      </w:r>
      <w:r>
        <w:rPr>
          <w:rFonts w:hint="eastAsia" w:ascii="仿宋_GB2312" w:hAnsi="仿宋_GB2312" w:eastAsia="仿宋_GB2312" w:cs="仿宋_GB2312"/>
          <w:color w:val="auto"/>
          <w:sz w:val="32"/>
          <w:szCs w:val="32"/>
          <w:highlight w:val="none"/>
          <w:shd w:val="clear" w:color="auto" w:fill="auto"/>
        </w:rPr>
        <w:t>经过三年的时间，在重点城市构建起规范化、市场化的知识产权运营服务体系，建立健全知识产权运用促进的制度规范，促进知识产权市场价值充分实现，支撑区域经济高质量发展。重点城市要结合自身实际，在下列指标基础上，合理测算设定量化指标。</w:t>
      </w:r>
    </w:p>
    <w:p>
      <w:pPr>
        <w:keepNext w:val="0"/>
        <w:keepLines w:val="0"/>
        <w:pageBreakBefore w:val="0"/>
        <w:shd w:val="clear"/>
        <w:kinsoku/>
        <w:wordWrap/>
        <w:overflowPunct/>
        <w:topLinePunct w:val="0"/>
        <w:autoSpaceDE/>
        <w:autoSpaceDN/>
        <w:bidi w:val="0"/>
        <w:spacing w:line="580" w:lineRule="exact"/>
        <w:ind w:firstLine="640" w:firstLineChars="200"/>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知识产权转让、许可数量年均增幅20%以上；知识产权质押融资金额和项目数年均增幅30%以上；专利技术合同成交额年均增幅40％以上；支持100家以上中小企业成功转化高校院所专利技术；推动发行知识产权证券化产品1单以上，促进高价值专利组合融资。</w:t>
      </w:r>
    </w:p>
    <w:p>
      <w:pPr>
        <w:keepNext w:val="0"/>
        <w:keepLines w:val="0"/>
        <w:pageBreakBefore w:val="0"/>
        <w:shd w:val="clear"/>
        <w:kinsoku/>
        <w:wordWrap/>
        <w:overflowPunct/>
        <w:topLinePunct w:val="0"/>
        <w:autoSpaceDE/>
        <w:autoSpaceDN/>
        <w:bidi w:val="0"/>
        <w:spacing w:line="580" w:lineRule="exact"/>
        <w:ind w:firstLine="640" w:firstLineChars="200"/>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——专利密集型产业增加值和实施地理标志运用促进工程的地理标志产品产值显著提升；实施产业类专利导航示范项目5个以上；打造若干特色鲜明、竞争力强、市场信誉好的区域商标品牌。</w:t>
      </w:r>
    </w:p>
    <w:p>
      <w:pPr>
        <w:keepNext w:val="0"/>
        <w:keepLines w:val="0"/>
        <w:pageBreakBefore w:val="0"/>
        <w:shd w:val="clear"/>
        <w:kinsoku/>
        <w:wordWrap/>
        <w:overflowPunct/>
        <w:topLinePunct w:val="0"/>
        <w:autoSpaceDE/>
        <w:autoSpaceDN/>
        <w:bidi w:val="0"/>
        <w:spacing w:line="580" w:lineRule="exact"/>
        <w:ind w:firstLine="640" w:firstLineChars="200"/>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200家以上创新能力较强、知识产权基础较好的企业、高等学校、科研院所通过知识产权管理规范贯标认证；支持国家知识产权试点示范高校建设；专业知识产权托管服务累计覆盖中小企业1000家以上；市场主体商标布局和品牌培育水平显著提升。</w:t>
      </w:r>
    </w:p>
    <w:p>
      <w:pPr>
        <w:keepNext w:val="0"/>
        <w:keepLines w:val="0"/>
        <w:pageBreakBefore w:val="0"/>
        <w:shd w:val="clear"/>
        <w:kinsoku/>
        <w:wordWrap/>
        <w:overflowPunct/>
        <w:topLinePunct w:val="0"/>
        <w:autoSpaceDE/>
        <w:autoSpaceDN/>
        <w:bidi w:val="0"/>
        <w:spacing w:line="580" w:lineRule="exact"/>
        <w:ind w:firstLine="640" w:firstLineChars="200"/>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高水平建设知识产权服务业集聚区，建设1家区域性知识产权运营服务平台，培育3家以上产业知识产权运营中心，扶持一批专业化、市场化、复合型的知识产权服务机构；知识产权服务行业监管全面加强（与协会工作结合，建立信用档案，开发管理系统，放在第四点的集聚区中），知识产权服务区域和产业发展能力显著提升。</w:t>
      </w:r>
    </w:p>
    <w:p>
      <w:pPr>
        <w:ind w:firstLine="601" w:firstLineChars="200"/>
        <w:outlineLvl w:val="0"/>
        <w:rPr>
          <w:rFonts w:hint="eastAsia" w:ascii="楷体_GB2312" w:hAnsi="楷体_GB2312" w:eastAsia="楷体_GB2312" w:cs="楷体_GB2312"/>
          <w:b/>
          <w:bCs/>
          <w:szCs w:val="32"/>
        </w:rPr>
      </w:pPr>
      <w:r>
        <w:rPr>
          <w:rFonts w:hint="default" w:ascii="楷体_GB2312" w:hAnsi="楷体_GB2312" w:eastAsia="楷体_GB2312" w:cs="楷体_GB2312"/>
          <w:b/>
          <w:bCs/>
          <w:szCs w:val="32"/>
        </w:rPr>
        <w:t>（</w:t>
      </w:r>
      <w:r>
        <w:rPr>
          <w:rFonts w:hint="eastAsia" w:ascii="楷体_GB2312" w:hAnsi="楷体_GB2312" w:eastAsia="楷体_GB2312" w:cs="楷体_GB2312"/>
          <w:b/>
          <w:bCs/>
          <w:szCs w:val="32"/>
          <w:lang w:val="en-US" w:eastAsia="zh-Hans"/>
        </w:rPr>
        <w:t>二</w:t>
      </w:r>
      <w:r>
        <w:rPr>
          <w:rFonts w:hint="default" w:ascii="楷体_GB2312" w:hAnsi="楷体_GB2312" w:eastAsia="楷体_GB2312" w:cs="楷体_GB2312"/>
          <w:b/>
          <w:bCs/>
          <w:szCs w:val="32"/>
        </w:rPr>
        <w:t>）</w:t>
      </w:r>
      <w:r>
        <w:rPr>
          <w:rFonts w:hint="eastAsia" w:ascii="黑体" w:hAnsi="黑体" w:eastAsia="黑体" w:cs="黑体"/>
          <w:bCs/>
          <w:szCs w:val="32"/>
          <w:lang w:val="en-US" w:eastAsia="zh-CN"/>
        </w:rPr>
        <w:t>2020-2023年</w:t>
      </w:r>
      <w:r>
        <w:rPr>
          <w:rFonts w:hint="eastAsia" w:ascii="楷体_GB2312" w:hAnsi="楷体_GB2312" w:eastAsia="楷体_GB2312" w:cs="楷体_GB2312"/>
          <w:b/>
          <w:bCs/>
          <w:szCs w:val="32"/>
          <w:lang w:val="en-US" w:eastAsia="zh-Hans"/>
        </w:rPr>
        <w:t>朝阳区量化指标</w:t>
      </w:r>
    </w:p>
    <w:p>
      <w:pPr>
        <w:keepNext w:val="0"/>
        <w:keepLines w:val="0"/>
        <w:pageBreakBefore w:val="0"/>
        <w:shd w:val="clear"/>
        <w:kinsoku/>
        <w:wordWrap/>
        <w:overflowPunct/>
        <w:topLinePunct w:val="0"/>
        <w:autoSpaceDE/>
        <w:autoSpaceDN/>
        <w:bidi w:val="0"/>
        <w:spacing w:line="580" w:lineRule="exact"/>
        <w:ind w:firstLine="640" w:firstLineChars="200"/>
        <w:outlineLvl w:val="9"/>
        <w:rPr>
          <w:rFonts w:hint="default" w:ascii="仿宋_GB2312" w:hAnsi="仿宋_GB2312" w:eastAsia="仿宋_GB2312" w:cs="仿宋_GB2312"/>
          <w:color w:val="auto"/>
          <w:sz w:val="32"/>
          <w:szCs w:val="32"/>
          <w:highlight w:val="none"/>
          <w:shd w:val="clear" w:color="auto" w:fill="auto"/>
          <w:lang w:eastAsia="zh-Hans"/>
        </w:rPr>
      </w:pPr>
      <w:r>
        <w:rPr>
          <w:rFonts w:hint="eastAsia" w:ascii="仿宋_GB2312" w:hAnsi="仿宋_GB2312" w:eastAsia="仿宋_GB2312" w:cs="仿宋_GB2312"/>
          <w:color w:val="auto"/>
          <w:sz w:val="32"/>
          <w:szCs w:val="32"/>
          <w:highlight w:val="none"/>
          <w:shd w:val="clear" w:color="auto" w:fill="auto"/>
          <w:lang w:val="en-US" w:eastAsia="zh-Hans"/>
        </w:rPr>
        <w:t>我局结合朝阳区实际发展情况</w:t>
      </w:r>
      <w:r>
        <w:rPr>
          <w:rFonts w:hint="default" w:ascii="仿宋_GB2312" w:hAnsi="仿宋_GB2312" w:eastAsia="仿宋_GB2312" w:cs="仿宋_GB2312"/>
          <w:color w:val="auto"/>
          <w:sz w:val="32"/>
          <w:szCs w:val="32"/>
          <w:highlight w:val="none"/>
          <w:shd w:val="clear" w:color="auto" w:fill="auto"/>
          <w:lang w:eastAsia="zh-Hans"/>
        </w:rPr>
        <w:t>，</w:t>
      </w:r>
      <w:r>
        <w:rPr>
          <w:rFonts w:hint="eastAsia" w:ascii="仿宋_GB2312" w:hAnsi="仿宋_GB2312" w:eastAsia="仿宋_GB2312" w:cs="仿宋_GB2312"/>
          <w:color w:val="auto"/>
          <w:sz w:val="32"/>
          <w:szCs w:val="32"/>
          <w:highlight w:val="none"/>
          <w:shd w:val="clear" w:color="auto" w:fill="auto"/>
          <w:lang w:val="en-US" w:eastAsia="zh-Hans"/>
        </w:rPr>
        <w:t>对绩效指标进一步量化</w:t>
      </w:r>
      <w:r>
        <w:rPr>
          <w:rFonts w:hint="default" w:ascii="仿宋_GB2312" w:hAnsi="仿宋_GB2312" w:eastAsia="仿宋_GB2312" w:cs="仿宋_GB2312"/>
          <w:color w:val="auto"/>
          <w:sz w:val="32"/>
          <w:szCs w:val="32"/>
          <w:highlight w:val="none"/>
          <w:shd w:val="clear" w:color="auto" w:fill="auto"/>
          <w:lang w:eastAsia="zh-Hans"/>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4820"/>
        <w:gridCol w:w="12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jc w:val="center"/>
        </w:trPr>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spacing w:line="580" w:lineRule="exact"/>
              <w:ind w:left="-90" w:leftChars="-30" w:right="-90" w:rightChars="-30"/>
              <w:jc w:val="center"/>
              <w:outlineLvl w:val="9"/>
              <w:rPr>
                <w:rFonts w:ascii="黑体" w:hAnsi="黑体" w:eastAsia="黑体" w:cs="Times New Roman"/>
                <w:color w:val="auto"/>
                <w:sz w:val="24"/>
                <w:szCs w:val="24"/>
                <w:highlight w:val="none"/>
                <w:shd w:val="clear" w:color="auto" w:fill="auto"/>
              </w:rPr>
            </w:pPr>
            <w:r>
              <w:rPr>
                <w:rFonts w:ascii="黑体" w:hAnsi="黑体" w:eastAsia="黑体" w:cs="Times New Roman"/>
                <w:color w:val="auto"/>
                <w:sz w:val="24"/>
                <w:szCs w:val="24"/>
                <w:highlight w:val="none"/>
                <w:shd w:val="clear" w:color="auto" w:fill="auto"/>
              </w:rPr>
              <w:t>序号</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spacing w:line="580" w:lineRule="exact"/>
              <w:ind w:left="-30" w:leftChars="-10" w:right="-30" w:rightChars="-10"/>
              <w:jc w:val="center"/>
              <w:outlineLvl w:val="9"/>
              <w:rPr>
                <w:rFonts w:ascii="黑体" w:hAnsi="黑体" w:eastAsia="黑体" w:cs="Times New Roman"/>
                <w:color w:val="auto"/>
                <w:sz w:val="24"/>
                <w:szCs w:val="24"/>
                <w:highlight w:val="none"/>
                <w:shd w:val="clear" w:color="auto" w:fill="auto"/>
              </w:rPr>
            </w:pPr>
            <w:r>
              <w:rPr>
                <w:rFonts w:ascii="黑体" w:hAnsi="黑体" w:eastAsia="黑体" w:cs="Times New Roman"/>
                <w:color w:val="auto"/>
                <w:sz w:val="24"/>
                <w:szCs w:val="24"/>
                <w:highlight w:val="none"/>
                <w:shd w:val="clear" w:color="auto" w:fill="auto"/>
              </w:rPr>
              <w:t>指标名称</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spacing w:line="580" w:lineRule="exact"/>
              <w:ind w:left="-90" w:leftChars="-30" w:right="-90" w:rightChars="-30"/>
              <w:jc w:val="center"/>
              <w:outlineLvl w:val="9"/>
              <w:rPr>
                <w:rFonts w:ascii="黑体" w:hAnsi="黑体" w:eastAsia="黑体" w:cs="Times New Roman"/>
                <w:color w:val="auto"/>
                <w:sz w:val="24"/>
                <w:szCs w:val="24"/>
                <w:highlight w:val="none"/>
                <w:shd w:val="clear" w:color="auto" w:fill="auto"/>
              </w:rPr>
            </w:pPr>
            <w:r>
              <w:rPr>
                <w:rFonts w:hint="eastAsia" w:ascii="黑体" w:hAnsi="黑体" w:eastAsia="黑体" w:cs="Times New Roman"/>
                <w:color w:val="auto"/>
                <w:sz w:val="24"/>
                <w:szCs w:val="24"/>
                <w:highlight w:val="none"/>
                <w:shd w:val="clear" w:color="auto" w:fill="auto"/>
              </w:rPr>
              <w:t>国家局  绩效</w:t>
            </w:r>
            <w:r>
              <w:rPr>
                <w:rFonts w:ascii="黑体" w:hAnsi="黑体" w:eastAsia="黑体" w:cs="Times New Roman"/>
                <w:color w:val="auto"/>
                <w:sz w:val="24"/>
                <w:szCs w:val="24"/>
                <w:highlight w:val="none"/>
                <w:shd w:val="clear" w:color="auto" w:fill="auto"/>
              </w:rPr>
              <w:t>要求</w:t>
            </w:r>
          </w:p>
        </w:tc>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hd w:val="clear"/>
              <w:kinsoku/>
              <w:wordWrap/>
              <w:overflowPunct/>
              <w:topLinePunct w:val="0"/>
              <w:autoSpaceDE/>
              <w:autoSpaceDN/>
              <w:bidi w:val="0"/>
              <w:spacing w:line="580" w:lineRule="exact"/>
              <w:ind w:left="-90" w:leftChars="-30" w:right="-90" w:rightChars="-30"/>
              <w:jc w:val="center"/>
              <w:outlineLvl w:val="9"/>
              <w:rPr>
                <w:rFonts w:ascii="黑体" w:hAnsi="黑体" w:eastAsia="黑体" w:cs="Times New Roman"/>
                <w:color w:val="auto"/>
                <w:sz w:val="24"/>
                <w:szCs w:val="24"/>
                <w:highlight w:val="none"/>
                <w:shd w:val="clear" w:color="auto" w:fill="auto"/>
              </w:rPr>
            </w:pPr>
            <w:r>
              <w:rPr>
                <w:rFonts w:ascii="黑体" w:hAnsi="黑体" w:eastAsia="黑体" w:cs="Times New Roman"/>
                <w:color w:val="auto"/>
                <w:sz w:val="24"/>
                <w:szCs w:val="24"/>
                <w:highlight w:val="none"/>
                <w:shd w:val="clear" w:color="auto" w:fill="auto"/>
              </w:rPr>
              <w:t>朝阳区</w:t>
            </w:r>
          </w:p>
          <w:p>
            <w:pPr>
              <w:keepNext w:val="0"/>
              <w:keepLines w:val="0"/>
              <w:pageBreakBefore w:val="0"/>
              <w:shd w:val="clear"/>
              <w:kinsoku/>
              <w:wordWrap/>
              <w:overflowPunct/>
              <w:topLinePunct w:val="0"/>
              <w:autoSpaceDE/>
              <w:autoSpaceDN/>
              <w:bidi w:val="0"/>
              <w:spacing w:line="580" w:lineRule="exact"/>
              <w:ind w:left="-90" w:leftChars="-30" w:right="-90" w:rightChars="-30"/>
              <w:jc w:val="center"/>
              <w:outlineLvl w:val="9"/>
              <w:rPr>
                <w:rFonts w:ascii="黑体" w:hAnsi="黑体" w:eastAsia="黑体" w:cs="Times New Roman"/>
                <w:color w:val="auto"/>
                <w:sz w:val="24"/>
                <w:szCs w:val="24"/>
                <w:highlight w:val="none"/>
                <w:shd w:val="clear" w:color="auto" w:fill="auto"/>
              </w:rPr>
            </w:pPr>
            <w:r>
              <w:rPr>
                <w:rFonts w:ascii="黑体" w:hAnsi="黑体" w:eastAsia="黑体" w:cs="Times New Roman"/>
                <w:color w:val="auto"/>
                <w:sz w:val="24"/>
                <w:szCs w:val="24"/>
                <w:highlight w:val="none"/>
                <w:shd w:val="clear" w:color="auto" w:fill="auto"/>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1</w:t>
            </w: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知识产权转让、许可数量年均增幅</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20%</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2</w:t>
            </w: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知识产权质押融资金额和项目数年均增幅</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30%</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3</w:t>
            </w: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专利技术合同成交额年均增幅</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40%</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4</w:t>
            </w: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支持中小企业成功转化高校院所专利技术</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100家</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150家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5</w:t>
            </w: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推动发行知识产权证券化产品</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1单</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1单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6</w:t>
            </w: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设立朝阳区重点产业知识产权运营基金</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7</w:t>
            </w: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实施产业专利导航示范项目</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5个</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8</w:t>
            </w: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建设品牌集群度和产业集中度较高的商标品牌基地</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9</w:t>
            </w: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培育发展优质特色区域性品牌</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10</w:t>
            </w: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通过“贯标”认证企业、高校、科研院所数量</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200家</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200家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11</w:t>
            </w: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支持国家知识产权试点示范高校建设</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12</w:t>
            </w: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知识产权托管服务累计覆盖中小企业数量</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1000家</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1500家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13</w:t>
            </w: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建设区域性知识产权运营服务平台</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1家</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14</w:t>
            </w: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建设产业知识产权运营中心</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3家</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15</w:t>
            </w:r>
          </w:p>
        </w:tc>
        <w:tc>
          <w:tcPr>
            <w:tcW w:w="4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知识产权人才培养及专业培训</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w:t>
            </w:r>
          </w:p>
        </w:tc>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spacing w:line="580" w:lineRule="exact"/>
              <w:jc w:val="center"/>
              <w:textAlignment w:val="center"/>
              <w:outlineLvl w:val="9"/>
              <w:rPr>
                <w:rFonts w:ascii="仿宋_GB2312" w:hAnsi="Times New Roman" w:eastAsia="仿宋_GB2312" w:cs="Times New Roman"/>
                <w:color w:val="auto"/>
                <w:kern w:val="0"/>
                <w:sz w:val="22"/>
                <w:highlight w:val="none"/>
                <w:shd w:val="clear" w:color="auto" w:fill="auto"/>
              </w:rPr>
            </w:pPr>
            <w:r>
              <w:rPr>
                <w:rFonts w:hint="eastAsia" w:ascii="仿宋_GB2312" w:hAnsi="Times New Roman" w:eastAsia="仿宋_GB2312" w:cs="Times New Roman"/>
                <w:color w:val="auto"/>
                <w:kern w:val="0"/>
                <w:sz w:val="22"/>
                <w:highlight w:val="none"/>
                <w:shd w:val="clear" w:color="auto" w:fill="auto"/>
              </w:rPr>
              <w:t>5000家</w:t>
            </w:r>
          </w:p>
        </w:tc>
      </w:tr>
    </w:tbl>
    <w:p>
      <w:pPr>
        <w:keepNext w:val="0"/>
        <w:keepLines w:val="0"/>
        <w:pageBreakBefore w:val="0"/>
        <w:shd w:val="clear"/>
        <w:kinsoku/>
        <w:wordWrap/>
        <w:overflowPunct/>
        <w:topLinePunct w:val="0"/>
        <w:autoSpaceDE/>
        <w:autoSpaceDN/>
        <w:bidi w:val="0"/>
        <w:spacing w:line="580" w:lineRule="exact"/>
        <w:outlineLvl w:val="9"/>
        <w:rPr>
          <w:rFonts w:hint="default" w:ascii="仿宋_GB2312" w:hAnsi="仿宋_GB2312" w:eastAsia="仿宋_GB2312" w:cs="仿宋_GB2312"/>
          <w:color w:val="auto"/>
          <w:sz w:val="32"/>
          <w:szCs w:val="32"/>
          <w:highlight w:val="none"/>
          <w:shd w:val="clear" w:color="auto" w:fill="auto"/>
          <w:lang w:eastAsia="zh-Hans"/>
        </w:rPr>
      </w:pPr>
    </w:p>
    <w:p>
      <w:pPr>
        <w:ind w:firstLine="601" w:firstLineChars="200"/>
        <w:outlineLvl w:val="0"/>
        <w:rPr>
          <w:rFonts w:hint="eastAsia" w:ascii="楷体_GB2312" w:hAnsi="楷体_GB2312" w:eastAsia="楷体_GB2312" w:cs="楷体_GB2312"/>
          <w:b/>
          <w:bCs/>
          <w:szCs w:val="32"/>
          <w:lang w:eastAsia="zh-Hans"/>
        </w:rPr>
      </w:pPr>
      <w:r>
        <w:rPr>
          <w:rFonts w:hint="default" w:ascii="楷体_GB2312" w:hAnsi="楷体_GB2312" w:eastAsia="楷体_GB2312" w:cs="楷体_GB2312"/>
          <w:b/>
          <w:bCs/>
          <w:szCs w:val="32"/>
          <w:lang w:eastAsia="zh-Hans"/>
        </w:rPr>
        <w:t>（</w:t>
      </w:r>
      <w:r>
        <w:rPr>
          <w:rFonts w:hint="eastAsia" w:ascii="楷体_GB2312" w:hAnsi="楷体_GB2312" w:eastAsia="楷体_GB2312" w:cs="楷体_GB2312"/>
          <w:b/>
          <w:bCs/>
          <w:szCs w:val="32"/>
          <w:lang w:val="en-US" w:eastAsia="zh-Hans"/>
        </w:rPr>
        <w:t>三</w:t>
      </w:r>
      <w:r>
        <w:rPr>
          <w:rFonts w:hint="default" w:ascii="楷体_GB2312" w:hAnsi="楷体_GB2312" w:eastAsia="楷体_GB2312" w:cs="楷体_GB2312"/>
          <w:b/>
          <w:bCs/>
          <w:szCs w:val="32"/>
          <w:lang w:eastAsia="zh-Hans"/>
        </w:rPr>
        <w:t>）</w:t>
      </w:r>
      <w:r>
        <w:rPr>
          <w:rFonts w:hint="eastAsia" w:ascii="黑体" w:hAnsi="黑体" w:eastAsia="黑体" w:cs="黑体"/>
          <w:bCs/>
          <w:szCs w:val="32"/>
          <w:lang w:val="en-US" w:eastAsia="zh-CN"/>
        </w:rPr>
        <w:t>2020-2023年</w:t>
      </w:r>
      <w:r>
        <w:rPr>
          <w:rFonts w:hint="eastAsia" w:ascii="楷体_GB2312" w:hAnsi="楷体_GB2312" w:eastAsia="楷体_GB2312" w:cs="楷体_GB2312"/>
          <w:b/>
          <w:bCs/>
          <w:szCs w:val="32"/>
          <w:lang w:val="en-US" w:eastAsia="zh-Hans"/>
        </w:rPr>
        <w:t>资金安排</w:t>
      </w:r>
    </w:p>
    <w:p>
      <w:pPr>
        <w:keepNext w:val="0"/>
        <w:keepLines w:val="0"/>
        <w:pageBreakBefore w:val="0"/>
        <w:shd w:val="clear"/>
        <w:kinsoku/>
        <w:wordWrap/>
        <w:overflowPunct/>
        <w:topLinePunct w:val="0"/>
        <w:autoSpaceDE/>
        <w:autoSpaceDN/>
        <w:bidi w:val="0"/>
        <w:spacing w:line="580" w:lineRule="exact"/>
        <w:ind w:firstLine="640" w:firstLineChars="200"/>
        <w:outlineLvl w:val="9"/>
        <w:rPr>
          <w:rFonts w:hint="eastAsia" w:ascii="仿宋_GB2312" w:hAnsi="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Hans"/>
        </w:rPr>
        <w:t>为了有效管理</w:t>
      </w:r>
      <w:r>
        <w:rPr>
          <w:rFonts w:hint="default" w:ascii="仿宋_GB2312" w:hAnsi="仿宋_GB2312" w:eastAsia="仿宋_GB2312" w:cs="仿宋_GB2312"/>
          <w:color w:val="auto"/>
          <w:sz w:val="32"/>
          <w:szCs w:val="32"/>
          <w:highlight w:val="none"/>
          <w:shd w:val="clear" w:color="auto" w:fill="auto"/>
          <w:lang w:eastAsia="zh-Hans"/>
        </w:rPr>
        <w:t>1.</w:t>
      </w:r>
      <w:r>
        <w:rPr>
          <w:rFonts w:hint="eastAsia" w:ascii="仿宋_GB2312" w:hAnsi="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lang w:val="en-US" w:eastAsia="zh-Hans"/>
        </w:rPr>
        <w:t>亿元中央财政支持资金</w:t>
      </w:r>
      <w:r>
        <w:rPr>
          <w:rFonts w:hint="default" w:ascii="仿宋_GB2312" w:hAnsi="仿宋_GB2312" w:eastAsia="仿宋_GB2312" w:cs="仿宋_GB2312"/>
          <w:color w:val="auto"/>
          <w:sz w:val="32"/>
          <w:szCs w:val="32"/>
          <w:highlight w:val="none"/>
          <w:shd w:val="clear" w:color="auto" w:fill="auto"/>
          <w:lang w:eastAsia="zh-Hans"/>
        </w:rPr>
        <w:t>，</w:t>
      </w:r>
      <w:r>
        <w:rPr>
          <w:rFonts w:hint="eastAsia" w:ascii="仿宋_GB2312" w:hAnsi="仿宋_GB2312" w:eastAsia="仿宋_GB2312" w:cs="仿宋_GB2312"/>
          <w:color w:val="auto"/>
          <w:sz w:val="32"/>
          <w:szCs w:val="32"/>
          <w:highlight w:val="none"/>
          <w:shd w:val="clear" w:color="auto" w:fill="auto"/>
          <w:lang w:val="en-US" w:eastAsia="zh-Hans"/>
        </w:rPr>
        <w:t>做好资金拨付和使用管理</w:t>
      </w:r>
      <w:r>
        <w:rPr>
          <w:rFonts w:hint="default" w:ascii="仿宋_GB2312" w:hAnsi="仿宋_GB2312" w:eastAsia="仿宋_GB2312" w:cs="仿宋_GB2312"/>
          <w:color w:val="auto"/>
          <w:sz w:val="32"/>
          <w:szCs w:val="32"/>
          <w:highlight w:val="none"/>
          <w:shd w:val="clear" w:color="auto" w:fill="auto"/>
          <w:lang w:eastAsia="zh-Hans"/>
        </w:rPr>
        <w:t>，</w:t>
      </w:r>
      <w:r>
        <w:rPr>
          <w:rFonts w:hint="eastAsia" w:ascii="仿宋_GB2312" w:hAnsi="仿宋_GB2312" w:eastAsia="仿宋_GB2312" w:cs="仿宋_GB2312"/>
          <w:color w:val="auto"/>
          <w:sz w:val="32"/>
          <w:szCs w:val="32"/>
          <w:highlight w:val="none"/>
          <w:shd w:val="clear" w:color="auto" w:fill="auto"/>
          <w:lang w:val="en-US" w:eastAsia="zh-Hans"/>
        </w:rPr>
        <w:t>我局出台了</w:t>
      </w:r>
      <w:r>
        <w:rPr>
          <w:rFonts w:hint="default" w:ascii="仿宋_GB2312" w:hAnsi="仿宋_GB2312" w:eastAsia="仿宋_GB2312" w:cs="仿宋_GB2312"/>
          <w:color w:val="auto"/>
          <w:sz w:val="32"/>
          <w:szCs w:val="32"/>
          <w:highlight w:val="none"/>
          <w:shd w:val="clear" w:color="auto" w:fill="auto"/>
          <w:lang w:eastAsia="zh-Hans"/>
        </w:rPr>
        <w:t>《北京市朝阳区知识产权运营服务体系建设专项资金管理办法》。</w:t>
      </w:r>
      <w:r>
        <w:rPr>
          <w:rFonts w:hint="eastAsia" w:ascii="仿宋_GB2312" w:hAnsi="仿宋_GB2312" w:eastAsia="仿宋_GB2312" w:cs="仿宋_GB2312"/>
          <w:color w:val="auto"/>
          <w:sz w:val="32"/>
          <w:szCs w:val="32"/>
          <w:highlight w:val="none"/>
          <w:shd w:val="clear" w:color="auto" w:fill="auto"/>
          <w:lang w:val="en-US" w:eastAsia="zh-Hans"/>
        </w:rPr>
        <w:t>结合前三批知识产权运营服务体系建设重点城市建设情况和朝阳区发展实际</w:t>
      </w:r>
      <w:r>
        <w:rPr>
          <w:rFonts w:hint="default" w:ascii="仿宋_GB2312" w:hAnsi="仿宋_GB2312" w:eastAsia="仿宋_GB2312" w:cs="仿宋_GB2312"/>
          <w:color w:val="auto"/>
          <w:sz w:val="32"/>
          <w:szCs w:val="32"/>
          <w:highlight w:val="none"/>
          <w:shd w:val="clear" w:color="auto" w:fill="auto"/>
          <w:lang w:eastAsia="zh-Hans"/>
        </w:rPr>
        <w:t>，</w:t>
      </w:r>
      <w:r>
        <w:rPr>
          <w:rFonts w:hint="eastAsia" w:ascii="仿宋_GB2312" w:hAnsi="仿宋_GB2312" w:eastAsia="仿宋_GB2312" w:cs="仿宋_GB2312"/>
          <w:color w:val="auto"/>
          <w:sz w:val="32"/>
          <w:szCs w:val="32"/>
          <w:highlight w:val="none"/>
          <w:shd w:val="clear" w:color="auto" w:fill="auto"/>
          <w:lang w:val="en-US" w:eastAsia="zh-Hans"/>
        </w:rPr>
        <w:t>我局做出</w:t>
      </w:r>
      <w:r>
        <w:rPr>
          <w:rFonts w:hint="default" w:ascii="仿宋_GB2312" w:hAnsi="仿宋_GB2312" w:eastAsia="仿宋_GB2312" w:cs="仿宋_GB2312"/>
          <w:color w:val="auto"/>
          <w:sz w:val="32"/>
          <w:szCs w:val="32"/>
          <w:highlight w:val="none"/>
          <w:shd w:val="clear" w:color="auto" w:fill="auto"/>
          <w:lang w:eastAsia="zh-Hans"/>
        </w:rPr>
        <w:t>1.</w:t>
      </w:r>
      <w:r>
        <w:rPr>
          <w:rFonts w:hint="eastAsia" w:ascii="仿宋_GB2312" w:hAnsi="仿宋_GB2312" w:cs="仿宋_GB2312"/>
          <w:color w:val="auto"/>
          <w:sz w:val="32"/>
          <w:szCs w:val="32"/>
          <w:highlight w:val="none"/>
          <w:shd w:val="clear" w:color="auto" w:fill="auto"/>
          <w:lang w:val="en-US" w:eastAsia="zh-CN"/>
        </w:rPr>
        <w:t>5</w:t>
      </w:r>
      <w:r>
        <w:rPr>
          <w:rFonts w:hint="default" w:ascii="仿宋_GB2312" w:hAnsi="仿宋_GB2312" w:eastAsia="仿宋_GB2312" w:cs="仿宋_GB2312"/>
          <w:color w:val="auto"/>
          <w:sz w:val="32"/>
          <w:szCs w:val="32"/>
          <w:highlight w:val="none"/>
          <w:shd w:val="clear" w:color="auto" w:fill="auto"/>
          <w:lang w:val="en-US" w:eastAsia="zh-Hans"/>
        </w:rPr>
        <w:t>亿元</w:t>
      </w:r>
      <w:r>
        <w:rPr>
          <w:rFonts w:hint="eastAsia" w:ascii="仿宋_GB2312" w:hAnsi="仿宋_GB2312" w:eastAsia="仿宋_GB2312" w:cs="仿宋_GB2312"/>
          <w:color w:val="auto"/>
          <w:sz w:val="32"/>
          <w:szCs w:val="32"/>
          <w:highlight w:val="none"/>
          <w:shd w:val="clear" w:color="auto" w:fill="auto"/>
          <w:lang w:val="en-US" w:eastAsia="zh-Hans"/>
        </w:rPr>
        <w:t>资金使用初步规划</w:t>
      </w:r>
      <w:r>
        <w:rPr>
          <w:rFonts w:hint="eastAsia" w:ascii="仿宋_GB2312" w:hAnsi="仿宋_GB2312" w:cs="仿宋_GB2312"/>
          <w:color w:val="auto"/>
          <w:sz w:val="32"/>
          <w:szCs w:val="32"/>
          <w:highlight w:val="none"/>
          <w:shd w:val="clear" w:color="auto" w:fill="auto"/>
          <w:lang w:val="en-US" w:eastAsia="zh-CN"/>
        </w:rPr>
        <w:t>。</w:t>
      </w:r>
    </w:p>
    <w:tbl>
      <w:tblPr>
        <w:tblStyle w:val="7"/>
        <w:tblpPr w:leftFromText="180" w:rightFromText="180" w:vertAnchor="text" w:horzAnchor="page" w:tblpX="1860" w:tblpY="194"/>
        <w:tblOverlap w:val="never"/>
        <w:tblW w:w="82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78"/>
        <w:gridCol w:w="1178"/>
        <w:gridCol w:w="1178"/>
        <w:gridCol w:w="1178"/>
        <w:gridCol w:w="1178"/>
        <w:gridCol w:w="1178"/>
        <w:gridCol w:w="1179"/>
      </w:tblGrid>
      <w:tr>
        <w:trPr>
          <w:trHeight w:val="360" w:hRule="atLeast"/>
        </w:trPr>
        <w:tc>
          <w:tcPr>
            <w:tcW w:w="82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知识产权运营服务体系建设1.5亿资金初步规划</w:t>
            </w:r>
          </w:p>
        </w:tc>
      </w:tr>
      <w:tr>
        <w:tblPrEx>
          <w:shd w:val="clear" w:color="auto" w:fill="auto"/>
        </w:tblPrEx>
        <w:trPr>
          <w:trHeight w:val="36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序号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资金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明细项目名称</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财政拨款(万元)</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采购内容</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支出安排</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资金性质</w:t>
            </w:r>
          </w:p>
        </w:tc>
      </w:tr>
      <w:tr>
        <w:tblPrEx>
          <w:shd w:val="clear" w:color="auto" w:fill="auto"/>
        </w:tblPrEx>
        <w:trPr>
          <w:trHeight w:val="60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1</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以奖代补</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财政补助</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类及支持经费3500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知识产权运营服务体系建设知识产权资助及奖励</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373.8</w:t>
            </w:r>
          </w:p>
        </w:tc>
        <w:tc>
          <w:tcPr>
            <w:tcW w:w="11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通过</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以奖代补</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财政补助</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的形式开展运营服务体系建设相关工作，对符合要求的企业进行奖励资助</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2020年</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1亿元        转移支付</w:t>
            </w:r>
          </w:p>
        </w:tc>
      </w:tr>
      <w:tr>
        <w:tblPrEx>
          <w:shd w:val="clear" w:color="auto" w:fill="auto"/>
        </w:tblPrEx>
        <w:trPr>
          <w:trHeight w:val="52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2</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16"/>
                <w:szCs w:val="16"/>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知识产权运营服务体系建设企业专利导航</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50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通过</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以奖代补</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财政补助</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的形式开展运营服务体系建设相关工作，对符合要求的企业进行奖励资助 （拟定2021年4月份开始）</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3</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16"/>
                <w:szCs w:val="16"/>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知识产权运营服务体系建设运营中心</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1500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通过</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以奖代补</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财政补助</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的形式开展运营服务体系建设相关工作，对符合要求的企业进行奖励资助 （拟定2021年4月份开始）</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shd w:val="clear" w:color="auto" w:fill="auto"/>
        </w:tblPrEx>
        <w:trPr>
          <w:trHeight w:val="54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4</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16"/>
                <w:szCs w:val="16"/>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知识产权运营服务体系建设品牌基地及区域特色品牌</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526.2</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通过</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以奖代补</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财政补助</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的形式开展运营服务体系建设相关工作，对符合要求的企业进行奖励资助 （拟定2021年4月份开始）</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5</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16"/>
                <w:szCs w:val="16"/>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知识产权运营服务体系建设知识产权资助及奖励</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900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通过</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以奖代补</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财政补助</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的形式开展运营服务体系建设相关工作，对符合要求的企业进行奖励资助 （拟定2021年4月份开始）</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6</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16"/>
                <w:szCs w:val="16"/>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知识产权运营服务体系建设宣传展示</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30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知识产权主题片制作。</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shd w:val="clear" w:color="auto" w:fill="auto"/>
        </w:tblPrEx>
        <w:trPr>
          <w:trHeight w:val="36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7</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16"/>
                <w:szCs w:val="16"/>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知识产权运营服务体系建设可视化平台软件开发</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46.68</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可视化平台软件开发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8</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16"/>
                <w:szCs w:val="16"/>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知识产权运营服务体系建设专家评审</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25</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项目评审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shd w:val="clear" w:color="auto" w:fill="auto"/>
        </w:tblPrEx>
        <w:trPr>
          <w:trHeight w:val="36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9</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16"/>
                <w:szCs w:val="16"/>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知识产权运营服务体系建设运营中心规划</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48.32</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协助完成3个运营中心建设申报立项相关工作</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10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知识产权运营服务体系建设知识产权运营基金工作经费6500万元</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知识产权运营服务体系建设知识产权运营基金</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6500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在</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科创</w:t>
            </w:r>
            <w:r>
              <w:rPr>
                <w:rFonts w:hint="eastAsia" w:ascii="宋体" w:hAnsi="宋体" w:eastAsia="宋体" w:cs="宋体"/>
                <w:i w:val="0"/>
                <w:color w:val="000000"/>
                <w:kern w:val="0"/>
                <w:sz w:val="16"/>
                <w:szCs w:val="16"/>
                <w:u w:val="none"/>
                <w:lang w:val="en-US" w:eastAsia="zh-CN" w:bidi="ar"/>
              </w:rPr>
              <w:t>”</w:t>
            </w:r>
            <w:r>
              <w:rPr>
                <w:rStyle w:val="13"/>
                <w:rFonts w:hAnsi="宋体"/>
                <w:lang w:val="en-US" w:eastAsia="zh-CN" w:bidi="ar"/>
              </w:rPr>
              <w:t>母基金下设立知识产权子基金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11</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知识产权运营服务体系建设线上运营平台、课题研究等工作经费3700万元</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知识产权运营服务体系建设宣传服务费</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50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结合工作推进，开展必要的宣传</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w:t>
            </w: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5000万中央直达资金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12</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16"/>
                <w:szCs w:val="16"/>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知识产权运营服务体系建设法律咨询与合规服务费</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40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运营体系建设相关法律问题咨询；合同审核、法律合规；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2021-2022年</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13</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16"/>
                <w:szCs w:val="16"/>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知识产权运营服务体系建设课题研究费</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800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结合29项工作任务，开展不同方向课题调研，预计15个课题，单个金额不超过100万</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2021-2022年</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14</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16"/>
                <w:szCs w:val="16"/>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知识产权运营服务体系建设项目财务审计与咨询服务费</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60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对于各个项目进行预算评审及财务、审计咨询</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2021-2022年</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15</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16"/>
                <w:szCs w:val="16"/>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知识产权运营服务体系建设相关会议服务费</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除会议场地外的会议服务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2021-2022年</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16</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16"/>
                <w:szCs w:val="16"/>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知识产权运营服务体系建设相关展览服务费</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展览服务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2021-2022年</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17</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16"/>
                <w:szCs w:val="16"/>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知识产权运营服务体系建设项目评审服务费</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50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对于各个项目进行项目评审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2021-2022年</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18</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16"/>
                <w:szCs w:val="16"/>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知识产权运营服务体系建设绩效评价服务费</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50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对于各个项目绩效评价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2021-2022年</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19</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16"/>
                <w:szCs w:val="16"/>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知识产权运营服务体系线上运营平台建设计算机设备及软件费</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300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购买显示屏、投影、计算机等</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2021-2022年</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shd w:val="clear" w:color="auto" w:fill="auto"/>
        </w:tblPrEx>
        <w:trPr>
          <w:trHeight w:val="36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20</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16"/>
                <w:szCs w:val="16"/>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知识产权运营服务体系线上运营平台建设信息系统建设与维护费</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2060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系统开发、云服务、云存储、云计算及系统运行维护等</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2021-2022年</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shd w:val="clear" w:color="auto" w:fill="auto"/>
        </w:tblPrEx>
        <w:trPr>
          <w:trHeight w:val="675"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21</w:t>
            </w: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仿宋_GB2312" w:hAnsi="宋体" w:eastAsia="仿宋_GB2312" w:cs="仿宋_GB2312"/>
                <w:i w:val="0"/>
                <w:color w:val="000000"/>
                <w:sz w:val="16"/>
                <w:szCs w:val="16"/>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知识产权运营服务体系建设会议费</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90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会议场地、餐饮、住宿</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2021-2022年</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shd w:val="clear" w:color="auto" w:fill="auto"/>
        </w:tblPrEx>
        <w:trPr>
          <w:trHeight w:val="870" w:hRule="atLeast"/>
        </w:trPr>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22</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知识产权运营服务体系建设知识产权运营风险补偿资金工作经费 1300万元</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知识产权运营服务体系建设中小企业融资风险补偿资金</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1300</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与区金融办共同设立中小微企业融资风险补偿专项资金或我局自行设立知识产权质押融资风险补偿资金。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w:t>
            </w: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shd w:val="clear" w:color="auto" w:fill="auto"/>
        </w:tblPrEx>
        <w:trPr>
          <w:trHeight w:val="360" w:hRule="atLeast"/>
        </w:trPr>
        <w:tc>
          <w:tcPr>
            <w:tcW w:w="35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15000</w:t>
            </w:r>
          </w:p>
        </w:tc>
        <w:tc>
          <w:tcPr>
            <w:tcW w:w="35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6"/>
                <w:szCs w:val="16"/>
                <w:u w:val="none"/>
              </w:rPr>
            </w:pPr>
          </w:p>
        </w:tc>
      </w:tr>
    </w:tbl>
    <w:p>
      <w:pPr>
        <w:keepNext w:val="0"/>
        <w:keepLines w:val="0"/>
        <w:pageBreakBefore w:val="0"/>
        <w:shd w:val="clear"/>
        <w:kinsoku/>
        <w:wordWrap/>
        <w:overflowPunct/>
        <w:topLinePunct w:val="0"/>
        <w:autoSpaceDE/>
        <w:autoSpaceDN/>
        <w:bidi w:val="0"/>
        <w:spacing w:line="580" w:lineRule="exact"/>
        <w:outlineLvl w:val="9"/>
        <w:rPr>
          <w:rFonts w:hint="eastAsia" w:ascii="仿宋_GB2312" w:hAnsi="仿宋_GB2312" w:cs="仿宋_GB2312"/>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1" w:firstLineChars="200"/>
        <w:jc w:val="both"/>
        <w:textAlignment w:val="auto"/>
        <w:outlineLvl w:val="0"/>
        <w:rPr>
          <w:rFonts w:hint="eastAsia" w:ascii="楷体_GB2312" w:hAnsi="楷体_GB2312" w:eastAsia="楷体_GB2312" w:cs="楷体_GB2312"/>
          <w:b/>
          <w:bCs/>
          <w:szCs w:val="32"/>
          <w:lang w:val="en-US" w:eastAsia="zh-Hans"/>
        </w:rPr>
      </w:pPr>
      <w:r>
        <w:rPr>
          <w:rFonts w:hint="default" w:ascii="楷体_GB2312" w:hAnsi="楷体_GB2312" w:eastAsia="楷体_GB2312" w:cs="楷体_GB2312"/>
          <w:b/>
          <w:bCs/>
          <w:szCs w:val="32"/>
          <w:lang w:eastAsia="zh-Hans"/>
        </w:rPr>
        <w:t>（</w:t>
      </w:r>
      <w:r>
        <w:rPr>
          <w:rFonts w:hint="eastAsia" w:ascii="楷体_GB2312" w:hAnsi="楷体_GB2312" w:eastAsia="楷体_GB2312" w:cs="楷体_GB2312"/>
          <w:b/>
          <w:bCs/>
          <w:szCs w:val="32"/>
          <w:lang w:val="en-US" w:eastAsia="zh-Hans"/>
        </w:rPr>
        <w:t>四</w:t>
      </w:r>
      <w:r>
        <w:rPr>
          <w:rFonts w:hint="default" w:ascii="楷体_GB2312" w:hAnsi="楷体_GB2312" w:eastAsia="楷体_GB2312" w:cs="楷体_GB2312"/>
          <w:b/>
          <w:bCs/>
          <w:szCs w:val="32"/>
          <w:lang w:eastAsia="zh-Hans"/>
        </w:rPr>
        <w:t>）2020</w:t>
      </w:r>
      <w:r>
        <w:rPr>
          <w:rFonts w:hint="eastAsia" w:ascii="楷体_GB2312" w:hAnsi="楷体_GB2312" w:eastAsia="楷体_GB2312" w:cs="楷体_GB2312"/>
          <w:b/>
          <w:bCs/>
          <w:szCs w:val="32"/>
          <w:lang w:val="en-US" w:eastAsia="zh-Hans"/>
        </w:rPr>
        <w:t>年绩效目标</w:t>
      </w:r>
    </w:p>
    <w:p>
      <w:pPr>
        <w:keepNext w:val="0"/>
        <w:keepLines w:val="0"/>
        <w:pageBreakBefore w:val="0"/>
        <w:shd w:val="clear"/>
        <w:kinsoku/>
        <w:wordWrap/>
        <w:overflowPunct/>
        <w:topLinePunct w:val="0"/>
        <w:autoSpaceDE/>
        <w:autoSpaceDN/>
        <w:bidi w:val="0"/>
        <w:spacing w:line="580" w:lineRule="exact"/>
        <w:ind w:firstLine="640" w:firstLineChars="200"/>
        <w:outlineLvl w:val="9"/>
        <w:rPr>
          <w:rFonts w:hint="eastAsia" w:ascii="仿宋_GB2312" w:hAnsi="仿宋_GB2312" w:eastAsia="仿宋_GB2312" w:cs="仿宋_GB2312"/>
          <w:b/>
          <w:bCs/>
          <w:color w:val="auto"/>
          <w:sz w:val="32"/>
          <w:szCs w:val="32"/>
          <w:highlight w:val="none"/>
          <w:shd w:val="clear" w:color="auto" w:fill="auto"/>
          <w:lang w:val="en-US" w:eastAsia="zh-CN"/>
        </w:rPr>
      </w:pPr>
      <w:r>
        <w:rPr>
          <w:rFonts w:hint="default" w:ascii="仿宋_GB2312" w:hAnsi="仿宋_GB2312" w:cs="仿宋_GB2312"/>
          <w:color w:val="auto"/>
          <w:sz w:val="32"/>
          <w:szCs w:val="32"/>
          <w:highlight w:val="none"/>
          <w:shd w:val="clear" w:color="auto" w:fill="auto"/>
          <w:lang w:eastAsia="zh-Hans"/>
        </w:rPr>
        <w:t>2020</w:t>
      </w:r>
      <w:r>
        <w:rPr>
          <w:rFonts w:hint="eastAsia" w:ascii="仿宋_GB2312" w:hAnsi="仿宋_GB2312" w:cs="仿宋_GB2312"/>
          <w:color w:val="auto"/>
          <w:sz w:val="32"/>
          <w:szCs w:val="32"/>
          <w:highlight w:val="none"/>
          <w:shd w:val="clear" w:color="auto" w:fill="auto"/>
          <w:lang w:val="en-US" w:eastAsia="zh-Hans"/>
        </w:rPr>
        <w:t>年</w:t>
      </w:r>
      <w:r>
        <w:rPr>
          <w:rFonts w:hint="default" w:ascii="仿宋_GB2312" w:hAnsi="仿宋_GB2312" w:cs="仿宋_GB2312"/>
          <w:color w:val="auto"/>
          <w:sz w:val="32"/>
          <w:szCs w:val="32"/>
          <w:highlight w:val="none"/>
          <w:shd w:val="clear" w:color="auto" w:fill="auto"/>
          <w:lang w:eastAsia="zh-Hans"/>
        </w:rPr>
        <w:t>，朝阳区知识产权运营服务体系</w:t>
      </w:r>
      <w:r>
        <w:rPr>
          <w:rFonts w:hint="eastAsia" w:ascii="仿宋_GB2312" w:hAnsi="仿宋_GB2312" w:cs="仿宋_GB2312"/>
          <w:color w:val="auto"/>
          <w:sz w:val="32"/>
          <w:szCs w:val="32"/>
          <w:highlight w:val="none"/>
          <w:shd w:val="clear" w:color="auto" w:fill="auto"/>
          <w:lang w:val="en-US" w:eastAsia="zh-Hans"/>
        </w:rPr>
        <w:t>建设的重点工作是建章立制和沿袭朝阳区知识产权资助奖励政策</w:t>
      </w:r>
      <w:r>
        <w:rPr>
          <w:rFonts w:hint="default" w:ascii="仿宋_GB2312" w:hAnsi="仿宋_GB2312" w:cs="仿宋_GB2312"/>
          <w:color w:val="auto"/>
          <w:sz w:val="32"/>
          <w:szCs w:val="32"/>
          <w:highlight w:val="none"/>
          <w:shd w:val="clear" w:color="auto" w:fill="auto"/>
          <w:lang w:eastAsia="zh-Hans"/>
        </w:rPr>
        <w:t>，打造朝阳区知识产权运营服务体系“1+1+N”的政策体系，印发《北京市朝阳区市场监督管理局关于北京市朝阳区知识产权运营服务体系建设实施方案（2020—2023年）》《北京市朝阳区知识产权运营服务体系建设</w:t>
      </w:r>
      <w:r>
        <w:rPr>
          <w:rFonts w:hint="eastAsia" w:ascii="仿宋_GB2312" w:hAnsi="仿宋_GB2312" w:cs="仿宋_GB2312"/>
          <w:color w:val="auto"/>
          <w:sz w:val="32"/>
          <w:szCs w:val="32"/>
          <w:highlight w:val="none"/>
          <w:shd w:val="clear" w:color="auto" w:fill="auto"/>
          <w:lang w:val="en-US" w:eastAsia="zh-CN"/>
        </w:rPr>
        <w:t>专项</w:t>
      </w:r>
      <w:r>
        <w:rPr>
          <w:rFonts w:hint="default" w:ascii="仿宋_GB2312" w:hAnsi="仿宋_GB2312" w:cs="仿宋_GB2312"/>
          <w:color w:val="auto"/>
          <w:sz w:val="32"/>
          <w:szCs w:val="32"/>
          <w:highlight w:val="none"/>
          <w:shd w:val="clear" w:color="auto" w:fill="auto"/>
          <w:lang w:eastAsia="zh-Hans"/>
        </w:rPr>
        <w:t>资金管理办法》《北京市朝阳区市场监督管理局关于北京市朝阳区知识产权运营服务体系建设实施方案（2020—2023年）的落实方案》《北京市朝阳区知识产权运营服务体系建设专家库管理办法》《北京市朝阳区知识产权运营服务体系建设调查研究课题管理办法》；加强区域知识产权资助奖励，营造良好的知识产权营商环境。</w:t>
      </w:r>
      <w:r>
        <w:rPr>
          <w:rFonts w:hint="eastAsia" w:ascii="仿宋_GB2312" w:hAnsi="仿宋_GB2312" w:cs="仿宋_GB2312"/>
          <w:b/>
          <w:bCs/>
          <w:color w:val="auto"/>
          <w:sz w:val="32"/>
          <w:szCs w:val="32"/>
          <w:highlight w:val="none"/>
          <w:shd w:val="clear" w:color="auto" w:fill="auto"/>
          <w:lang w:eastAsia="zh-CN"/>
        </w:rPr>
        <w:t>（</w:t>
      </w:r>
      <w:r>
        <w:rPr>
          <w:rFonts w:hint="eastAsia" w:ascii="仿宋_GB2312" w:hAnsi="仿宋_GB2312" w:cs="仿宋_GB2312"/>
          <w:b/>
          <w:bCs/>
          <w:color w:val="auto"/>
          <w:sz w:val="32"/>
          <w:szCs w:val="32"/>
          <w:highlight w:val="none"/>
          <w:shd w:val="clear" w:color="auto" w:fill="auto"/>
          <w:lang w:val="en-US" w:eastAsia="zh-CN"/>
        </w:rPr>
        <w:t>详见附件：</w:t>
      </w:r>
      <w:r>
        <w:rPr>
          <w:rFonts w:hint="eastAsia"/>
          <w:b/>
          <w:bCs/>
        </w:rPr>
        <w:t>转移支付区域（项目）绩效目标自评表</w:t>
      </w:r>
      <w:r>
        <w:rPr>
          <w:rFonts w:hint="eastAsia" w:ascii="仿宋_GB2312" w:hAnsi="仿宋_GB2312" w:cs="仿宋_GB2312"/>
          <w:b/>
          <w:bCs/>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ascii="黑体" w:hAnsi="黑体" w:eastAsia="黑体" w:cs="黑体"/>
          <w:bCs/>
          <w:szCs w:val="32"/>
        </w:rPr>
      </w:pPr>
      <w:r>
        <w:rPr>
          <w:rFonts w:hint="eastAsia" w:ascii="黑体" w:hAnsi="黑体" w:eastAsia="黑体" w:cs="黑体"/>
          <w:bCs/>
          <w:szCs w:val="32"/>
        </w:rPr>
        <w:t>二、绩效目标完成情况分析</w:t>
      </w:r>
    </w:p>
    <w:p>
      <w:pPr>
        <w:ind w:firstLine="601" w:firstLineChars="200"/>
        <w:outlineLvl w:val="0"/>
        <w:rPr>
          <w:rFonts w:hint="eastAsia" w:ascii="仿宋_GB2312" w:hAnsi="仿宋_GB2312" w:eastAsia="仿宋_GB2312" w:cs="仿宋_GB2312"/>
          <w:b w:val="0"/>
          <w:bCs w:val="0"/>
          <w:szCs w:val="32"/>
          <w:lang w:eastAsia="zh-CN"/>
        </w:rPr>
      </w:pPr>
      <w:r>
        <w:rPr>
          <w:rFonts w:hint="eastAsia" w:ascii="楷体_GB2312" w:hAnsi="楷体_GB2312" w:eastAsia="楷体_GB2312" w:cs="楷体_GB2312"/>
          <w:b/>
          <w:bCs/>
          <w:szCs w:val="32"/>
        </w:rPr>
        <w:t>（一）</w:t>
      </w:r>
      <w:r>
        <w:rPr>
          <w:rFonts w:hint="eastAsia" w:ascii="楷体_GB2312" w:hAnsi="楷体_GB2312" w:eastAsia="楷体_GB2312" w:cs="楷体_GB2312"/>
          <w:b/>
          <w:bCs/>
          <w:szCs w:val="32"/>
          <w:lang w:val="en-US" w:eastAsia="zh-CN"/>
        </w:rPr>
        <w:t>2020年</w:t>
      </w:r>
      <w:r>
        <w:rPr>
          <w:rFonts w:hint="eastAsia" w:ascii="楷体_GB2312" w:hAnsi="楷体_GB2312" w:eastAsia="楷体_GB2312" w:cs="楷体_GB2312"/>
          <w:b/>
          <w:bCs/>
          <w:szCs w:val="32"/>
        </w:rPr>
        <w:t>资金投入情况分析。</w:t>
      </w:r>
    </w:p>
    <w:p>
      <w:pPr>
        <w:ind w:firstLine="600" w:firstLineChars="200"/>
        <w:outlineLvl w:val="0"/>
        <w:rPr>
          <w:rFonts w:hint="default" w:ascii="仿宋_GB2312"/>
          <w:szCs w:val="32"/>
          <w:highlight w:val="none"/>
          <w:lang w:eastAsia="zh-Hans"/>
        </w:rPr>
      </w:pPr>
      <w:r>
        <w:rPr>
          <w:rFonts w:hint="default" w:ascii="仿宋_GB2312"/>
          <w:szCs w:val="32"/>
          <w:highlight w:val="none"/>
          <w:lang w:eastAsia="zh-CN"/>
        </w:rPr>
        <w:t>2020</w:t>
      </w:r>
      <w:r>
        <w:rPr>
          <w:rFonts w:hint="eastAsia" w:ascii="仿宋_GB2312"/>
          <w:szCs w:val="32"/>
          <w:highlight w:val="none"/>
          <w:lang w:val="en-US" w:eastAsia="zh-Hans"/>
        </w:rPr>
        <w:t>年</w:t>
      </w:r>
      <w:r>
        <w:rPr>
          <w:rFonts w:hint="default" w:ascii="仿宋_GB2312"/>
          <w:szCs w:val="32"/>
          <w:highlight w:val="none"/>
          <w:lang w:eastAsia="zh-Hans"/>
        </w:rPr>
        <w:t>，</w:t>
      </w:r>
      <w:r>
        <w:rPr>
          <w:rFonts w:hint="eastAsia" w:ascii="仿宋_GB2312"/>
          <w:szCs w:val="32"/>
          <w:highlight w:val="none"/>
          <w:lang w:val="en-US" w:eastAsia="zh-Hans"/>
        </w:rPr>
        <w:t>完成朝阳区知识产权资助及奖励</w:t>
      </w:r>
      <w:r>
        <w:rPr>
          <w:rFonts w:hint="eastAsia" w:ascii="仿宋_GB2312"/>
          <w:szCs w:val="32"/>
          <w:highlight w:val="none"/>
          <w:lang w:val="en-US" w:eastAsia="zh-CN"/>
        </w:rPr>
        <w:t>1300</w:t>
      </w:r>
      <w:r>
        <w:rPr>
          <w:rFonts w:hint="eastAsia" w:ascii="仿宋_GB2312"/>
          <w:szCs w:val="32"/>
          <w:highlight w:val="none"/>
          <w:lang w:val="en-US" w:eastAsia="zh-Hans"/>
        </w:rPr>
        <w:t>万元</w:t>
      </w:r>
      <w:r>
        <w:rPr>
          <w:rFonts w:hint="default" w:ascii="仿宋_GB2312"/>
          <w:szCs w:val="32"/>
          <w:highlight w:val="none"/>
          <w:lang w:eastAsia="zh-Hans"/>
        </w:rPr>
        <w:t>，</w:t>
      </w:r>
      <w:r>
        <w:rPr>
          <w:rFonts w:hint="eastAsia" w:ascii="仿宋_GB2312"/>
          <w:szCs w:val="32"/>
          <w:highlight w:val="none"/>
          <w:lang w:val="en-US" w:eastAsia="zh-Hans"/>
        </w:rPr>
        <w:t>其中</w:t>
      </w:r>
      <w:r>
        <w:rPr>
          <w:rFonts w:hint="default" w:ascii="仿宋_GB2312"/>
          <w:szCs w:val="32"/>
          <w:highlight w:val="none"/>
          <w:lang w:eastAsia="zh-Hans"/>
        </w:rPr>
        <w:t>373</w:t>
      </w:r>
      <w:r>
        <w:rPr>
          <w:rFonts w:hint="eastAsia" w:ascii="仿宋_GB2312"/>
          <w:szCs w:val="32"/>
          <w:highlight w:val="none"/>
          <w:lang w:val="en-US" w:eastAsia="zh-Hans"/>
        </w:rPr>
        <w:t>.</w:t>
      </w:r>
      <w:r>
        <w:rPr>
          <w:rFonts w:hint="default" w:ascii="仿宋_GB2312"/>
          <w:szCs w:val="32"/>
          <w:highlight w:val="none"/>
          <w:lang w:eastAsia="zh-Hans"/>
        </w:rPr>
        <w:t>8</w:t>
      </w:r>
      <w:r>
        <w:rPr>
          <w:rFonts w:hint="eastAsia" w:ascii="仿宋_GB2312"/>
          <w:szCs w:val="32"/>
          <w:highlight w:val="none"/>
          <w:lang w:val="en-US" w:eastAsia="zh-Hans"/>
        </w:rPr>
        <w:t>万为转移支付资金</w:t>
      </w:r>
      <w:r>
        <w:rPr>
          <w:rFonts w:hint="default" w:ascii="仿宋_GB2312"/>
          <w:szCs w:val="32"/>
          <w:highlight w:val="none"/>
          <w:lang w:eastAsia="zh-Hans"/>
        </w:rPr>
        <w:t>，926.2</w:t>
      </w:r>
      <w:r>
        <w:rPr>
          <w:rFonts w:hint="eastAsia" w:ascii="仿宋_GB2312"/>
          <w:szCs w:val="32"/>
          <w:highlight w:val="none"/>
          <w:lang w:val="en-US" w:eastAsia="zh-Hans"/>
        </w:rPr>
        <w:t>万为地方资金</w:t>
      </w:r>
      <w:r>
        <w:rPr>
          <w:rFonts w:hint="default" w:ascii="仿宋_GB2312"/>
          <w:szCs w:val="32"/>
          <w:highlight w:val="none"/>
          <w:lang w:eastAsia="zh-Hans"/>
        </w:rPr>
        <w:t>。</w:t>
      </w:r>
    </w:p>
    <w:p>
      <w:pPr>
        <w:ind w:firstLine="600" w:firstLineChars="200"/>
        <w:outlineLvl w:val="0"/>
        <w:rPr>
          <w:rFonts w:hint="eastAsia" w:ascii="仿宋_GB2312"/>
          <w:szCs w:val="32"/>
          <w:highlight w:val="none"/>
          <w:lang w:val="en-US" w:eastAsia="zh-Hans"/>
        </w:rPr>
      </w:pPr>
      <w:r>
        <w:rPr>
          <w:rFonts w:hint="eastAsia" w:ascii="仿宋_GB2312"/>
          <w:szCs w:val="32"/>
          <w:highlight w:val="none"/>
          <w:lang w:val="en-US" w:eastAsia="zh-CN"/>
        </w:rPr>
        <w:t>1、</w:t>
      </w:r>
      <w:r>
        <w:rPr>
          <w:rFonts w:hint="eastAsia" w:ascii="仿宋_GB2312"/>
          <w:szCs w:val="32"/>
          <w:highlight w:val="none"/>
          <w:lang w:val="en-US" w:eastAsia="zh-Hans"/>
        </w:rPr>
        <w:t>知识产权质押贷款贴息资助（264.8万元）</w:t>
      </w:r>
    </w:p>
    <w:p>
      <w:pPr>
        <w:ind w:firstLine="600" w:firstLineChars="200"/>
        <w:outlineLvl w:val="0"/>
        <w:rPr>
          <w:rFonts w:hint="eastAsia" w:ascii="仿宋_GB2312"/>
          <w:szCs w:val="32"/>
          <w:highlight w:val="none"/>
          <w:lang w:val="en-US" w:eastAsia="zh-Hans"/>
        </w:rPr>
      </w:pPr>
      <w:r>
        <w:rPr>
          <w:rFonts w:hint="eastAsia" w:ascii="仿宋_GB2312"/>
          <w:szCs w:val="32"/>
          <w:highlight w:val="none"/>
          <w:lang w:val="en-US" w:eastAsia="zh-Hans"/>
        </w:rPr>
        <w:t>知识产权质押贷款贴息项目是鼓励中小型科技企业利用知识产权进行质押贷款，对知识产权部分贷款利息、知识产权评估、担保等费用的50%给予资助。共收到符合条件的申报10项，贷款总额为1.1615亿元，全部为纯知识产权质押贷款。经审核，知识产权质押贷款贴息项目拟资助资金264.8万元</w:t>
      </w:r>
    </w:p>
    <w:p>
      <w:pPr>
        <w:ind w:firstLine="600" w:firstLineChars="200"/>
        <w:outlineLvl w:val="0"/>
        <w:rPr>
          <w:rFonts w:hint="eastAsia" w:ascii="仿宋_GB2312"/>
          <w:szCs w:val="32"/>
          <w:highlight w:val="none"/>
          <w:lang w:val="en-US" w:eastAsia="zh-Hans"/>
        </w:rPr>
      </w:pPr>
      <w:r>
        <w:rPr>
          <w:rFonts w:hint="eastAsia" w:ascii="仿宋_GB2312"/>
          <w:szCs w:val="32"/>
          <w:highlight w:val="none"/>
          <w:lang w:val="en-US" w:eastAsia="zh-CN"/>
        </w:rPr>
        <w:t>2</w:t>
      </w:r>
      <w:r>
        <w:rPr>
          <w:rFonts w:hint="eastAsia" w:ascii="仿宋_GB2312"/>
          <w:szCs w:val="32"/>
          <w:highlight w:val="none"/>
          <w:lang w:val="en-US" w:eastAsia="zh-Hans"/>
        </w:rPr>
        <w:t>、知识产权重点企业资助（155万元）</w:t>
      </w:r>
    </w:p>
    <w:p>
      <w:pPr>
        <w:ind w:firstLine="600" w:firstLineChars="200"/>
        <w:outlineLvl w:val="0"/>
        <w:rPr>
          <w:rFonts w:hint="eastAsia" w:ascii="仿宋_GB2312"/>
          <w:szCs w:val="32"/>
          <w:highlight w:val="none"/>
          <w:lang w:val="en-US" w:eastAsia="zh-Hans"/>
        </w:rPr>
      </w:pPr>
      <w:r>
        <w:rPr>
          <w:rFonts w:hint="eastAsia" w:ascii="仿宋_GB2312"/>
          <w:szCs w:val="32"/>
          <w:highlight w:val="none"/>
          <w:lang w:val="en-US" w:eastAsia="zh-Hans"/>
        </w:rPr>
        <w:t>知识产权重点企业资助项目，共收到符合条件的申报92项，其中，2019年评定的国家知识产权示范企业资助申请1项，2019年评定的国家知识产权优势企业资助申请3项，2019年评定的北京市知识产权示范单位资助申请7项，2019年贯标达标单位资助申请81项。根据以前确定的资助标准，拟对国家知识产权示范企业资助10万元、国家知识产权优势企业资助5万元、北京市专利示范单位资助3万元，对贯标达标的国家知识产权优势企业和北京市知识产权示范单位资助5万元、对贯标达标的北京市知识产权试点单位资助3万元。根据今年的资金安排，拟对贯标达标的非试点示范企业资助1万元。知识产权重点企业资助项目总计拟资助资金155万元。</w:t>
      </w:r>
    </w:p>
    <w:p>
      <w:pPr>
        <w:ind w:firstLine="600" w:firstLineChars="200"/>
        <w:outlineLvl w:val="0"/>
        <w:rPr>
          <w:rFonts w:hint="eastAsia" w:ascii="仿宋_GB2312"/>
          <w:szCs w:val="32"/>
          <w:highlight w:val="none"/>
          <w:lang w:val="en-US" w:eastAsia="zh-Hans"/>
        </w:rPr>
      </w:pPr>
      <w:r>
        <w:rPr>
          <w:rFonts w:hint="eastAsia" w:ascii="仿宋_GB2312"/>
          <w:szCs w:val="32"/>
          <w:highlight w:val="none"/>
          <w:lang w:val="en-US" w:eastAsia="zh-CN"/>
        </w:rPr>
        <w:t>3、</w:t>
      </w:r>
      <w:r>
        <w:rPr>
          <w:rFonts w:hint="eastAsia" w:ascii="仿宋_GB2312"/>
          <w:szCs w:val="32"/>
          <w:highlight w:val="none"/>
          <w:lang w:val="en-US" w:eastAsia="zh-Hans"/>
        </w:rPr>
        <w:t>专利资助及奖励（591.764万元）</w:t>
      </w:r>
    </w:p>
    <w:p>
      <w:pPr>
        <w:ind w:firstLine="600" w:firstLineChars="200"/>
        <w:outlineLvl w:val="0"/>
        <w:rPr>
          <w:rFonts w:hint="eastAsia" w:ascii="仿宋_GB2312"/>
          <w:szCs w:val="32"/>
          <w:highlight w:val="none"/>
          <w:lang w:val="en-US" w:eastAsia="zh-Hans"/>
        </w:rPr>
      </w:pPr>
      <w:r>
        <w:rPr>
          <w:rFonts w:hint="eastAsia" w:ascii="仿宋_GB2312"/>
          <w:szCs w:val="32"/>
          <w:highlight w:val="none"/>
          <w:lang w:val="en-US" w:eastAsia="zh-Hans"/>
        </w:rPr>
        <w:t>2020年朝阳区专利资助及奖励项目共受理符合条件的申请6747件，涉及246家单位（235家企业和11家高校科研机构）和17名个人。经审核，符合条件的授权奖励4085件（其中发明专利1538件、实用新型专利1417件、外观设计专利1079件、国外发明专利51件），奖励金额533.4500万元；年费资助2660件（其中发明专利1268件、实用新型专利854件、外观设计专利538件），资助金额53.3140万元；配套奖励2件，分别是1项中国专利奖银奖和1项中国专利优秀奖。</w:t>
      </w:r>
    </w:p>
    <w:p>
      <w:pPr>
        <w:ind w:firstLine="600" w:firstLineChars="200"/>
        <w:outlineLvl w:val="0"/>
        <w:rPr>
          <w:rFonts w:hint="eastAsia" w:ascii="仿宋_GB2312"/>
          <w:szCs w:val="32"/>
          <w:highlight w:val="none"/>
          <w:lang w:val="en-US" w:eastAsia="zh-Hans"/>
        </w:rPr>
      </w:pPr>
      <w:r>
        <w:rPr>
          <w:rFonts w:hint="eastAsia" w:ascii="仿宋_GB2312"/>
          <w:szCs w:val="32"/>
          <w:highlight w:val="none"/>
          <w:lang w:val="en-US" w:eastAsia="zh-CN"/>
        </w:rPr>
        <w:t>4、</w:t>
      </w:r>
      <w:r>
        <w:rPr>
          <w:rFonts w:hint="eastAsia" w:ascii="仿宋_GB2312"/>
          <w:szCs w:val="32"/>
          <w:highlight w:val="none"/>
          <w:lang w:val="en-US" w:eastAsia="zh-Hans"/>
        </w:rPr>
        <w:t>知识产权公共服务工作站经费支持项目（17万元）</w:t>
      </w:r>
    </w:p>
    <w:p>
      <w:pPr>
        <w:ind w:firstLine="600" w:firstLineChars="200"/>
        <w:outlineLvl w:val="0"/>
        <w:rPr>
          <w:rFonts w:hint="eastAsia" w:ascii="仿宋_GB2312"/>
          <w:szCs w:val="32"/>
          <w:highlight w:val="none"/>
          <w:lang w:val="en-US" w:eastAsia="zh-Hans"/>
        </w:rPr>
      </w:pPr>
      <w:r>
        <w:rPr>
          <w:rFonts w:hint="eastAsia" w:ascii="仿宋_GB2312"/>
          <w:szCs w:val="32"/>
          <w:highlight w:val="none"/>
          <w:lang w:val="en-US" w:eastAsia="zh-Hans"/>
        </w:rPr>
        <w:t>根据《朝阳区知识产权保护服务分中心、工作站管理办法》（朝知文〔2018〕4号）（以下简称《管理办法》）第十条 “朝阳区知识产权局根据上年度北京12330考核结果，每年对区内各工作站根据评价等次，给予最高不超过5万元的经费支持。”规定，知识产权专项资金监管小组拟对考核成绩在60分以上的6家工作站给予经费支持。即对获“优秀工作站”称号的朝阳国家文化产业创新实验区工作站给予4万元经费支持，对考核成绩为80以上的其他3家工作站分别给予3万元经费支持，对考核成绩为60-80分的2家工作站分别给予2万元经费支持。总支持资金为17万元。</w:t>
      </w:r>
    </w:p>
    <w:p>
      <w:pPr>
        <w:ind w:firstLine="600" w:firstLineChars="200"/>
        <w:outlineLvl w:val="0"/>
        <w:rPr>
          <w:rFonts w:hint="eastAsia" w:ascii="仿宋_GB2312"/>
          <w:szCs w:val="32"/>
          <w:highlight w:val="none"/>
          <w:lang w:val="en-US" w:eastAsia="zh-Hans"/>
        </w:rPr>
      </w:pPr>
      <w:r>
        <w:rPr>
          <w:rFonts w:hint="eastAsia" w:ascii="仿宋_GB2312"/>
          <w:szCs w:val="32"/>
          <w:highlight w:val="none"/>
          <w:lang w:val="en-US" w:eastAsia="zh-CN"/>
        </w:rPr>
        <w:t>5、</w:t>
      </w:r>
      <w:r>
        <w:rPr>
          <w:rFonts w:hint="eastAsia" w:ascii="仿宋_GB2312"/>
          <w:szCs w:val="32"/>
          <w:highlight w:val="none"/>
          <w:lang w:val="en-US" w:eastAsia="zh-Hans"/>
        </w:rPr>
        <w:t>专利技术产业化项目（200万元）</w:t>
      </w:r>
    </w:p>
    <w:p>
      <w:pPr>
        <w:ind w:firstLine="600" w:firstLineChars="200"/>
        <w:outlineLvl w:val="0"/>
        <w:rPr>
          <w:rFonts w:hint="eastAsia" w:ascii="仿宋_GB2312"/>
          <w:szCs w:val="32"/>
          <w:highlight w:val="none"/>
          <w:lang w:val="en-US" w:eastAsia="zh-Hans"/>
        </w:rPr>
      </w:pPr>
      <w:r>
        <w:rPr>
          <w:rFonts w:hint="eastAsia" w:ascii="仿宋_GB2312"/>
          <w:szCs w:val="32"/>
          <w:highlight w:val="none"/>
          <w:lang w:val="en-US" w:eastAsia="zh-Hans"/>
        </w:rPr>
        <w:t>依据《朝阳区专利技术产业化项目资助管理办法》（朝知文〔2016〕1号），鼓励和支持企业按市场需求先行投入资金开展专利技术产业化活动，按照面向结果、绩效导向、效率优先的方针进行审核立项，择优对已产生显著经济效益专利技术的实施给予支持。项目资助实行“总额控制、科学管理、择优支持、专款专用”的原则。对象是对于技术先进、市场需求度高、产业化收入在500万元以上或同比增长50%以上的专利转化项目，根据转化投入、经济效益及知识产权情况等，分为三档进行资助，2019年区级收入1000万以上的资助额度为30万元，2019年区级收入100万以上1000万以下的资助额度为20万元，2019年区级收入100万以下的资助额度为15万元，共计200万元。</w:t>
      </w:r>
    </w:p>
    <w:p>
      <w:pPr>
        <w:ind w:firstLine="600" w:firstLineChars="200"/>
        <w:outlineLvl w:val="0"/>
        <w:rPr>
          <w:rFonts w:hint="eastAsia" w:ascii="仿宋_GB2312"/>
          <w:szCs w:val="32"/>
          <w:highlight w:val="none"/>
          <w:lang w:val="en-US" w:eastAsia="zh-Hans"/>
        </w:rPr>
      </w:pPr>
      <w:r>
        <w:rPr>
          <w:rFonts w:hint="eastAsia" w:ascii="仿宋_GB2312"/>
          <w:szCs w:val="32"/>
          <w:highlight w:val="none"/>
          <w:lang w:val="en-US" w:eastAsia="zh-CN"/>
        </w:rPr>
        <w:t>6、</w:t>
      </w:r>
      <w:r>
        <w:rPr>
          <w:rFonts w:hint="eastAsia" w:ascii="仿宋_GB2312"/>
          <w:szCs w:val="32"/>
          <w:highlight w:val="none"/>
          <w:lang w:val="en-US" w:eastAsia="zh-Hans"/>
        </w:rPr>
        <w:t>专利导航、知识产权战略研究项目（22.436万元）</w:t>
      </w:r>
    </w:p>
    <w:p>
      <w:pPr>
        <w:ind w:firstLine="600" w:firstLineChars="200"/>
        <w:outlineLvl w:val="0"/>
        <w:rPr>
          <w:rFonts w:hint="eastAsia" w:ascii="仿宋_GB2312"/>
          <w:szCs w:val="32"/>
          <w:highlight w:val="none"/>
          <w:lang w:val="en-US" w:eastAsia="zh-Hans"/>
        </w:rPr>
      </w:pPr>
      <w:r>
        <w:rPr>
          <w:rFonts w:hint="eastAsia" w:ascii="仿宋_GB2312"/>
          <w:szCs w:val="32"/>
          <w:highlight w:val="none"/>
          <w:lang w:val="en-US" w:eastAsia="zh-Hans"/>
        </w:rPr>
        <w:t>依据《朝阳区知识产权重点企业培育促进办法》（朝知文〔2015〕2号），鼓励、支持企事业单位以专利信息分析为基础，开展专利导航、知识产权战略研究工作，以便更好地掌握行业技术动态，明晰研发方向，开拓推广市场，制定知识产权发展规划。对象为国家级示范及优势企业、北京市示范和试点企业，我区共计261家。经过公开征集，共收到资助申请7项，最终按期提交项目报告并参加评审的5项。经评审，根据专家评分及资金预算，拟对评分为80分以上的3家企业，每家予以5万元资助，对评分为75至80分的1家企业予以4万元资助，对评分为70至75分的1家企业予以3.436万元资助，资助资金共计22.436万元。</w:t>
      </w:r>
    </w:p>
    <w:p>
      <w:pPr>
        <w:ind w:firstLine="600" w:firstLineChars="200"/>
        <w:outlineLvl w:val="0"/>
        <w:rPr>
          <w:rFonts w:hint="eastAsia" w:ascii="仿宋_GB2312"/>
          <w:szCs w:val="32"/>
          <w:highlight w:val="none"/>
          <w:lang w:val="en-US" w:eastAsia="zh-Hans"/>
        </w:rPr>
      </w:pPr>
      <w:r>
        <w:rPr>
          <w:rFonts w:hint="eastAsia" w:ascii="仿宋_GB2312"/>
          <w:szCs w:val="32"/>
          <w:highlight w:val="none"/>
          <w:lang w:val="en-US" w:eastAsia="zh-CN"/>
        </w:rPr>
        <w:t>7、</w:t>
      </w:r>
      <w:r>
        <w:rPr>
          <w:rFonts w:hint="eastAsia" w:ascii="仿宋_GB2312"/>
          <w:szCs w:val="32"/>
          <w:highlight w:val="none"/>
          <w:lang w:val="en-US" w:eastAsia="zh-Hans"/>
        </w:rPr>
        <w:t>知识产权服务机构资助（49万元）</w:t>
      </w:r>
    </w:p>
    <w:p>
      <w:pPr>
        <w:ind w:firstLine="600" w:firstLineChars="200"/>
        <w:outlineLvl w:val="0"/>
        <w:rPr>
          <w:rFonts w:hint="eastAsia" w:ascii="仿宋_GB2312"/>
          <w:szCs w:val="32"/>
          <w:highlight w:val="none"/>
          <w:lang w:val="en-US" w:eastAsia="zh-Hans"/>
        </w:rPr>
      </w:pPr>
      <w:r>
        <w:rPr>
          <w:rFonts w:hint="eastAsia" w:ascii="仿宋_GB2312"/>
          <w:szCs w:val="32"/>
          <w:highlight w:val="none"/>
          <w:lang w:val="en-US" w:eastAsia="zh-Hans"/>
        </w:rPr>
        <w:t>根据《朝阳区知识产权服务机构资助办法》（朝知文〔2016〕3号）和《朝阳区知识产权服务机构认定、评选细则》，开展知识产权专业服务机构和专利代理服务机构的认定、评选工作，对通过认定、评选的服务机构予以资金资助。知识产权服务机构资助实行公开、公平、公正的原则，每两年开展一次，自愿申报，择优资助。对象为在我区注册，以知识产权服务为主营业务，有固定经营场所和一定数量的知识产权专职服务人员的专业服务机构。同一机构获得资助的次数不超过两次。</w:t>
      </w:r>
    </w:p>
    <w:p>
      <w:pPr>
        <w:ind w:firstLine="600" w:firstLineChars="200"/>
        <w:outlineLvl w:val="0"/>
        <w:rPr>
          <w:rFonts w:hint="eastAsia" w:ascii="仿宋_GB2312"/>
          <w:szCs w:val="32"/>
          <w:highlight w:val="none"/>
          <w:lang w:val="en-US" w:eastAsia="zh-Hans"/>
        </w:rPr>
      </w:pPr>
      <w:r>
        <w:rPr>
          <w:rFonts w:hint="eastAsia" w:ascii="仿宋_GB2312"/>
          <w:szCs w:val="32"/>
          <w:highlight w:val="none"/>
          <w:lang w:val="en-US" w:eastAsia="zh-Hans"/>
        </w:rPr>
        <w:t>截止到2019年底，全区有开展专利代理、诉讼服务的正规机构117家，我们都一一进行了定点通知，根据政策认定条件“专利代理人10名及以上、诉讼案件20件及以上等”要求，符合申报条件的机构不超过40家，再加上“同一机构获得资助的次数不超过两次”的规定，故此，知识产权服务机构资助共征集20项。其中，8家服务机构资助两次，符合评审条件的12项。</w:t>
      </w:r>
    </w:p>
    <w:p>
      <w:pPr>
        <w:ind w:firstLine="600" w:firstLineChars="200"/>
        <w:outlineLvl w:val="0"/>
        <w:rPr>
          <w:rFonts w:hint="eastAsia" w:ascii="仿宋_GB2312"/>
          <w:szCs w:val="32"/>
          <w:highlight w:val="none"/>
          <w:lang w:val="en-US" w:eastAsia="zh-Hans"/>
        </w:rPr>
      </w:pPr>
      <w:r>
        <w:rPr>
          <w:rFonts w:hint="eastAsia" w:ascii="仿宋_GB2312"/>
          <w:szCs w:val="32"/>
          <w:highlight w:val="none"/>
          <w:lang w:val="en-US" w:eastAsia="zh-Hans"/>
        </w:rPr>
        <w:t>经评审，按照专家评分及资金预算，结合财政绩效目标任务，拟对得分75分及以下的机构不予资助。因此，拟认定北京康盛知识产权代理有限公司等8家机构为“朝阳区优秀专利代理服务机构（2018—2019年度）”，拟分为两档进行资助，对北京律智知识产权代理有限公司等2家2018至2019年度区级税收超过300万元的机构分别给予8万元资助，其余6家机构分别给予5.5万元的资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01" w:firstLineChars="200"/>
        <w:jc w:val="both"/>
        <w:textAlignment w:val="auto"/>
        <w:outlineLvl w:val="0"/>
        <w:rPr>
          <w:rFonts w:hint="eastAsia" w:ascii="仿宋_GB2312" w:hAnsi="仿宋_GB2312" w:eastAsia="仿宋_GB2312" w:cs="仿宋_GB2312"/>
          <w:b w:val="0"/>
          <w:bCs w:val="0"/>
          <w:szCs w:val="32"/>
          <w:lang w:eastAsia="zh-CN"/>
        </w:rPr>
      </w:pPr>
      <w:r>
        <w:rPr>
          <w:rFonts w:hint="default" w:ascii="楷体_GB2312" w:hAnsi="楷体_GB2312" w:eastAsia="楷体_GB2312" w:cs="楷体_GB2312"/>
          <w:b/>
          <w:bCs/>
          <w:szCs w:val="32"/>
        </w:rPr>
        <w:t>（</w:t>
      </w:r>
      <w:r>
        <w:rPr>
          <w:rFonts w:hint="eastAsia" w:ascii="楷体_GB2312" w:hAnsi="楷体_GB2312" w:eastAsia="楷体_GB2312" w:cs="楷体_GB2312"/>
          <w:b/>
          <w:bCs/>
          <w:szCs w:val="32"/>
          <w:lang w:val="en-US" w:eastAsia="zh-Hans"/>
        </w:rPr>
        <w:t>二</w:t>
      </w:r>
      <w:r>
        <w:rPr>
          <w:rFonts w:hint="default" w:ascii="楷体_GB2312" w:hAnsi="楷体_GB2312" w:eastAsia="楷体_GB2312" w:cs="楷体_GB2312"/>
          <w:b/>
          <w:bCs/>
          <w:szCs w:val="32"/>
        </w:rPr>
        <w:t>）</w:t>
      </w:r>
      <w:r>
        <w:rPr>
          <w:rFonts w:hint="eastAsia" w:ascii="楷体_GB2312" w:hAnsi="楷体_GB2312" w:eastAsia="楷体_GB2312" w:cs="楷体_GB2312"/>
          <w:b/>
          <w:bCs/>
          <w:szCs w:val="32"/>
          <w:lang w:val="en-US" w:eastAsia="zh-CN"/>
        </w:rPr>
        <w:t>2020年</w:t>
      </w:r>
      <w:r>
        <w:rPr>
          <w:rFonts w:hint="eastAsia" w:ascii="楷体_GB2312" w:hAnsi="楷体_GB2312" w:eastAsia="楷体_GB2312" w:cs="楷体_GB2312"/>
          <w:b/>
          <w:bCs/>
          <w:szCs w:val="32"/>
        </w:rPr>
        <w:t>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0"/>
        <w:rPr>
          <w:rFonts w:hint="eastAsia" w:ascii="仿宋_GB2312" w:hAnsi="仿宋_GB2312" w:eastAsia="仿宋_GB2312" w:cs="仿宋_GB2312"/>
          <w:b w:val="0"/>
          <w:bCs w:val="0"/>
          <w:szCs w:val="32"/>
          <w:lang w:eastAsia="zh-CN"/>
        </w:rPr>
      </w:pPr>
      <w:r>
        <w:rPr>
          <w:rFonts w:hint="eastAsia" w:ascii="仿宋_GB2312" w:hAnsi="仿宋_GB2312" w:cs="仿宋_GB2312"/>
          <w:b w:val="0"/>
          <w:bCs w:val="0"/>
          <w:szCs w:val="32"/>
          <w:lang w:val="en-US" w:eastAsia="zh-Hans"/>
        </w:rPr>
        <w:t>朝阳区知识产权运营服务体系建设项目</w:t>
      </w:r>
      <w:r>
        <w:rPr>
          <w:rFonts w:hint="default" w:ascii="仿宋_GB2312" w:hAnsi="仿宋_GB2312" w:cs="仿宋_GB2312"/>
          <w:b w:val="0"/>
          <w:bCs w:val="0"/>
          <w:szCs w:val="32"/>
          <w:lang w:eastAsia="zh-Hans"/>
        </w:rPr>
        <w:t>2020</w:t>
      </w:r>
      <w:r>
        <w:rPr>
          <w:rFonts w:hint="eastAsia" w:ascii="仿宋_GB2312" w:hAnsi="仿宋_GB2312" w:cs="仿宋_GB2312"/>
          <w:b w:val="0"/>
          <w:bCs w:val="0"/>
          <w:szCs w:val="32"/>
          <w:lang w:val="en-US" w:eastAsia="zh-Hans"/>
        </w:rPr>
        <w:t>年的总体目标是打造朝阳区知识产权运营服务体系“1+1+N”的政策体系</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val="en-US" w:eastAsia="zh-Hans"/>
        </w:rPr>
        <w:t>加强区域知识产权资助奖励，营造良好的知识产权营商环境。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0"/>
        <w:rPr>
          <w:rFonts w:hint="default" w:ascii="仿宋_GB2312" w:hAnsi="仿宋_GB2312" w:cs="仿宋_GB2312"/>
          <w:b w:val="0"/>
          <w:bCs w:val="0"/>
          <w:szCs w:val="32"/>
          <w:lang w:eastAsia="zh-Hans"/>
        </w:rPr>
      </w:pPr>
      <w:r>
        <w:rPr>
          <w:rFonts w:hint="default" w:ascii="仿宋_GB2312" w:hAnsi="仿宋_GB2312" w:cs="仿宋_GB2312"/>
          <w:b w:val="0"/>
          <w:bCs w:val="0"/>
          <w:szCs w:val="32"/>
          <w:lang w:eastAsia="zh-Hans"/>
        </w:rPr>
        <w:t>朝阳区市场监督管理局为加快推进朝阳区知识产权运营服务体系建设工作，做好各项目间的统筹规划，在知识产权运营服务体系建设的前期阶段对政策体系进行搭建，着力打造朝阳区知识产权运营服务体系“1+1+N”的政策体系。政策体系中的第一个“1”指的是《北京市朝阳区市场监督管理局关于北京市朝阳区知识产权运营服务体系建设实施方案（2020—2023年）》（以下简称“实施方案”），实施方案是三年建设的总体计划，是朝阳区知识产权运营服务体系建设的总体纲领，另外一个“1”是《北京市朝阳区知识产权运营服务体系建设</w:t>
      </w:r>
      <w:r>
        <w:rPr>
          <w:rFonts w:hint="eastAsia" w:ascii="仿宋_GB2312" w:hAnsi="仿宋_GB2312" w:cs="仿宋_GB2312"/>
          <w:b w:val="0"/>
          <w:bCs w:val="0"/>
          <w:szCs w:val="32"/>
          <w:lang w:val="en-US" w:eastAsia="zh-CN"/>
        </w:rPr>
        <w:t>专项</w:t>
      </w:r>
      <w:r>
        <w:rPr>
          <w:rFonts w:hint="default" w:ascii="仿宋_GB2312" w:hAnsi="仿宋_GB2312" w:cs="仿宋_GB2312"/>
          <w:b w:val="0"/>
          <w:bCs w:val="0"/>
          <w:szCs w:val="32"/>
          <w:lang w:eastAsia="zh-Hans"/>
        </w:rPr>
        <w:t>资金管理办法》，制度化地规范项目建设期内中央专项资金使用、监督和管理，“N”是项目实施时配套出台的相关政策，力争打造一个完整的区域知识产权政策管理体系。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0"/>
        <w:rPr>
          <w:rFonts w:hint="default" w:ascii="仿宋_GB2312" w:hAnsi="仿宋_GB2312" w:cs="仿宋_GB2312"/>
          <w:b w:val="0"/>
          <w:bCs w:val="0"/>
          <w:szCs w:val="32"/>
          <w:lang w:eastAsia="zh-Hans"/>
        </w:rPr>
      </w:pPr>
      <w:r>
        <w:rPr>
          <w:rFonts w:hint="default" w:ascii="仿宋_GB2312" w:hAnsi="仿宋_GB2312" w:cs="仿宋_GB2312"/>
          <w:b w:val="0"/>
          <w:bCs w:val="0"/>
          <w:szCs w:val="32"/>
          <w:lang w:eastAsia="zh-Hans"/>
        </w:rPr>
        <w:t>目前，我局已根据实施方案制定了《北京市朝阳区市场监督管理局关于北京市朝阳区知识产权运营服务体系建设实施方案（2020—2023年）的落实方案》，落实方案从建立健全知识产权引领产业发展工作机制、支持创新主体提高知识产权运用能力、深化知识产权金融服务、高水平建设知识产权运营服务生态集聚区四大方面推进朝阳区知识产权运营城市建设，四大重点任务进一步分解为29项具体工作。落实方案从工作专班、资金使用、人才智库、制度建设、监督考核、宣传推广六大方面完善保障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0"/>
        <w:rPr>
          <w:rFonts w:hint="default" w:ascii="仿宋_GB2312" w:hAnsi="仿宋_GB2312" w:cs="仿宋_GB2312"/>
          <w:b w:val="0"/>
          <w:bCs w:val="0"/>
          <w:szCs w:val="32"/>
          <w:lang w:eastAsia="zh-Hans"/>
        </w:rPr>
      </w:pPr>
      <w:r>
        <w:rPr>
          <w:rFonts w:hint="default" w:ascii="仿宋_GB2312" w:hAnsi="仿宋_GB2312" w:cs="仿宋_GB2312"/>
          <w:b w:val="0"/>
          <w:bCs w:val="0"/>
          <w:szCs w:val="32"/>
          <w:lang w:eastAsia="zh-Hans"/>
        </w:rPr>
        <w:t>为推进朝阳区知识产权运营服务体系建设工作，规范专项资金管理，提高专项资金使用效益，根据《财政部办公厅 国家知识产权局办公室关于做好2020年知识产权运营服务体系建设工作的通知》（财办建〔2020〕40号）和《北京市朝阳区知识产权运营服务体系建设实施方案（2020-2023年）》（朝政办函〔2020〕30号）的要求，特制定《北京市朝阳区知识产权运营服务体系建设专项资金管理办法》，严格遵守《服务业发展资金管理办法》《北京市政府购买服务预算管理办法》《北京市2020-2022年政府采购集中采购目录及标准》等相关规定和财政管理制度，坚持“公开、公平、公正”的资金使用和管理原则，实行自愿申报、专家评审、第三方机构评审、社会公示、科学决策、绩效评价的管理模式，明确区财政局、区审计局与我局对专项资金使用管理及监督的职责分工，确保专项资金发挥最大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0"/>
        <w:rPr>
          <w:rFonts w:hint="default" w:ascii="仿宋_GB2312" w:hAnsi="仿宋_GB2312" w:cs="仿宋_GB2312"/>
          <w:b w:val="0"/>
          <w:bCs w:val="0"/>
          <w:szCs w:val="32"/>
          <w:lang w:eastAsia="zh-Hans"/>
        </w:rPr>
      </w:pPr>
      <w:r>
        <w:rPr>
          <w:rFonts w:hint="default" w:ascii="仿宋_GB2312" w:hAnsi="仿宋_GB2312" w:cs="仿宋_GB2312"/>
          <w:b w:val="0"/>
          <w:bCs w:val="0"/>
          <w:szCs w:val="32"/>
          <w:lang w:eastAsia="zh-Hans"/>
        </w:rPr>
        <w:t>为推进落实朝阳区知识产权运营服务体系建设工作，规范北京市朝阳区知识产权运营服务体系建设专家库建设、管理、使用等工作，根据实施方案的任务要求，特制定《北京市朝阳区知识产权运营服务体系建设专家库管理办法》，明确专家的入库条件和征集方式、专家库管理流程、专家选取与使用、监督与管理等各项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0"/>
        <w:rPr>
          <w:rFonts w:hint="default" w:ascii="仿宋_GB2312" w:hAnsi="仿宋_GB2312" w:cs="仿宋_GB2312"/>
          <w:b w:val="0"/>
          <w:bCs w:val="0"/>
          <w:szCs w:val="32"/>
          <w:lang w:eastAsia="zh-Hans"/>
        </w:rPr>
      </w:pPr>
      <w:r>
        <w:rPr>
          <w:rFonts w:hint="default" w:ascii="仿宋_GB2312" w:hAnsi="仿宋_GB2312" w:cs="仿宋_GB2312"/>
          <w:b w:val="0"/>
          <w:bCs w:val="0"/>
          <w:szCs w:val="32"/>
          <w:lang w:eastAsia="zh-Hans"/>
        </w:rPr>
        <w:t>为提高调查研究工作的科学性、前瞻性和实用性，规范调查研究课题全过程管理，特制定《北京市朝阳区知识产权运营服务体系建设调查研究课题管理办法》，明确课题立项管理、过程管理、经费管理和成果管理等多项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0"/>
        <w:rPr>
          <w:rFonts w:hint="eastAsia" w:ascii="仿宋_GB2312" w:hAnsi="仿宋_GB2312" w:cs="仿宋_GB2312"/>
          <w:b w:val="0"/>
          <w:bCs w:val="0"/>
          <w:szCs w:val="32"/>
          <w:lang w:eastAsia="zh-CN"/>
        </w:rPr>
      </w:pPr>
      <w:r>
        <w:rPr>
          <w:rFonts w:hint="default" w:ascii="仿宋_GB2312" w:hAnsi="仿宋_GB2312" w:cs="仿宋_GB2312"/>
          <w:b w:val="0"/>
          <w:bCs w:val="0"/>
          <w:szCs w:val="32"/>
          <w:lang w:eastAsia="zh-CN"/>
        </w:rPr>
        <w:t>2020</w:t>
      </w:r>
      <w:r>
        <w:rPr>
          <w:rFonts w:hint="eastAsia" w:ascii="仿宋_GB2312" w:hAnsi="仿宋_GB2312" w:cs="仿宋_GB2312"/>
          <w:b w:val="0"/>
          <w:bCs w:val="0"/>
          <w:szCs w:val="32"/>
          <w:lang w:val="en-US" w:eastAsia="zh-Hans"/>
        </w:rPr>
        <w:t>年</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val="en-US" w:eastAsia="zh-Hans"/>
        </w:rPr>
        <w:t>延续朝阳区</w:t>
      </w:r>
      <w:r>
        <w:rPr>
          <w:rFonts w:hint="eastAsia" w:ascii="仿宋_GB2312" w:hAnsi="仿宋_GB2312" w:cs="仿宋_GB2312"/>
          <w:b w:val="0"/>
          <w:bCs w:val="0"/>
          <w:szCs w:val="32"/>
          <w:lang w:val="en-US" w:eastAsia="zh-CN"/>
        </w:rPr>
        <w:t>知识产权资助奖励，</w:t>
      </w:r>
      <w:r>
        <w:rPr>
          <w:rFonts w:hint="eastAsia" w:ascii="仿宋_GB2312" w:hAnsi="仿宋_GB2312" w:cs="仿宋_GB2312"/>
          <w:b w:val="0"/>
          <w:bCs w:val="0"/>
          <w:szCs w:val="32"/>
          <w:lang w:val="en-US" w:eastAsia="zh-Hans"/>
        </w:rPr>
        <w:t>完成资助奖励</w:t>
      </w:r>
      <w:r>
        <w:rPr>
          <w:rFonts w:hint="default" w:ascii="仿宋_GB2312" w:hAnsi="仿宋_GB2312" w:cs="仿宋_GB2312"/>
          <w:b w:val="0"/>
          <w:bCs w:val="0"/>
          <w:szCs w:val="32"/>
          <w:lang w:eastAsia="zh-Hans"/>
        </w:rPr>
        <w:t>1300</w:t>
      </w:r>
      <w:r>
        <w:rPr>
          <w:rFonts w:hint="eastAsia" w:ascii="仿宋_GB2312" w:hAnsi="仿宋_GB2312" w:cs="仿宋_GB2312"/>
          <w:b w:val="0"/>
          <w:bCs w:val="0"/>
          <w:szCs w:val="32"/>
          <w:lang w:val="en-US" w:eastAsia="zh-Hans"/>
        </w:rPr>
        <w:t>万元</w:t>
      </w:r>
      <w:r>
        <w:rPr>
          <w:rFonts w:hint="default" w:ascii="仿宋_GB2312" w:hAnsi="仿宋_GB2312" w:cs="仿宋_GB2312"/>
          <w:b w:val="0"/>
          <w:bCs w:val="0"/>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1" w:firstLineChars="200"/>
        <w:jc w:val="both"/>
        <w:textAlignment w:val="auto"/>
        <w:outlineLvl w:val="0"/>
        <w:rPr>
          <w:rFonts w:hint="eastAsia" w:ascii="仿宋_GB2312"/>
          <w:szCs w:val="32"/>
          <w:highlight w:val="none"/>
        </w:rPr>
      </w:pPr>
      <w:r>
        <w:rPr>
          <w:rFonts w:hint="default" w:ascii="楷体_GB2312" w:hAnsi="楷体_GB2312" w:eastAsia="楷体_GB2312" w:cs="楷体_GB2312"/>
          <w:b/>
          <w:bCs/>
          <w:szCs w:val="32"/>
          <w:highlight w:val="none"/>
        </w:rPr>
        <w:t>（</w:t>
      </w:r>
      <w:r>
        <w:rPr>
          <w:rFonts w:hint="eastAsia" w:ascii="楷体_GB2312" w:hAnsi="楷体_GB2312" w:eastAsia="楷体_GB2312" w:cs="楷体_GB2312"/>
          <w:b/>
          <w:bCs/>
          <w:szCs w:val="32"/>
          <w:highlight w:val="none"/>
          <w:lang w:val="en-US" w:eastAsia="zh-Hans"/>
        </w:rPr>
        <w:t>三</w:t>
      </w:r>
      <w:r>
        <w:rPr>
          <w:rFonts w:hint="default" w:ascii="楷体_GB2312" w:hAnsi="楷体_GB2312" w:eastAsia="楷体_GB2312" w:cs="楷体_GB2312"/>
          <w:b/>
          <w:bCs/>
          <w:szCs w:val="32"/>
          <w:highlight w:val="none"/>
        </w:rPr>
        <w:t>）</w:t>
      </w:r>
      <w:r>
        <w:rPr>
          <w:rFonts w:hint="eastAsia" w:ascii="楷体_GB2312" w:hAnsi="楷体_GB2312" w:eastAsia="楷体_GB2312" w:cs="楷体_GB2312"/>
          <w:b/>
          <w:bCs/>
          <w:szCs w:val="32"/>
          <w:highlight w:val="none"/>
          <w:lang w:val="en-US" w:eastAsia="zh-CN"/>
        </w:rPr>
        <w:t>2020年</w:t>
      </w:r>
      <w:r>
        <w:rPr>
          <w:rFonts w:hint="eastAsia" w:ascii="楷体_GB2312" w:hAnsi="楷体_GB2312" w:eastAsia="楷体_GB2312" w:cs="楷体_GB2312"/>
          <w:b/>
          <w:bCs/>
          <w:szCs w:val="32"/>
          <w:highlight w:val="none"/>
        </w:rPr>
        <w:t>绩效指标完成情况分析。</w:t>
      </w:r>
    </w:p>
    <w:p>
      <w:pPr>
        <w:ind w:firstLine="560" w:firstLineChars="200"/>
        <w:rPr>
          <w:rFonts w:hint="eastAsia" w:ascii="黑体" w:hAnsi="黑体" w:eastAsia="黑体" w:cs="黑体"/>
          <w:bCs/>
          <w:sz w:val="28"/>
          <w:szCs w:val="28"/>
          <w:lang w:val="en-US" w:eastAsia="zh-Hans"/>
        </w:rPr>
      </w:pPr>
      <w:r>
        <w:rPr>
          <w:rFonts w:hint="default" w:ascii="黑体" w:hAnsi="黑体" w:eastAsia="黑体" w:cs="黑体"/>
          <w:bCs/>
          <w:sz w:val="28"/>
          <w:szCs w:val="28"/>
        </w:rPr>
        <w:t>1、</w:t>
      </w:r>
      <w:r>
        <w:rPr>
          <w:rFonts w:hint="eastAsia" w:ascii="黑体" w:hAnsi="黑体" w:eastAsia="黑体" w:cs="黑体"/>
          <w:bCs/>
          <w:sz w:val="28"/>
          <w:szCs w:val="28"/>
          <w:lang w:val="en-US" w:eastAsia="zh-Hans"/>
        </w:rPr>
        <w:t>数量指标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0"/>
        <w:rPr>
          <w:rFonts w:hint="eastAsia" w:ascii="仿宋_GB2312" w:hAnsi="仿宋_GB2312" w:cs="仿宋_GB2312"/>
          <w:b w:val="0"/>
          <w:bCs w:val="0"/>
          <w:szCs w:val="32"/>
          <w:lang w:val="en-US" w:eastAsia="zh-Hans"/>
        </w:rPr>
      </w:pPr>
      <w:r>
        <w:rPr>
          <w:rFonts w:hint="default" w:ascii="仿宋_GB2312" w:hAnsi="仿宋_GB2312" w:cs="仿宋_GB2312"/>
          <w:b w:val="0"/>
          <w:bCs w:val="0"/>
          <w:szCs w:val="32"/>
          <w:lang w:eastAsia="zh-Hans"/>
        </w:rPr>
        <w:t>2020</w:t>
      </w:r>
      <w:r>
        <w:rPr>
          <w:rFonts w:hint="eastAsia" w:ascii="仿宋_GB2312" w:hAnsi="仿宋_GB2312" w:cs="仿宋_GB2312"/>
          <w:b w:val="0"/>
          <w:bCs w:val="0"/>
          <w:szCs w:val="32"/>
          <w:lang w:val="en-US" w:eastAsia="zh-Hans"/>
        </w:rPr>
        <w:t>年</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val="en-US" w:eastAsia="zh-Hans"/>
        </w:rPr>
        <w:t>朝阳区共完成专利资助奖励共完成6747件</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val="en-US" w:eastAsia="zh-Hans"/>
        </w:rPr>
        <w:t>专利技术产业化项目资助10家</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val="en-US" w:eastAsia="zh-Hans"/>
        </w:rPr>
        <w:t>知识产权质押贷款贴息资助10家</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val="en-US" w:eastAsia="zh-Hans"/>
        </w:rPr>
        <w:t>重点企业资助88家</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val="en-US" w:eastAsia="zh-Hans"/>
        </w:rPr>
        <w:t>知识产权服务机构认定和评选8家、知识产权公共服务工作站支持6家、专利导航和知识产权战略研究项目资助5家，共19家。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0"/>
        <w:rPr>
          <w:rFonts w:hint="eastAsia" w:ascii="仿宋_GB2312" w:hAnsi="仿宋_GB2312" w:cs="仿宋_GB2312"/>
          <w:b w:val="0"/>
          <w:bCs w:val="0"/>
          <w:szCs w:val="32"/>
          <w:lang w:val="en-US" w:eastAsia="zh-Hans"/>
        </w:rPr>
      </w:pPr>
      <w:r>
        <w:rPr>
          <w:rFonts w:hint="eastAsia" w:ascii="仿宋_GB2312" w:hAnsi="仿宋_GB2312" w:cs="仿宋_GB2312"/>
          <w:b w:val="0"/>
          <w:bCs w:val="0"/>
          <w:szCs w:val="32"/>
          <w:lang w:val="en-US" w:eastAsia="zh-Hans"/>
        </w:rPr>
        <w:t>所有数量指标中</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val="en-US" w:eastAsia="zh-Hans"/>
        </w:rPr>
        <w:t>除了专利资助奖励未达到指标</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val="en-US" w:eastAsia="zh-Hans"/>
        </w:rPr>
        <w:t>其他指标均已完成</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val="en-US" w:eastAsia="zh-Hans"/>
        </w:rPr>
        <w:t>其中</w:t>
      </w:r>
      <w:r>
        <w:rPr>
          <w:rFonts w:hint="default" w:ascii="仿宋_GB2312" w:hAnsi="仿宋_GB2312" w:cs="仿宋_GB2312"/>
          <w:b w:val="0"/>
          <w:bCs w:val="0"/>
          <w:szCs w:val="32"/>
          <w:lang w:eastAsia="zh-Hans"/>
        </w:rPr>
        <w:t>，知识产权质押贷款贴息资助、重点企业资助</w:t>
      </w:r>
      <w:r>
        <w:rPr>
          <w:rFonts w:hint="eastAsia" w:ascii="仿宋_GB2312" w:hAnsi="仿宋_GB2312" w:cs="仿宋_GB2312"/>
          <w:b w:val="0"/>
          <w:bCs w:val="0"/>
          <w:szCs w:val="32"/>
          <w:lang w:val="en-US" w:eastAsia="zh-Hans"/>
        </w:rPr>
        <w:t>和</w:t>
      </w:r>
      <w:r>
        <w:rPr>
          <w:rFonts w:hint="default" w:ascii="仿宋_GB2312" w:hAnsi="仿宋_GB2312" w:cs="仿宋_GB2312"/>
          <w:b w:val="0"/>
          <w:bCs w:val="0"/>
          <w:szCs w:val="32"/>
          <w:lang w:eastAsia="zh-Hans"/>
        </w:rPr>
        <w:t>知识产权服务机构认定和评选、知识产权维权援助服务分中心与工作站建设和专利导航、知识产权战略研究项目资助</w:t>
      </w:r>
      <w:r>
        <w:rPr>
          <w:rFonts w:hint="eastAsia" w:ascii="仿宋_GB2312" w:hAnsi="仿宋_GB2312" w:cs="仿宋_GB2312"/>
          <w:b w:val="0"/>
          <w:bCs w:val="0"/>
          <w:szCs w:val="32"/>
          <w:lang w:val="en-US" w:eastAsia="zh-Hans"/>
        </w:rPr>
        <w:t>指标超额完成</w:t>
      </w:r>
      <w:r>
        <w:rPr>
          <w:rFonts w:hint="default" w:ascii="仿宋_GB2312" w:hAnsi="仿宋_GB2312" w:cs="仿宋_GB2312"/>
          <w:b w:val="0"/>
          <w:bCs w:val="0"/>
          <w:szCs w:val="32"/>
          <w:lang w:eastAsia="zh-Hans"/>
        </w:rPr>
        <w:t>。</w:t>
      </w:r>
    </w:p>
    <w:p>
      <w:pPr>
        <w:numPr>
          <w:ilvl w:val="0"/>
          <w:numId w:val="1"/>
        </w:numPr>
        <w:ind w:firstLine="560" w:firstLineChars="200"/>
        <w:rPr>
          <w:rFonts w:hint="eastAsia" w:ascii="黑体" w:hAnsi="黑体" w:eastAsia="黑体" w:cs="黑体"/>
          <w:bCs/>
          <w:sz w:val="28"/>
          <w:szCs w:val="28"/>
          <w:lang w:val="en-US" w:eastAsia="zh-Hans"/>
        </w:rPr>
      </w:pPr>
      <w:r>
        <w:rPr>
          <w:rFonts w:hint="eastAsia" w:ascii="黑体" w:hAnsi="黑体" w:eastAsia="黑体" w:cs="黑体"/>
          <w:bCs/>
          <w:sz w:val="28"/>
          <w:szCs w:val="28"/>
          <w:lang w:val="en-US" w:eastAsia="zh-Hans"/>
        </w:rPr>
        <w:t>质量指标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0"/>
        <w:rPr>
          <w:rFonts w:hint="eastAsia" w:ascii="仿宋_GB2312" w:hAnsi="仿宋_GB2312" w:cs="仿宋_GB2312"/>
          <w:b w:val="0"/>
          <w:bCs w:val="0"/>
          <w:szCs w:val="32"/>
          <w:lang w:eastAsia="zh-Hans"/>
        </w:rPr>
      </w:pPr>
      <w:r>
        <w:rPr>
          <w:rFonts w:hint="eastAsia" w:ascii="仿宋_GB2312" w:hAnsi="仿宋_GB2312" w:cs="仿宋_GB2312"/>
          <w:b w:val="0"/>
          <w:bCs w:val="0"/>
          <w:szCs w:val="32"/>
          <w:lang w:eastAsia="zh-Hans"/>
        </w:rPr>
        <w:t>2020年，全区发明专利授权量11473件</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eastAsia="zh-Hans"/>
        </w:rPr>
        <w:t>产业化项目转化专利198件</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eastAsia="zh-Hans"/>
        </w:rPr>
        <w:t>通过知识产权质押贷款1.8亿元</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eastAsia="zh-Hans"/>
        </w:rPr>
        <w:t>贯标达标企业累计151家</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eastAsia="zh-Hans"/>
        </w:rPr>
        <w:t>开展专利信息分析利用5项，知识产权服务机构认定8家，解答知识产权相关咨询200余件，通过人民调解委员会调解知识产权纠纷案件5件。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0"/>
        <w:rPr>
          <w:rFonts w:hint="eastAsia" w:ascii="仿宋_GB2312" w:hAnsi="仿宋_GB2312" w:cs="仿宋_GB2312"/>
          <w:b w:val="0"/>
          <w:bCs w:val="0"/>
          <w:szCs w:val="32"/>
          <w:lang w:val="en-US" w:eastAsia="zh-Hans"/>
        </w:rPr>
      </w:pPr>
      <w:r>
        <w:rPr>
          <w:rFonts w:hint="eastAsia" w:ascii="仿宋_GB2312" w:hAnsi="仿宋_GB2312" w:cs="仿宋_GB2312"/>
          <w:b w:val="0"/>
          <w:bCs w:val="0"/>
          <w:szCs w:val="32"/>
          <w:lang w:val="en-US" w:eastAsia="zh-Hans"/>
        </w:rPr>
        <w:t>所有质量指标均已完成或超额完成</w:t>
      </w:r>
      <w:r>
        <w:rPr>
          <w:rFonts w:hint="default" w:ascii="仿宋_GB2312" w:hAnsi="仿宋_GB2312" w:cs="仿宋_GB2312"/>
          <w:b w:val="0"/>
          <w:bCs w:val="0"/>
          <w:szCs w:val="32"/>
          <w:lang w:eastAsia="zh-Hans"/>
        </w:rPr>
        <w:t>。</w:t>
      </w:r>
    </w:p>
    <w:p>
      <w:pPr>
        <w:ind w:firstLine="560" w:firstLineChars="200"/>
        <w:rPr>
          <w:rFonts w:hint="eastAsia" w:ascii="黑体" w:hAnsi="黑体" w:eastAsia="黑体" w:cs="黑体"/>
          <w:bCs/>
          <w:sz w:val="28"/>
          <w:szCs w:val="28"/>
          <w:lang w:val="en-US" w:eastAsia="zh-Hans"/>
        </w:rPr>
      </w:pPr>
      <w:r>
        <w:rPr>
          <w:rFonts w:hint="default" w:ascii="黑体" w:hAnsi="黑体" w:eastAsia="黑体" w:cs="黑体"/>
          <w:bCs/>
          <w:sz w:val="28"/>
          <w:szCs w:val="28"/>
          <w:lang w:eastAsia="zh-Hans"/>
        </w:rPr>
        <w:t>3、</w:t>
      </w:r>
      <w:r>
        <w:rPr>
          <w:rFonts w:hint="eastAsia" w:ascii="黑体" w:hAnsi="黑体" w:eastAsia="黑体" w:cs="黑体"/>
          <w:bCs/>
          <w:sz w:val="28"/>
          <w:szCs w:val="28"/>
          <w:lang w:val="en-US" w:eastAsia="zh-Hans"/>
        </w:rPr>
        <w:t>时效指标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0"/>
        <w:rPr>
          <w:rFonts w:hint="eastAsia" w:ascii="仿宋_GB2312" w:hAnsi="仿宋_GB2312" w:cs="仿宋_GB2312"/>
          <w:b w:val="0"/>
          <w:bCs w:val="0"/>
          <w:szCs w:val="32"/>
          <w:lang w:val="en-US" w:eastAsia="zh-Hans"/>
        </w:rPr>
      </w:pPr>
      <w:r>
        <w:rPr>
          <w:rFonts w:hint="eastAsia" w:ascii="仿宋_GB2312" w:hAnsi="仿宋_GB2312" w:cs="仿宋_GB2312"/>
          <w:b w:val="0"/>
          <w:bCs w:val="0"/>
          <w:szCs w:val="32"/>
          <w:lang w:val="en-US" w:eastAsia="zh-Hans"/>
        </w:rPr>
        <w:t>所有指标均在规定时限内完成</w:t>
      </w:r>
      <w:r>
        <w:rPr>
          <w:rFonts w:hint="default" w:ascii="仿宋_GB2312" w:hAnsi="仿宋_GB2312" w:cs="仿宋_GB2312"/>
          <w:b w:val="0"/>
          <w:bCs w:val="0"/>
          <w:szCs w:val="32"/>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0"/>
        <w:rPr>
          <w:rFonts w:hint="eastAsia" w:ascii="仿宋_GB2312" w:hAnsi="仿宋_GB2312" w:cs="仿宋_GB2312"/>
          <w:b w:val="0"/>
          <w:bCs w:val="0"/>
          <w:szCs w:val="32"/>
          <w:lang w:val="en-US" w:eastAsia="zh-Hans"/>
        </w:rPr>
      </w:pPr>
      <w:r>
        <w:rPr>
          <w:rFonts w:hint="eastAsia" w:ascii="仿宋_GB2312" w:hAnsi="仿宋_GB2312" w:cs="仿宋_GB2312"/>
          <w:b w:val="0"/>
          <w:bCs w:val="0"/>
          <w:szCs w:val="32"/>
          <w:lang w:val="en-US" w:eastAsia="zh-Hans"/>
        </w:rPr>
        <w:t>3月份完成知识产权质押贷款贴息资助和重点企业资助</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val="en-US" w:eastAsia="zh-Hans"/>
        </w:rPr>
        <w:t>7月份完成专利资助奖励和知识产权维权援助服务分中心与工作站建设和专利导航</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val="en-US" w:eastAsia="zh-Hans"/>
        </w:rPr>
        <w:t>9月份完成专利技术产业化项目资助</w:t>
      </w:r>
      <w:r>
        <w:rPr>
          <w:rFonts w:hint="default" w:ascii="仿宋_GB2312" w:hAnsi="仿宋_GB2312" w:cs="仿宋_GB2312"/>
          <w:b w:val="0"/>
          <w:bCs w:val="0"/>
          <w:szCs w:val="32"/>
          <w:lang w:eastAsia="zh-Hans"/>
        </w:rPr>
        <w:t>、知识产权服务机构认定和评选</w:t>
      </w:r>
      <w:r>
        <w:rPr>
          <w:rFonts w:hint="eastAsia" w:ascii="仿宋_GB2312" w:hAnsi="仿宋_GB2312" w:cs="仿宋_GB2312"/>
          <w:b w:val="0"/>
          <w:bCs w:val="0"/>
          <w:szCs w:val="32"/>
          <w:lang w:val="en-US" w:eastAsia="zh-Hans"/>
        </w:rPr>
        <w:t>和知识产权战略研究项目资助</w:t>
      </w:r>
      <w:r>
        <w:rPr>
          <w:rFonts w:hint="default" w:ascii="仿宋_GB2312" w:hAnsi="仿宋_GB2312" w:cs="仿宋_GB2312"/>
          <w:b w:val="0"/>
          <w:bCs w:val="0"/>
          <w:szCs w:val="32"/>
          <w:lang w:eastAsia="zh-Hans"/>
        </w:rPr>
        <w:t>。</w:t>
      </w:r>
    </w:p>
    <w:p>
      <w:pPr>
        <w:numPr>
          <w:ilvl w:val="0"/>
          <w:numId w:val="2"/>
        </w:numPr>
        <w:ind w:firstLine="560" w:firstLineChars="200"/>
        <w:rPr>
          <w:rFonts w:hint="eastAsia" w:ascii="黑体" w:hAnsi="黑体" w:eastAsia="黑体" w:cs="黑体"/>
          <w:bCs/>
          <w:sz w:val="28"/>
          <w:szCs w:val="28"/>
        </w:rPr>
      </w:pPr>
      <w:r>
        <w:rPr>
          <w:rFonts w:hint="eastAsia" w:ascii="黑体" w:hAnsi="黑体" w:eastAsia="黑体" w:cs="黑体"/>
          <w:bCs/>
          <w:sz w:val="28"/>
          <w:szCs w:val="28"/>
        </w:rPr>
        <w:t>成本指标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0"/>
        <w:rPr>
          <w:rFonts w:hint="eastAsia" w:ascii="仿宋_GB2312" w:hAnsi="仿宋_GB2312" w:cs="仿宋_GB2312"/>
          <w:b w:val="0"/>
          <w:bCs w:val="0"/>
          <w:szCs w:val="32"/>
          <w:lang w:val="en-US" w:eastAsia="zh-Hans"/>
        </w:rPr>
      </w:pPr>
      <w:r>
        <w:rPr>
          <w:rFonts w:hint="default" w:ascii="仿宋_GB2312" w:hAnsi="仿宋_GB2312" w:cs="仿宋_GB2312"/>
          <w:b w:val="0"/>
          <w:bCs w:val="0"/>
          <w:szCs w:val="32"/>
          <w:lang w:eastAsia="zh-Hans"/>
        </w:rPr>
        <w:t>2020</w:t>
      </w:r>
      <w:r>
        <w:rPr>
          <w:rFonts w:hint="eastAsia" w:ascii="仿宋_GB2312" w:hAnsi="仿宋_GB2312" w:cs="仿宋_GB2312"/>
          <w:b w:val="0"/>
          <w:bCs w:val="0"/>
          <w:szCs w:val="32"/>
          <w:lang w:val="en-US" w:eastAsia="zh-Hans"/>
        </w:rPr>
        <w:t>年</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val="en-US" w:eastAsia="zh-Hans"/>
        </w:rPr>
        <w:t>完成专利资助奖励591.764万</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val="en-US" w:eastAsia="zh-Hans"/>
        </w:rPr>
        <w:t>专利技术产业化项目资助200万</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val="en-US" w:eastAsia="zh-Hans"/>
        </w:rPr>
        <w:t>知识产权质押贷款贴息资助264.8万</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val="en-US" w:eastAsia="zh-Hans"/>
        </w:rPr>
        <w:t>重点企业资助155万</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val="en-US" w:eastAsia="zh-Hans"/>
        </w:rPr>
        <w:t>知识产权服务机构认定和评选49万、知识产权维权援助服务分中心与工作站建设和专利导航17万、知识产权战略研究项目资助22.436万</w:t>
      </w:r>
      <w:r>
        <w:rPr>
          <w:rFonts w:hint="default" w:ascii="仿宋_GB2312" w:hAnsi="仿宋_GB2312" w:cs="仿宋_GB2312"/>
          <w:b w:val="0"/>
          <w:bCs w:val="0"/>
          <w:szCs w:val="32"/>
          <w:lang w:eastAsia="zh-Hans"/>
        </w:rPr>
        <w:t>。</w:t>
      </w:r>
    </w:p>
    <w:p>
      <w:pPr>
        <w:numPr>
          <w:ilvl w:val="0"/>
          <w:numId w:val="2"/>
        </w:numPr>
        <w:ind w:firstLine="560" w:firstLineChars="200"/>
        <w:rPr>
          <w:rFonts w:hint="eastAsia" w:ascii="黑体" w:hAnsi="黑体" w:eastAsia="黑体" w:cs="黑体"/>
          <w:bCs/>
          <w:sz w:val="28"/>
          <w:szCs w:val="28"/>
        </w:rPr>
      </w:pPr>
      <w:r>
        <w:rPr>
          <w:rFonts w:hint="eastAsia" w:ascii="黑体" w:hAnsi="黑体" w:eastAsia="黑体" w:cs="黑体"/>
          <w:bCs/>
          <w:sz w:val="28"/>
          <w:szCs w:val="28"/>
        </w:rPr>
        <w:t>经济效益指标</w:t>
      </w:r>
    </w:p>
    <w:p>
      <w:pPr>
        <w:ind w:firstLine="600" w:firstLineChars="200"/>
        <w:rPr>
          <w:rFonts w:hint="eastAsia" w:ascii="仿宋_GB2312" w:hAnsi="仿宋_GB2312" w:cs="仿宋_GB2312"/>
          <w:b w:val="0"/>
          <w:bCs w:val="0"/>
          <w:szCs w:val="32"/>
          <w:lang w:eastAsia="zh-Hans"/>
        </w:rPr>
      </w:pPr>
      <w:r>
        <w:rPr>
          <w:rFonts w:hint="default" w:ascii="仿宋_GB2312" w:hAnsi="仿宋_GB2312" w:cs="仿宋_GB2312"/>
          <w:b w:val="0"/>
          <w:bCs w:val="0"/>
          <w:szCs w:val="32"/>
          <w:lang w:eastAsia="zh-Hans"/>
        </w:rPr>
        <w:t>2020</w:t>
      </w:r>
      <w:r>
        <w:rPr>
          <w:rFonts w:hint="eastAsia" w:ascii="仿宋_GB2312" w:hAnsi="仿宋_GB2312" w:cs="仿宋_GB2312"/>
          <w:b w:val="0"/>
          <w:bCs w:val="0"/>
          <w:szCs w:val="32"/>
          <w:lang w:val="en-US" w:eastAsia="zh-Hans"/>
        </w:rPr>
        <w:t>年</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val="en-US" w:eastAsia="zh-Hans"/>
        </w:rPr>
        <w:t>通过</w:t>
      </w:r>
      <w:r>
        <w:rPr>
          <w:rFonts w:hint="default" w:ascii="仿宋_GB2312" w:hAnsi="仿宋_GB2312" w:cs="仿宋_GB2312"/>
          <w:b w:val="0"/>
          <w:bCs w:val="0"/>
          <w:szCs w:val="32"/>
          <w:lang w:eastAsia="zh-Hans"/>
        </w:rPr>
        <w:t>知识产权质押贷款贴息资助</w:t>
      </w:r>
      <w:r>
        <w:rPr>
          <w:rFonts w:hint="eastAsia" w:ascii="仿宋_GB2312" w:hAnsi="仿宋_GB2312" w:cs="仿宋_GB2312"/>
          <w:b w:val="0"/>
          <w:bCs w:val="0"/>
          <w:szCs w:val="32"/>
          <w:lang w:eastAsia="zh-Hans"/>
        </w:rPr>
        <w:t>促进知识产权金融化</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eastAsia="zh-Hans"/>
        </w:rPr>
        <w:t>盘活知识产权资源，实现</w:t>
      </w:r>
      <w:r>
        <w:rPr>
          <w:rFonts w:hint="eastAsia" w:ascii="仿宋_GB2312" w:hAnsi="仿宋_GB2312" w:cs="仿宋_GB2312"/>
          <w:b w:val="0"/>
          <w:bCs w:val="0"/>
          <w:szCs w:val="32"/>
          <w:lang w:val="en-US" w:eastAsia="zh-Hans"/>
        </w:rPr>
        <w:t>其</w:t>
      </w:r>
      <w:r>
        <w:rPr>
          <w:rFonts w:hint="eastAsia" w:ascii="仿宋_GB2312" w:hAnsi="仿宋_GB2312" w:cs="仿宋_GB2312"/>
          <w:b w:val="0"/>
          <w:bCs w:val="0"/>
          <w:szCs w:val="32"/>
          <w:lang w:eastAsia="zh-Hans"/>
        </w:rPr>
        <w:t>经济价值</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eastAsia="zh-Hans"/>
        </w:rPr>
        <w:t>促进了区内知识产权金融水平稳步提高。</w:t>
      </w:r>
    </w:p>
    <w:p>
      <w:pPr>
        <w:numPr>
          <w:ilvl w:val="0"/>
          <w:numId w:val="2"/>
        </w:numPr>
        <w:ind w:firstLine="560" w:firstLineChars="200"/>
        <w:rPr>
          <w:rFonts w:hint="eastAsia" w:ascii="黑体" w:hAnsi="黑体" w:eastAsia="黑体" w:cs="黑体"/>
          <w:bCs/>
          <w:sz w:val="28"/>
          <w:szCs w:val="28"/>
        </w:rPr>
      </w:pPr>
      <w:r>
        <w:rPr>
          <w:rFonts w:hint="eastAsia" w:ascii="黑体" w:hAnsi="黑体" w:eastAsia="黑体" w:cs="黑体"/>
          <w:bCs/>
          <w:sz w:val="28"/>
          <w:szCs w:val="28"/>
        </w:rPr>
        <w:t>社会效益指标</w:t>
      </w:r>
    </w:p>
    <w:p>
      <w:pPr>
        <w:ind w:firstLine="600" w:firstLineChars="200"/>
        <w:rPr>
          <w:rFonts w:hint="default" w:ascii="仿宋_GB2312" w:hAnsi="仿宋_GB2312" w:cs="仿宋_GB2312"/>
          <w:b w:val="0"/>
          <w:bCs w:val="0"/>
          <w:szCs w:val="32"/>
          <w:lang w:eastAsia="zh-Hans"/>
        </w:rPr>
      </w:pPr>
      <w:r>
        <w:rPr>
          <w:rFonts w:hint="default" w:ascii="仿宋_GB2312" w:hAnsi="仿宋_GB2312" w:cs="仿宋_GB2312"/>
          <w:b w:val="0"/>
          <w:bCs w:val="0"/>
          <w:szCs w:val="32"/>
          <w:lang w:eastAsia="zh-Hans"/>
        </w:rPr>
        <w:t>2020年，全区专利申请及专利质量</w:t>
      </w:r>
      <w:r>
        <w:rPr>
          <w:rFonts w:hint="eastAsia" w:ascii="仿宋_GB2312" w:hAnsi="仿宋_GB2312" w:cs="仿宋_GB2312"/>
          <w:b w:val="0"/>
          <w:bCs w:val="0"/>
          <w:szCs w:val="32"/>
          <w:lang w:val="en-US" w:eastAsia="zh-Hans"/>
        </w:rPr>
        <w:t>显著</w:t>
      </w:r>
      <w:r>
        <w:rPr>
          <w:rFonts w:hint="default" w:ascii="仿宋_GB2312" w:hAnsi="仿宋_GB2312" w:cs="仿宋_GB2312"/>
          <w:b w:val="0"/>
          <w:bCs w:val="0"/>
          <w:szCs w:val="32"/>
          <w:lang w:eastAsia="zh-Hans"/>
        </w:rPr>
        <w:t>提升，发明专利授权量为11473件。通过开展专利导航知识产权战略研究项目，推动了专利技术运用，促进了专利导航产业发展；通过开展知识产权服务机构认定和评选，促进知识产权服务业发展；支持公共服务工作站建设，增强知识产权保护能力。</w:t>
      </w:r>
    </w:p>
    <w:p>
      <w:pPr>
        <w:numPr>
          <w:ilvl w:val="0"/>
          <w:numId w:val="2"/>
        </w:numPr>
        <w:ind w:firstLine="560" w:firstLineChars="200"/>
        <w:rPr>
          <w:rFonts w:hint="eastAsia" w:ascii="黑体" w:hAnsi="黑体" w:eastAsia="黑体" w:cs="黑体"/>
          <w:bCs/>
          <w:sz w:val="28"/>
          <w:szCs w:val="28"/>
        </w:rPr>
      </w:pPr>
      <w:r>
        <w:rPr>
          <w:rFonts w:hint="eastAsia" w:ascii="黑体" w:hAnsi="黑体" w:eastAsia="黑体" w:cs="黑体"/>
          <w:bCs/>
          <w:sz w:val="28"/>
          <w:szCs w:val="28"/>
        </w:rPr>
        <w:t>生态效益</w:t>
      </w:r>
    </w:p>
    <w:p>
      <w:pPr>
        <w:ind w:firstLine="600" w:firstLineChars="200"/>
        <w:rPr>
          <w:rFonts w:hint="eastAsia" w:ascii="仿宋_GB2312" w:hAnsi="仿宋_GB2312" w:cs="仿宋_GB2312"/>
          <w:b w:val="0"/>
          <w:bCs w:val="0"/>
          <w:szCs w:val="32"/>
          <w:lang w:eastAsia="zh-Hans"/>
        </w:rPr>
      </w:pPr>
      <w:r>
        <w:rPr>
          <w:rFonts w:hint="eastAsia" w:ascii="仿宋_GB2312" w:hAnsi="仿宋_GB2312" w:cs="仿宋_GB2312"/>
          <w:b w:val="0"/>
          <w:bCs w:val="0"/>
          <w:szCs w:val="32"/>
          <w:lang w:eastAsia="zh-Hans"/>
        </w:rPr>
        <w:t>专利技术产业化收入5亿元以上，项目支持新能源、新材料项目，为保护生态环境做贡献。</w:t>
      </w:r>
    </w:p>
    <w:p>
      <w:pPr>
        <w:numPr>
          <w:ilvl w:val="0"/>
          <w:numId w:val="2"/>
        </w:numPr>
        <w:ind w:firstLine="560" w:firstLineChars="200"/>
        <w:rPr>
          <w:rFonts w:hint="eastAsia" w:ascii="黑体" w:hAnsi="黑体" w:eastAsia="黑体" w:cs="黑体"/>
          <w:bCs/>
          <w:sz w:val="28"/>
          <w:szCs w:val="28"/>
        </w:rPr>
      </w:pPr>
      <w:r>
        <w:rPr>
          <w:rFonts w:hint="eastAsia" w:ascii="黑体" w:hAnsi="黑体" w:eastAsia="黑体" w:cs="黑体"/>
          <w:bCs/>
          <w:sz w:val="28"/>
          <w:szCs w:val="28"/>
        </w:rPr>
        <w:t>可持续影响指标</w:t>
      </w:r>
    </w:p>
    <w:p>
      <w:pPr>
        <w:ind w:firstLine="600" w:firstLineChars="200"/>
        <w:rPr>
          <w:rFonts w:hint="eastAsia" w:ascii="仿宋_GB2312" w:hAnsi="仿宋_GB2312" w:cs="仿宋_GB2312"/>
          <w:b w:val="0"/>
          <w:bCs w:val="0"/>
          <w:szCs w:val="32"/>
          <w:lang w:eastAsia="zh-Hans"/>
        </w:rPr>
      </w:pPr>
      <w:r>
        <w:rPr>
          <w:rFonts w:hint="eastAsia" w:ascii="仿宋_GB2312" w:hAnsi="仿宋_GB2312" w:cs="仿宋_GB2312"/>
          <w:b w:val="0"/>
          <w:bCs w:val="0"/>
          <w:szCs w:val="32"/>
          <w:lang w:eastAsia="zh-Hans"/>
        </w:rPr>
        <w:t>目前，全区共有贯标达标企业151家。通过规范企业知识产权管理，进一步提升了企业知识产权创造、运用和保护能力。</w:t>
      </w:r>
    </w:p>
    <w:p>
      <w:pPr>
        <w:numPr>
          <w:ilvl w:val="0"/>
          <w:numId w:val="2"/>
        </w:numPr>
        <w:ind w:firstLine="560" w:firstLineChars="200"/>
        <w:rPr>
          <w:rFonts w:hint="eastAsia" w:ascii="黑体" w:hAnsi="黑体" w:eastAsia="黑体" w:cs="黑体"/>
          <w:bCs/>
          <w:sz w:val="28"/>
          <w:szCs w:val="28"/>
        </w:rPr>
      </w:pPr>
      <w:r>
        <w:rPr>
          <w:rFonts w:hint="eastAsia" w:ascii="黑体" w:hAnsi="黑体" w:eastAsia="黑体" w:cs="黑体"/>
          <w:bCs/>
          <w:sz w:val="28"/>
          <w:szCs w:val="28"/>
        </w:rPr>
        <w:t>服务对象满意度指标</w:t>
      </w:r>
    </w:p>
    <w:p>
      <w:pPr>
        <w:ind w:firstLine="600" w:firstLineChars="200"/>
        <w:rPr>
          <w:rFonts w:hint="eastAsia" w:ascii="仿宋_GB2312" w:hAnsi="仿宋_GB2312" w:cs="仿宋_GB2312"/>
          <w:b w:val="0"/>
          <w:bCs w:val="0"/>
          <w:szCs w:val="32"/>
          <w:lang w:eastAsia="zh-Hans"/>
        </w:rPr>
      </w:pPr>
      <w:r>
        <w:rPr>
          <w:rFonts w:hint="default" w:ascii="仿宋_GB2312" w:hAnsi="仿宋_GB2312" w:cs="仿宋_GB2312"/>
          <w:b w:val="0"/>
          <w:bCs w:val="0"/>
          <w:szCs w:val="32"/>
          <w:lang w:eastAsia="zh-Hans"/>
        </w:rPr>
        <w:t>2020</w:t>
      </w:r>
      <w:r>
        <w:rPr>
          <w:rFonts w:hint="eastAsia" w:ascii="仿宋_GB2312" w:hAnsi="仿宋_GB2312" w:cs="仿宋_GB2312"/>
          <w:b w:val="0"/>
          <w:bCs w:val="0"/>
          <w:szCs w:val="32"/>
          <w:lang w:val="en-US" w:eastAsia="zh-Hans"/>
        </w:rPr>
        <w:t>年</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eastAsia="zh-Hans"/>
        </w:rPr>
        <w:t>专利权人满意度</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eastAsia="zh-Hans"/>
        </w:rPr>
        <w:t>企业满意度</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eastAsia="zh-Hans"/>
        </w:rPr>
        <w:t>金融机构满意度</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eastAsia="zh-Hans"/>
        </w:rPr>
        <w:t>重点企业满意度</w:t>
      </w:r>
      <w:r>
        <w:rPr>
          <w:rFonts w:hint="default" w:ascii="仿宋_GB2312" w:hAnsi="仿宋_GB2312" w:cs="仿宋_GB2312"/>
          <w:b w:val="0"/>
          <w:bCs w:val="0"/>
          <w:szCs w:val="32"/>
          <w:lang w:eastAsia="zh-Hans"/>
        </w:rPr>
        <w:t>、</w:t>
      </w:r>
      <w:r>
        <w:rPr>
          <w:rFonts w:hint="eastAsia" w:ascii="仿宋_GB2312" w:hAnsi="仿宋_GB2312" w:cs="仿宋_GB2312"/>
          <w:b w:val="0"/>
          <w:bCs w:val="0"/>
          <w:szCs w:val="32"/>
          <w:lang w:eastAsia="zh-Hans"/>
        </w:rPr>
        <w:t>专利信息分析利用企业满意度、服务机构满意度、知识产权维权援助服务分中心与工作站满意度</w:t>
      </w:r>
      <w:r>
        <w:rPr>
          <w:rFonts w:hint="eastAsia" w:ascii="仿宋_GB2312" w:hAnsi="仿宋_GB2312" w:cs="仿宋_GB2312"/>
          <w:b w:val="0"/>
          <w:bCs w:val="0"/>
          <w:szCs w:val="32"/>
          <w:lang w:val="en-US" w:eastAsia="zh-Hans"/>
        </w:rPr>
        <w:t>均为</w:t>
      </w:r>
      <w:r>
        <w:rPr>
          <w:rFonts w:hint="default" w:ascii="仿宋_GB2312" w:hAnsi="仿宋_GB2312" w:cs="仿宋_GB2312"/>
          <w:b w:val="0"/>
          <w:bCs w:val="0"/>
          <w:szCs w:val="32"/>
          <w:lang w:eastAsia="zh-Hans"/>
        </w:rPr>
        <w:t>100%。</w:t>
      </w:r>
    </w:p>
    <w:p>
      <w:pPr>
        <w:ind w:firstLine="600" w:firstLineChars="200"/>
        <w:rPr>
          <w:rFonts w:ascii="仿宋_GB2312"/>
          <w:szCs w:val="32"/>
        </w:rPr>
      </w:pPr>
      <w:r>
        <w:rPr>
          <w:rFonts w:hint="eastAsia" w:ascii="黑体" w:hAnsi="黑体" w:eastAsia="黑体" w:cs="黑体"/>
          <w:bCs/>
          <w:szCs w:val="32"/>
        </w:rPr>
        <w:t>三、偏离绩效目标的原因和下一步改进措施</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color w:val="auto"/>
          <w:sz w:val="32"/>
          <w:szCs w:val="32"/>
          <w:highlight w:val="none"/>
          <w:shd w:val="clear" w:color="auto" w:fill="auto"/>
          <w:lang w:val="en-US" w:eastAsia="zh-CN"/>
        </w:rPr>
      </w:pPr>
      <w:r>
        <w:rPr>
          <w:rFonts w:hint="eastAsia" w:ascii="黑体" w:hAnsi="黑体" w:eastAsia="黑体" w:cs="黑体"/>
          <w:bCs/>
          <w:sz w:val="28"/>
          <w:szCs w:val="28"/>
          <w:lang w:val="en-US" w:eastAsia="zh-CN"/>
        </w:rPr>
        <w:t>偏离情况：</w:t>
      </w:r>
      <w:r>
        <w:rPr>
          <w:rFonts w:hint="eastAsia" w:ascii="仿宋_GB2312" w:hAnsi="仿宋_GB2312" w:eastAsia="仿宋_GB2312" w:cs="仿宋_GB2312"/>
          <w:color w:val="auto"/>
          <w:sz w:val="32"/>
          <w:szCs w:val="32"/>
          <w:highlight w:val="none"/>
          <w:shd w:val="clear" w:color="auto" w:fill="auto"/>
          <w:lang w:val="en-US" w:eastAsia="zh-CN"/>
        </w:rPr>
        <w:t>数量指标专利资助奖不少于7000件</w:t>
      </w:r>
      <w:r>
        <w:rPr>
          <w:rFonts w:hint="eastAsia" w:ascii="仿宋_GB2312" w:hAnsi="仿宋_GB2312" w:cs="仿宋_GB2312"/>
          <w:color w:val="auto"/>
          <w:sz w:val="32"/>
          <w:szCs w:val="32"/>
          <w:highlight w:val="none"/>
          <w:shd w:val="clear" w:color="auto" w:fill="auto"/>
          <w:lang w:val="en-US" w:eastAsia="zh-CN"/>
        </w:rPr>
        <w:t>，实际</w:t>
      </w:r>
      <w:r>
        <w:rPr>
          <w:rFonts w:hint="eastAsia" w:ascii="仿宋_GB2312" w:hAnsi="仿宋_GB2312" w:eastAsia="仿宋_GB2312" w:cs="仿宋_GB2312"/>
          <w:color w:val="auto"/>
          <w:sz w:val="32"/>
          <w:szCs w:val="32"/>
          <w:highlight w:val="none"/>
          <w:shd w:val="clear" w:color="auto" w:fill="auto"/>
          <w:lang w:val="en-US" w:eastAsia="zh-CN"/>
        </w:rPr>
        <w:t>专利资助奖励共完成6747件</w:t>
      </w:r>
      <w:r>
        <w:rPr>
          <w:rFonts w:hint="eastAsia" w:ascii="仿宋_GB2312" w:hAnsi="仿宋_GB2312" w:cs="仿宋_GB2312"/>
          <w:color w:val="auto"/>
          <w:sz w:val="32"/>
          <w:szCs w:val="32"/>
          <w:highlight w:val="none"/>
          <w:shd w:val="clear" w:color="auto" w:fill="auto"/>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szCs w:val="32"/>
          <w:lang w:val="en-US" w:eastAsia="zh-CN"/>
        </w:rPr>
      </w:pPr>
      <w:r>
        <w:rPr>
          <w:rFonts w:hint="eastAsia" w:ascii="黑体" w:hAnsi="黑体" w:eastAsia="黑体" w:cs="黑体"/>
          <w:bCs/>
          <w:sz w:val="28"/>
          <w:szCs w:val="28"/>
          <w:lang w:val="en-US" w:eastAsia="zh-CN"/>
        </w:rPr>
        <w:t>偏离原因：</w:t>
      </w:r>
      <w:r>
        <w:rPr>
          <w:rFonts w:hint="eastAsia" w:ascii="仿宋_GB2312" w:hAnsi="仿宋_GB2312" w:eastAsia="仿宋_GB2312" w:cs="仿宋_GB2312"/>
          <w:color w:val="auto"/>
          <w:sz w:val="32"/>
          <w:szCs w:val="32"/>
          <w:highlight w:val="none"/>
          <w:shd w:val="clear" w:color="auto" w:fill="auto"/>
          <w:lang w:val="en-US" w:eastAsia="zh-CN"/>
        </w:rPr>
        <w:t>由于专利资助和奖励项目属于普惠制政策，资助件数和资助资金均与申报情况有关</w:t>
      </w:r>
      <w:r>
        <w:rPr>
          <w:rFonts w:hint="eastAsia" w:ascii="仿宋_GB2312" w:hAnsi="仿宋_GB2312" w:cs="仿宋_GB2312"/>
          <w:color w:val="auto"/>
          <w:sz w:val="32"/>
          <w:szCs w:val="32"/>
          <w:highlight w:val="none"/>
          <w:shd w:val="clear" w:color="auto" w:fill="auto"/>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下一步调整：</w:t>
      </w:r>
    </w:p>
    <w:p>
      <w:pPr>
        <w:keepNext w:val="0"/>
        <w:keepLines w:val="0"/>
        <w:pageBreakBefore w:val="0"/>
        <w:shd w:val="clear"/>
        <w:kinsoku/>
        <w:wordWrap/>
        <w:overflowPunct/>
        <w:topLinePunct w:val="0"/>
        <w:autoSpaceDE/>
        <w:autoSpaceDN/>
        <w:bidi w:val="0"/>
        <w:spacing w:line="580" w:lineRule="exact"/>
        <w:ind w:firstLine="640" w:firstLineChars="200"/>
        <w:outlineLvl w:val="9"/>
        <w:rPr>
          <w:rFonts w:hint="default" w:ascii="仿宋_GB2312" w:hAnsi="仿宋_GB2312" w:eastAsia="仿宋_GB2312" w:cs="仿宋_GB2312"/>
          <w:color w:val="auto"/>
          <w:sz w:val="32"/>
          <w:szCs w:val="32"/>
          <w:highlight w:val="none"/>
          <w:shd w:val="clear" w:color="auto" w:fill="auto"/>
          <w:lang w:eastAsia="zh-Hans"/>
        </w:rPr>
      </w:pPr>
      <w:r>
        <w:rPr>
          <w:rFonts w:hint="eastAsia" w:ascii="仿宋_GB2312" w:hAnsi="仿宋_GB2312" w:eastAsia="仿宋_GB2312" w:cs="仿宋_GB2312"/>
          <w:color w:val="auto"/>
          <w:sz w:val="32"/>
          <w:szCs w:val="32"/>
          <w:highlight w:val="none"/>
          <w:shd w:val="clear" w:color="auto" w:fill="auto"/>
          <w:lang w:val="en-US" w:eastAsia="zh-CN"/>
        </w:rPr>
        <w:t>2021年1月27日，</w:t>
      </w:r>
      <w:r>
        <w:rPr>
          <w:rFonts w:hint="default" w:ascii="仿宋_GB2312" w:hAnsi="仿宋_GB2312" w:eastAsia="仿宋_GB2312" w:cs="仿宋_GB2312"/>
          <w:color w:val="auto"/>
          <w:sz w:val="32"/>
          <w:szCs w:val="32"/>
          <w:highlight w:val="none"/>
          <w:shd w:val="clear" w:color="auto" w:fill="auto"/>
          <w:lang w:eastAsia="zh-Hans"/>
        </w:rPr>
        <w:t>国家知识产权局</w:t>
      </w:r>
      <w:r>
        <w:rPr>
          <w:rFonts w:hint="eastAsia" w:ascii="仿宋_GB2312" w:hAnsi="仿宋_GB2312" w:eastAsia="仿宋_GB2312" w:cs="仿宋_GB2312"/>
          <w:color w:val="auto"/>
          <w:sz w:val="32"/>
          <w:szCs w:val="32"/>
          <w:highlight w:val="none"/>
          <w:shd w:val="clear" w:color="auto" w:fill="auto"/>
          <w:lang w:val="en-US" w:eastAsia="zh-CN"/>
        </w:rPr>
        <w:t>对外印发</w:t>
      </w:r>
      <w:r>
        <w:rPr>
          <w:rFonts w:hint="default" w:ascii="仿宋_GB2312" w:hAnsi="仿宋_GB2312" w:eastAsia="仿宋_GB2312" w:cs="仿宋_GB2312"/>
          <w:color w:val="auto"/>
          <w:sz w:val="32"/>
          <w:szCs w:val="32"/>
          <w:highlight w:val="none"/>
          <w:shd w:val="clear" w:color="auto" w:fill="auto"/>
          <w:lang w:eastAsia="zh-Hans"/>
        </w:rPr>
        <w:t>《国家知识产权局关于进一步严格规范专利申请行为的通知》，</w:t>
      </w:r>
      <w:r>
        <w:rPr>
          <w:rFonts w:hint="eastAsia" w:ascii="仿宋_GB2312" w:hAnsi="仿宋_GB2312" w:eastAsia="仿宋_GB2312" w:cs="仿宋_GB2312"/>
          <w:color w:val="auto"/>
          <w:sz w:val="32"/>
          <w:szCs w:val="32"/>
          <w:highlight w:val="none"/>
          <w:shd w:val="clear" w:color="auto" w:fill="auto"/>
          <w:lang w:val="en-US" w:eastAsia="zh-CN"/>
        </w:rPr>
        <w:t>要求</w:t>
      </w:r>
      <w:r>
        <w:rPr>
          <w:rFonts w:hint="default" w:ascii="仿宋_GB2312" w:hAnsi="仿宋_GB2312" w:eastAsia="仿宋_GB2312" w:cs="仿宋_GB2312"/>
          <w:color w:val="auto"/>
          <w:sz w:val="32"/>
          <w:szCs w:val="32"/>
          <w:highlight w:val="none"/>
          <w:shd w:val="clear" w:color="auto" w:fill="auto"/>
          <w:lang w:eastAsia="zh-Hans"/>
        </w:rPr>
        <w:t>进一步调整完善资助和奖励等政策，全面取消对专利申请的资助，重点加大对后续转化运用、行政保护和公共服务的支持。</w:t>
      </w:r>
      <w:r>
        <w:rPr>
          <w:rFonts w:hint="eastAsia" w:ascii="仿宋_GB2312" w:hAnsi="仿宋_GB2312" w:eastAsia="仿宋_GB2312" w:cs="仿宋_GB2312"/>
          <w:color w:val="auto"/>
          <w:sz w:val="32"/>
          <w:szCs w:val="32"/>
          <w:highlight w:val="none"/>
          <w:shd w:val="clear" w:color="auto" w:fill="auto"/>
          <w:lang w:val="en-US" w:eastAsia="zh-Hans"/>
        </w:rPr>
        <w:t>通知规定2021年6月底前要全面取消各级专利申请阶段的资助。各地方不得以资助、奖励、补贴等任何形式对专利申请行为给予财政资金支持。地方现有资助的范围应限于获得授权的发明专利（包括通过PCT及其他途径在境外获得授权的发明专利），资助方式应采用授权后补助形式。资助对象所获得的各级各类资助总额不得高于其获得专利权所缴纳的官方规定费用的50%，不得资助专利年费和专利代理等中介服务费。对于弄虚作假套取专利资助的，应限期收回已拨付资金。“十四五”期间，各地方要逐步减少对专利授权的各类财政资助，在2025年以前全部取消。</w:t>
      </w:r>
    </w:p>
    <w:p>
      <w:pPr>
        <w:keepNext w:val="0"/>
        <w:keepLines w:val="0"/>
        <w:pageBreakBefore w:val="0"/>
        <w:shd w:val="clear"/>
        <w:kinsoku/>
        <w:wordWrap/>
        <w:overflowPunct/>
        <w:topLinePunct w:val="0"/>
        <w:autoSpaceDE/>
        <w:autoSpaceDN/>
        <w:bidi w:val="0"/>
        <w:spacing w:line="580" w:lineRule="exact"/>
        <w:ind w:firstLine="640" w:firstLineChars="200"/>
        <w:outlineLvl w:val="9"/>
        <w:rPr>
          <w:rFonts w:eastAsia="仿宋_GB2312"/>
          <w:sz w:val="32"/>
          <w:szCs w:val="32"/>
        </w:rPr>
      </w:pPr>
      <w:r>
        <w:rPr>
          <w:rFonts w:hint="eastAsia" w:ascii="仿宋_GB2312" w:hAnsi="仿宋_GB2312" w:cs="仿宋_GB2312"/>
          <w:color w:val="auto"/>
          <w:sz w:val="32"/>
          <w:szCs w:val="32"/>
          <w:highlight w:val="none"/>
          <w:shd w:val="clear" w:color="auto" w:fill="auto"/>
          <w:lang w:val="en-US" w:eastAsia="zh-CN"/>
        </w:rPr>
        <w:t>2021年</w:t>
      </w:r>
      <w:r>
        <w:rPr>
          <w:rFonts w:hint="default" w:ascii="仿宋_GB2312" w:hAnsi="仿宋_GB2312" w:eastAsia="仿宋_GB2312" w:cs="仿宋_GB2312"/>
          <w:color w:val="auto"/>
          <w:sz w:val="32"/>
          <w:szCs w:val="32"/>
          <w:highlight w:val="none"/>
          <w:shd w:val="clear" w:color="auto" w:fill="auto"/>
          <w:lang w:val="en-US" w:eastAsia="zh-Hans"/>
        </w:rPr>
        <w:t>我局</w:t>
      </w:r>
      <w:r>
        <w:rPr>
          <w:rFonts w:hint="eastAsia" w:ascii="仿宋_GB2312" w:hAnsi="仿宋_GB2312" w:cs="仿宋_GB2312"/>
          <w:color w:val="auto"/>
          <w:sz w:val="32"/>
          <w:szCs w:val="32"/>
          <w:highlight w:val="none"/>
          <w:shd w:val="clear" w:color="auto" w:fill="auto"/>
          <w:lang w:val="en-US" w:eastAsia="zh-CN"/>
        </w:rPr>
        <w:t>将</w:t>
      </w:r>
      <w:r>
        <w:rPr>
          <w:rFonts w:hint="default" w:ascii="仿宋_GB2312" w:hAnsi="仿宋_GB2312" w:eastAsia="仿宋_GB2312" w:cs="仿宋_GB2312"/>
          <w:color w:val="auto"/>
          <w:sz w:val="32"/>
          <w:szCs w:val="32"/>
          <w:highlight w:val="none"/>
          <w:shd w:val="clear" w:color="auto" w:fill="auto"/>
          <w:lang w:val="en-US" w:eastAsia="zh-Hans"/>
        </w:rPr>
        <w:t>根据最新通知精神</w:t>
      </w:r>
      <w:r>
        <w:rPr>
          <w:rFonts w:hint="default" w:ascii="仿宋_GB2312" w:hAnsi="仿宋_GB2312" w:eastAsia="仿宋_GB2312" w:cs="仿宋_GB2312"/>
          <w:color w:val="auto"/>
          <w:sz w:val="32"/>
          <w:szCs w:val="32"/>
          <w:highlight w:val="none"/>
          <w:shd w:val="clear" w:color="auto" w:fill="auto"/>
          <w:lang w:eastAsia="zh-Hans"/>
        </w:rPr>
        <w:t>，</w:t>
      </w:r>
      <w:r>
        <w:rPr>
          <w:rFonts w:hint="default" w:ascii="仿宋_GB2312" w:hAnsi="仿宋_GB2312" w:eastAsia="仿宋_GB2312" w:cs="仿宋_GB2312"/>
          <w:color w:val="auto"/>
          <w:sz w:val="32"/>
          <w:szCs w:val="32"/>
          <w:highlight w:val="none"/>
          <w:shd w:val="clear" w:color="auto" w:fill="auto"/>
          <w:lang w:val="en-US" w:eastAsia="zh-Hans"/>
        </w:rPr>
        <w:t>重新调整</w:t>
      </w:r>
      <w:r>
        <w:rPr>
          <w:rFonts w:hint="eastAsia" w:ascii="仿宋_GB2312" w:hAnsi="仿宋_GB2312" w:cs="仿宋_GB2312"/>
          <w:color w:val="auto"/>
          <w:sz w:val="32"/>
          <w:szCs w:val="32"/>
          <w:highlight w:val="none"/>
          <w:shd w:val="clear" w:color="auto" w:fill="auto"/>
          <w:lang w:val="en-US" w:eastAsia="zh-CN"/>
        </w:rPr>
        <w:t>资助及奖励</w:t>
      </w:r>
      <w:r>
        <w:rPr>
          <w:rFonts w:hint="default" w:ascii="仿宋_GB2312" w:hAnsi="仿宋_GB2312" w:eastAsia="仿宋_GB2312" w:cs="仿宋_GB2312"/>
          <w:color w:val="auto"/>
          <w:sz w:val="32"/>
          <w:szCs w:val="32"/>
          <w:highlight w:val="none"/>
          <w:shd w:val="clear" w:color="auto" w:fill="auto"/>
          <w:lang w:val="en-US" w:eastAsia="zh-Hans"/>
        </w:rPr>
        <w:t>资金使用方向</w:t>
      </w:r>
      <w:r>
        <w:rPr>
          <w:rFonts w:hint="eastAsia" w:ascii="仿宋_GB2312" w:hAnsi="仿宋_GB2312" w:cs="仿宋_GB2312"/>
          <w:color w:val="auto"/>
          <w:sz w:val="32"/>
          <w:szCs w:val="32"/>
          <w:highlight w:val="none"/>
          <w:shd w:val="clear" w:color="auto" w:fill="auto"/>
          <w:lang w:val="en-US" w:eastAsia="zh-CN"/>
        </w:rPr>
        <w:t>，</w:t>
      </w:r>
      <w:r>
        <w:rPr>
          <w:rFonts w:eastAsia="仿宋_GB2312"/>
          <w:sz w:val="32"/>
          <w:szCs w:val="32"/>
        </w:rPr>
        <w:t>拟开展征集的项目共有7项，分别是专利转化项目，知识产权质押贷款贴息项目，知识产权重点企业、试点（示范）高校资助奖励项目，知识产权保险资助项目，知识产权服务机构资助及奖励项目，中小学知识产权教育试点（示范）学校奖励项目，知识产权公共服务工作站经费支持项目。</w:t>
      </w:r>
    </w:p>
    <w:p>
      <w:pPr>
        <w:ind w:firstLine="600" w:firstLineChars="200"/>
        <w:rPr>
          <w:rFonts w:hint="default" w:ascii="黑体" w:hAnsi="黑体" w:eastAsia="黑体" w:cs="黑体"/>
          <w:bCs/>
          <w:szCs w:val="32"/>
          <w:lang w:eastAsia="zh-CN"/>
        </w:rPr>
      </w:pPr>
      <w:r>
        <w:rPr>
          <w:rFonts w:hint="eastAsia" w:ascii="黑体" w:hAnsi="黑体" w:eastAsia="黑体" w:cs="黑体"/>
          <w:bCs/>
          <w:szCs w:val="32"/>
          <w:lang w:val="en-US" w:eastAsia="zh-Hans"/>
        </w:rPr>
        <w:t>四</w:t>
      </w:r>
      <w:r>
        <w:rPr>
          <w:rFonts w:hint="default" w:ascii="黑体" w:hAnsi="黑体" w:eastAsia="黑体" w:cs="黑体"/>
          <w:bCs/>
          <w:szCs w:val="32"/>
          <w:lang w:eastAsia="zh-Hans"/>
        </w:rPr>
        <w:t>、其他需要说明的问题</w:t>
      </w:r>
    </w:p>
    <w:p>
      <w:pPr>
        <w:ind w:firstLine="600" w:firstLineChars="200"/>
        <w:rPr>
          <w:rFonts w:hint="default" w:ascii="仿宋_GB2312"/>
          <w:szCs w:val="32"/>
        </w:rPr>
      </w:pPr>
      <w:r>
        <w:rPr>
          <w:rFonts w:hint="default" w:ascii="仿宋_GB2312"/>
          <w:szCs w:val="32"/>
        </w:rPr>
        <w:t>（</w:t>
      </w:r>
      <w:r>
        <w:rPr>
          <w:rFonts w:hint="eastAsia" w:ascii="仿宋_GB2312"/>
          <w:szCs w:val="32"/>
          <w:lang w:val="en-US" w:eastAsia="zh-Hans"/>
        </w:rPr>
        <w:t>一</w:t>
      </w:r>
      <w:r>
        <w:rPr>
          <w:rFonts w:hint="default" w:ascii="仿宋_GB2312"/>
          <w:szCs w:val="32"/>
        </w:rPr>
        <w:t>）</w:t>
      </w:r>
      <w:r>
        <w:rPr>
          <w:rFonts w:hint="eastAsia" w:ascii="仿宋_GB2312"/>
          <w:szCs w:val="32"/>
          <w:lang w:val="en-US" w:eastAsia="zh-Hans"/>
        </w:rPr>
        <w:t>工作进展</w:t>
      </w:r>
    </w:p>
    <w:p>
      <w:pPr>
        <w:ind w:firstLine="600" w:firstLineChars="200"/>
        <w:rPr>
          <w:rFonts w:hint="default" w:ascii="仿宋_GB2312"/>
          <w:szCs w:val="32"/>
          <w:lang w:eastAsia="zh-Hans"/>
        </w:rPr>
      </w:pPr>
      <w:r>
        <w:rPr>
          <w:rFonts w:hint="default" w:ascii="仿宋_GB2312"/>
          <w:szCs w:val="32"/>
        </w:rPr>
        <w:t>2021</w:t>
      </w:r>
      <w:r>
        <w:rPr>
          <w:rFonts w:hint="eastAsia" w:ascii="仿宋_GB2312"/>
          <w:szCs w:val="32"/>
          <w:lang w:val="en-US" w:eastAsia="zh-Hans"/>
        </w:rPr>
        <w:t>年</w:t>
      </w:r>
      <w:r>
        <w:rPr>
          <w:rFonts w:hint="default" w:ascii="仿宋_GB2312"/>
          <w:szCs w:val="32"/>
          <w:lang w:eastAsia="zh-Hans"/>
        </w:rPr>
        <w:t>，</w:t>
      </w:r>
      <w:r>
        <w:rPr>
          <w:rFonts w:hint="eastAsia" w:ascii="仿宋_GB2312"/>
          <w:szCs w:val="32"/>
          <w:lang w:val="en-US" w:eastAsia="zh-Hans"/>
        </w:rPr>
        <w:t>在政策体系搭建完成后</w:t>
      </w:r>
      <w:r>
        <w:rPr>
          <w:rFonts w:hint="default" w:ascii="仿宋_GB2312"/>
          <w:szCs w:val="32"/>
          <w:lang w:eastAsia="zh-Hans"/>
        </w:rPr>
        <w:t>，</w:t>
      </w:r>
      <w:r>
        <w:rPr>
          <w:rFonts w:hint="eastAsia" w:ascii="仿宋_GB2312"/>
          <w:szCs w:val="32"/>
          <w:lang w:val="en-US" w:eastAsia="zh-Hans"/>
        </w:rPr>
        <w:t>知识产权运营服务体系建设的各项工作也在稳步推进</w:t>
      </w:r>
      <w:r>
        <w:rPr>
          <w:rFonts w:hint="default" w:ascii="仿宋_GB2312"/>
          <w:szCs w:val="32"/>
          <w:lang w:eastAsia="zh-Hans"/>
        </w:rPr>
        <w:t>。</w:t>
      </w:r>
    </w:p>
    <w:p>
      <w:pPr>
        <w:ind w:firstLine="600" w:firstLineChars="200"/>
        <w:rPr>
          <w:rFonts w:hint="default" w:ascii="仿宋_GB2312"/>
          <w:szCs w:val="32"/>
          <w:lang w:eastAsia="zh-Hans"/>
        </w:rPr>
      </w:pPr>
      <w:r>
        <w:rPr>
          <w:rFonts w:hint="eastAsia" w:ascii="仿宋_GB2312"/>
          <w:szCs w:val="32"/>
          <w:lang w:val="en-US" w:eastAsia="zh-Hans"/>
        </w:rPr>
        <w:t>目前</w:t>
      </w:r>
      <w:r>
        <w:rPr>
          <w:rFonts w:hint="default" w:ascii="仿宋_GB2312"/>
          <w:szCs w:val="32"/>
          <w:lang w:eastAsia="zh-Hans"/>
        </w:rPr>
        <w:t>，</w:t>
      </w:r>
      <w:r>
        <w:rPr>
          <w:rFonts w:hint="eastAsia" w:ascii="仿宋_GB2312"/>
          <w:szCs w:val="32"/>
          <w:lang w:val="en-US" w:eastAsia="zh-Hans"/>
        </w:rPr>
        <w:t>已</w:t>
      </w:r>
      <w:r>
        <w:rPr>
          <w:rFonts w:hint="default" w:ascii="仿宋_GB2312"/>
          <w:szCs w:val="32"/>
          <w:lang w:eastAsia="zh-Hans"/>
        </w:rPr>
        <w:t>开展了</w:t>
      </w:r>
      <w:r>
        <w:rPr>
          <w:rFonts w:hint="eastAsia" w:ascii="仿宋_GB2312"/>
          <w:szCs w:val="32"/>
          <w:lang w:val="en-US" w:eastAsia="zh-Hans"/>
        </w:rPr>
        <w:t>九个课题的研究</w:t>
      </w:r>
      <w:r>
        <w:rPr>
          <w:rFonts w:hint="default" w:ascii="仿宋_GB2312"/>
          <w:szCs w:val="32"/>
          <w:lang w:eastAsia="zh-Hans"/>
        </w:rPr>
        <w:t>：</w:t>
      </w:r>
      <w:r>
        <w:rPr>
          <w:rFonts w:hint="eastAsia" w:ascii="仿宋_GB2312"/>
          <w:szCs w:val="32"/>
          <w:lang w:val="en-US" w:eastAsia="zh-Hans"/>
        </w:rPr>
        <w:t>七</w:t>
      </w:r>
      <w:r>
        <w:rPr>
          <w:rFonts w:hint="default" w:ascii="仿宋_GB2312"/>
          <w:szCs w:val="32"/>
          <w:lang w:eastAsia="zh-Hans"/>
        </w:rPr>
        <w:t>个产业类专利导航课题分别是：</w:t>
      </w:r>
      <w:r>
        <w:rPr>
          <w:rFonts w:hint="eastAsia" w:ascii="仿宋_GB2312"/>
          <w:szCs w:val="32"/>
          <w:lang w:val="en-US" w:eastAsia="zh-Hans"/>
        </w:rPr>
        <w:t>文化创意产业</w:t>
      </w:r>
      <w:r>
        <w:rPr>
          <w:rFonts w:hint="default" w:ascii="仿宋_GB2312"/>
          <w:szCs w:val="32"/>
          <w:lang w:eastAsia="zh-Hans"/>
        </w:rPr>
        <w:t>、</w:t>
      </w:r>
      <w:r>
        <w:rPr>
          <w:rFonts w:hint="eastAsia" w:ascii="仿宋_GB2312"/>
          <w:szCs w:val="32"/>
          <w:lang w:val="en-US" w:eastAsia="zh-Hans"/>
        </w:rPr>
        <w:t>生物医药产业</w:t>
      </w:r>
      <w:r>
        <w:rPr>
          <w:rFonts w:hint="default" w:ascii="仿宋_GB2312"/>
          <w:szCs w:val="32"/>
          <w:lang w:eastAsia="zh-Hans"/>
        </w:rPr>
        <w:t>、</w:t>
      </w:r>
      <w:r>
        <w:rPr>
          <w:rFonts w:hint="eastAsia" w:ascii="仿宋_GB2312"/>
          <w:szCs w:val="32"/>
          <w:lang w:val="en-US" w:eastAsia="zh-Hans"/>
        </w:rPr>
        <w:t>人工智能产业</w:t>
      </w:r>
      <w:r>
        <w:rPr>
          <w:rFonts w:hint="default" w:ascii="仿宋_GB2312"/>
          <w:szCs w:val="32"/>
          <w:lang w:eastAsia="zh-Hans"/>
        </w:rPr>
        <w:t>、第五代移动通信产业（5G）专利导航、工业互联网产业专利导航、可再生能源产业专利导航、区块链产业专利导航；一个区域类专利导航课题：朝阳区区域专利导航；朝阳区知识产权现状调查研究及朝阳区知识产权“十四五”规划建议项目研究课题。</w:t>
      </w:r>
    </w:p>
    <w:p>
      <w:pPr>
        <w:ind w:firstLine="600" w:firstLineChars="200"/>
        <w:rPr>
          <w:rFonts w:hint="default" w:ascii="仿宋_GB2312"/>
          <w:szCs w:val="32"/>
          <w:lang w:eastAsia="zh-Hans"/>
        </w:rPr>
      </w:pPr>
      <w:r>
        <w:rPr>
          <w:rFonts w:hint="default" w:ascii="仿宋_GB2312"/>
          <w:szCs w:val="32"/>
          <w:lang w:eastAsia="zh-Hans"/>
        </w:rPr>
        <w:t>为规范朝阳区中小微企业知识产权质押融资风险补偿专项资金的管理，充分发挥财政资金的引导和激励效用，鼓励和引导金融机构加大对中小微企业的信贷支持力度，缓解企业融资困难，保证资金运作规范合理、公开高效，结合工作实际，制定《朝阳区中小微企业知识产权质押融资风险补偿专项资金管理暂行办法》，并已通过局党委会审议；确定资金运营管理单位为北京朝阳国际科技创新服务有限公司，并与运营管理单位签订风险补偿资金委托管理协议；确定风险补偿资金存管银行为交通银行股份有限公司北京朝外支行，与运营管理单位、银行签订共管账户三方共管协议；向银行共管账户支付风险补偿资金，由北京市朝阳区知识产权运营服务体系建设专项资金出资，出资金额为1300万元。</w:t>
      </w:r>
    </w:p>
    <w:p>
      <w:pPr>
        <w:ind w:firstLine="600" w:firstLineChars="200"/>
        <w:rPr>
          <w:rFonts w:hint="eastAsia" w:ascii="仿宋_GB2312"/>
          <w:szCs w:val="32"/>
          <w:lang w:val="en-US" w:eastAsia="zh-Hans"/>
        </w:rPr>
      </w:pPr>
      <w:r>
        <w:rPr>
          <w:rFonts w:hint="eastAsia" w:ascii="仿宋_GB2312"/>
          <w:szCs w:val="32"/>
          <w:lang w:val="en-US" w:eastAsia="zh-Hans"/>
        </w:rPr>
        <w:t>为积极推进知识产权文化建设，助力朝阳区中小企业高质量发展营造良好舆论氛围，引导全社会更加注重知识产权创造、运用、保护、管理、服务能力提升，我局以政府购买服务的形式遴选朝阳区中小企业开展“426知识产权宣传周”系列培训会议活动服务商。</w:t>
      </w:r>
    </w:p>
    <w:p>
      <w:pPr>
        <w:ind w:firstLine="600" w:firstLineChars="200"/>
        <w:rPr>
          <w:rFonts w:hint="eastAsia" w:ascii="仿宋_GB2312"/>
          <w:szCs w:val="32"/>
          <w:lang w:val="en-US" w:eastAsia="zh-Hans"/>
        </w:rPr>
      </w:pPr>
      <w:r>
        <w:rPr>
          <w:rFonts w:hint="default" w:ascii="仿宋_GB2312"/>
          <w:szCs w:val="32"/>
          <w:lang w:eastAsia="zh-Hans"/>
        </w:rPr>
        <w:t>（</w:t>
      </w:r>
      <w:r>
        <w:rPr>
          <w:rFonts w:hint="eastAsia" w:ascii="仿宋_GB2312"/>
          <w:szCs w:val="32"/>
          <w:lang w:val="en-US" w:eastAsia="zh-Hans"/>
        </w:rPr>
        <w:t>二</w:t>
      </w:r>
      <w:r>
        <w:rPr>
          <w:rFonts w:hint="default" w:ascii="仿宋_GB2312"/>
          <w:szCs w:val="32"/>
          <w:lang w:eastAsia="zh-Hans"/>
        </w:rPr>
        <w:t>）</w:t>
      </w:r>
      <w:r>
        <w:rPr>
          <w:rFonts w:hint="eastAsia" w:ascii="仿宋_GB2312"/>
          <w:szCs w:val="32"/>
          <w:lang w:val="en-US" w:eastAsia="zh-Hans"/>
        </w:rPr>
        <w:t>资金执行情况</w:t>
      </w:r>
    </w:p>
    <w:p>
      <w:pPr>
        <w:ind w:firstLine="600" w:firstLineChars="200"/>
        <w:rPr>
          <w:rFonts w:hint="eastAsia" w:ascii="仿宋_GB2312"/>
          <w:szCs w:val="32"/>
          <w:lang w:val="en-US" w:eastAsia="zh-Hans"/>
        </w:rPr>
      </w:pPr>
      <w:r>
        <w:rPr>
          <w:rFonts w:hint="eastAsia" w:ascii="仿宋_GB2312"/>
          <w:szCs w:val="32"/>
          <w:lang w:val="en-US" w:eastAsia="zh-Hans"/>
        </w:rPr>
        <w:t>截止202</w:t>
      </w:r>
      <w:r>
        <w:rPr>
          <w:rFonts w:hint="eastAsia" w:ascii="仿宋_GB2312"/>
          <w:szCs w:val="32"/>
          <w:lang w:val="en-US" w:eastAsia="zh-CN"/>
        </w:rPr>
        <w:t>1</w:t>
      </w:r>
      <w:r>
        <w:rPr>
          <w:rFonts w:hint="eastAsia" w:ascii="仿宋_GB2312"/>
          <w:szCs w:val="32"/>
          <w:lang w:val="en-US" w:eastAsia="zh-Hans"/>
        </w:rPr>
        <w:t>年4月1日</w:t>
      </w:r>
      <w:r>
        <w:rPr>
          <w:rFonts w:hint="default" w:ascii="仿宋_GB2312"/>
          <w:szCs w:val="32"/>
          <w:lang w:eastAsia="zh-Hans"/>
        </w:rPr>
        <w:t>，已过我局党委会项目总金额2063.2660万元，</w:t>
      </w:r>
      <w:r>
        <w:rPr>
          <w:rFonts w:hint="eastAsia" w:ascii="仿宋_GB2312"/>
          <w:szCs w:val="32"/>
          <w:lang w:val="en-US" w:eastAsia="zh-Hans"/>
        </w:rPr>
        <w:t>资金总</w:t>
      </w:r>
      <w:r>
        <w:rPr>
          <w:rFonts w:hint="default" w:ascii="仿宋_GB2312"/>
          <w:szCs w:val="32"/>
          <w:lang w:eastAsia="zh-Hans"/>
        </w:rPr>
        <w:t>支出1961.4864万元，</w:t>
      </w:r>
      <w:r>
        <w:rPr>
          <w:rFonts w:hint="eastAsia" w:ascii="仿宋_GB2312"/>
          <w:szCs w:val="32"/>
          <w:lang w:val="en-US" w:eastAsia="zh-Hans"/>
        </w:rPr>
        <w:t>其中</w:t>
      </w:r>
      <w:r>
        <w:rPr>
          <w:rFonts w:hint="default" w:ascii="仿宋_GB2312"/>
          <w:szCs w:val="32"/>
          <w:lang w:eastAsia="zh-Hans"/>
        </w:rPr>
        <w:t>5000</w:t>
      </w:r>
      <w:r>
        <w:rPr>
          <w:rFonts w:hint="eastAsia" w:ascii="仿宋_GB2312"/>
          <w:szCs w:val="32"/>
          <w:lang w:val="en-US" w:eastAsia="zh-Hans"/>
        </w:rPr>
        <w:t>万中央直达资金已支出</w:t>
      </w:r>
      <w:r>
        <w:rPr>
          <w:rFonts w:hint="default" w:ascii="仿宋_GB2312"/>
          <w:szCs w:val="32"/>
          <w:lang w:eastAsia="zh-Hans"/>
        </w:rPr>
        <w:t>1585</w:t>
      </w:r>
      <w:r>
        <w:rPr>
          <w:rFonts w:hint="eastAsia" w:ascii="仿宋_GB2312"/>
          <w:szCs w:val="32"/>
          <w:lang w:val="en-US" w:eastAsia="zh-Hans"/>
        </w:rPr>
        <w:t>.</w:t>
      </w:r>
      <w:r>
        <w:rPr>
          <w:rFonts w:hint="default" w:ascii="仿宋_GB2312"/>
          <w:szCs w:val="32"/>
          <w:lang w:eastAsia="zh-Hans"/>
        </w:rPr>
        <w:t>4846</w:t>
      </w:r>
      <w:r>
        <w:rPr>
          <w:rFonts w:hint="eastAsia" w:ascii="仿宋_GB2312"/>
          <w:szCs w:val="32"/>
          <w:lang w:val="en-US" w:eastAsia="zh-Hans"/>
        </w:rPr>
        <w:t>万元</w:t>
      </w:r>
      <w:r>
        <w:rPr>
          <w:rFonts w:hint="default" w:ascii="仿宋_GB2312"/>
          <w:szCs w:val="32"/>
          <w:lang w:eastAsia="zh-Hans"/>
        </w:rPr>
        <w:t>，</w:t>
      </w:r>
      <w:r>
        <w:rPr>
          <w:rFonts w:hint="eastAsia" w:ascii="仿宋_GB2312"/>
          <w:szCs w:val="32"/>
          <w:lang w:val="en-US" w:eastAsia="zh-Hans"/>
        </w:rPr>
        <w:t>转移支付资金中已支出</w:t>
      </w:r>
      <w:r>
        <w:rPr>
          <w:rFonts w:hint="default" w:ascii="仿宋_GB2312"/>
          <w:szCs w:val="32"/>
          <w:lang w:eastAsia="zh-Hans"/>
        </w:rPr>
        <w:t>376</w:t>
      </w:r>
      <w:r>
        <w:rPr>
          <w:rFonts w:hint="eastAsia" w:ascii="仿宋_GB2312"/>
          <w:szCs w:val="32"/>
          <w:lang w:val="en-US" w:eastAsia="zh-Hans"/>
        </w:rPr>
        <w:t>万元</w:t>
      </w:r>
      <w:r>
        <w:rPr>
          <w:rFonts w:hint="default" w:ascii="仿宋_GB2312"/>
          <w:szCs w:val="32"/>
          <w:lang w:eastAsia="zh-Hans"/>
        </w:rPr>
        <w:t>。</w:t>
      </w:r>
    </w:p>
    <w:p>
      <w:pPr>
        <w:ind w:firstLine="600" w:firstLineChars="200"/>
        <w:rPr>
          <w:rFonts w:hint="eastAsia"/>
          <w:lang w:val="en-US" w:eastAsia="zh-CN"/>
        </w:rPr>
      </w:pPr>
    </w:p>
    <w:p>
      <w:pPr>
        <w:ind w:firstLine="600" w:firstLineChars="200"/>
        <w:rPr>
          <w:rFonts w:hint="eastAsia"/>
        </w:rPr>
      </w:pPr>
      <w:r>
        <w:rPr>
          <w:rFonts w:hint="eastAsia"/>
          <w:lang w:val="en-US" w:eastAsia="zh-CN"/>
        </w:rPr>
        <w:t>附件一：</w:t>
      </w:r>
      <w:r>
        <w:rPr>
          <w:rFonts w:hint="eastAsia"/>
        </w:rPr>
        <w:t>转移支付区域（项目）绩效目标自评表</w:t>
      </w:r>
    </w:p>
    <w:p>
      <w:pPr>
        <w:ind w:firstLine="600" w:firstLineChars="200"/>
        <w:rPr>
          <w:rFonts w:hint="eastAsia"/>
        </w:rPr>
      </w:pPr>
    </w:p>
    <w:p>
      <w:pPr>
        <w:ind w:left="6600" w:hanging="6600" w:hangingChars="2200"/>
        <w:rPr>
          <w:rFonts w:hint="eastAsia" w:eastAsia="仿宋_GB2312"/>
          <w:lang w:eastAsia="zh-CN"/>
        </w:rPr>
      </w:pPr>
      <w:r>
        <w:rPr>
          <w:rFonts w:hint="eastAsia"/>
          <w:lang w:eastAsia="zh-CN"/>
        </w:rPr>
        <w:t>（项目负责人：</w:t>
      </w:r>
      <w:r>
        <w:rPr>
          <w:rFonts w:hint="eastAsia"/>
          <w:lang w:val="en-US" w:eastAsia="zh-CN"/>
        </w:rPr>
        <w:t>杨云龙   联系电话：5106</w:t>
      </w:r>
      <w:bookmarkStart w:id="0" w:name="_GoBack"/>
      <w:bookmarkEnd w:id="0"/>
      <w:r>
        <w:rPr>
          <w:rFonts w:hint="eastAsia"/>
          <w:lang w:val="en-US" w:eastAsia="zh-CN"/>
        </w:rPr>
        <w:t>9578、18811260408）</w:t>
      </w:r>
    </w:p>
    <w:p>
      <w:pPr>
        <w:ind w:firstLine="600" w:firstLineChars="200"/>
        <w:rPr>
          <w:rFonts w:hint="eastAsia"/>
        </w:rPr>
      </w:pPr>
    </w:p>
    <w:p>
      <w:pPr>
        <w:ind w:firstLine="600" w:firstLineChars="200"/>
        <w:rPr>
          <w:rFonts w:hint="default"/>
          <w:lang w:val="en-US" w:eastAsia="zh-CN"/>
        </w:rPr>
      </w:pPr>
      <w:r>
        <w:rPr>
          <w:rFonts w:hint="eastAsia"/>
          <w:lang w:val="en-US" w:eastAsia="zh-CN"/>
        </w:rPr>
        <w:t xml:space="preserve">                        北京市朝阳区市场监督管理局</w:t>
      </w:r>
    </w:p>
    <w:p>
      <w:pPr>
        <w:ind w:firstLine="600" w:firstLineChars="200"/>
        <w:rPr>
          <w:rFonts w:hint="eastAsia"/>
          <w:lang w:val="en-US" w:eastAsia="zh-CN"/>
        </w:rPr>
      </w:pPr>
      <w:r>
        <w:rPr>
          <w:rFonts w:hint="eastAsia"/>
          <w:lang w:val="en-US" w:eastAsia="zh-CN"/>
        </w:rPr>
        <w:t xml:space="preserve">                               2021年4月9日</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A0204"/>
    <w:charset w:val="00"/>
    <w:family w:val="roman"/>
    <w:pitch w:val="default"/>
    <w:sig w:usb0="E00002FF" w:usb1="4000045F" w:usb2="00000000" w:usb3="00000000" w:csb0="2000019F" w:csb1="00000000"/>
  </w:font>
  <w:font w:name="Calibri">
    <w:panose1 w:val="020F07020304040A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汉仪楷体简"/>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971F7"/>
    <w:multiLevelType w:val="singleLevel"/>
    <w:tmpl w:val="606971F7"/>
    <w:lvl w:ilvl="0" w:tentative="0">
      <w:start w:val="2"/>
      <w:numFmt w:val="decimal"/>
      <w:suff w:val="nothing"/>
      <w:lvlText w:val="%1、"/>
      <w:lvlJc w:val="left"/>
    </w:lvl>
  </w:abstractNum>
  <w:abstractNum w:abstractNumId="1">
    <w:nsid w:val="606972E9"/>
    <w:multiLevelType w:val="singleLevel"/>
    <w:tmpl w:val="606972E9"/>
    <w:lvl w:ilvl="0" w:tentative="0">
      <w:start w:val="4"/>
      <w:numFmt w:val="decimal"/>
      <w:suff w:val="nothing"/>
      <w:lvlText w:val="%1、"/>
      <w:lvlJc w:val="left"/>
    </w:lvl>
  </w:abstractNum>
  <w:abstractNum w:abstractNumId="2">
    <w:nsid w:val="6069767A"/>
    <w:multiLevelType w:val="singleLevel"/>
    <w:tmpl w:val="6069767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val="0"/>
  <w:bordersDoNotSurroundFooter w:val="0"/>
  <w:documentProtection w:enforcement="0"/>
  <w:defaultTabStop w:val="420"/>
  <w:drawingGridHorizontalSpacing w:val="150"/>
  <w:drawingGridVerticalSpacing w:val="58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82"/>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50053"/>
    <w:rsid w:val="0029569C"/>
    <w:rsid w:val="002A3094"/>
    <w:rsid w:val="002A5FA7"/>
    <w:rsid w:val="002B3EEF"/>
    <w:rsid w:val="002B54E4"/>
    <w:rsid w:val="002E5562"/>
    <w:rsid w:val="002F6705"/>
    <w:rsid w:val="00301FC0"/>
    <w:rsid w:val="00336A16"/>
    <w:rsid w:val="003663A3"/>
    <w:rsid w:val="00387DD5"/>
    <w:rsid w:val="003B0980"/>
    <w:rsid w:val="003C6374"/>
    <w:rsid w:val="003D2CB9"/>
    <w:rsid w:val="00413F12"/>
    <w:rsid w:val="00493012"/>
    <w:rsid w:val="004D2137"/>
    <w:rsid w:val="005D1514"/>
    <w:rsid w:val="005D7CC3"/>
    <w:rsid w:val="006218A1"/>
    <w:rsid w:val="00682A10"/>
    <w:rsid w:val="006A30E4"/>
    <w:rsid w:val="006A74BF"/>
    <w:rsid w:val="006C1CEE"/>
    <w:rsid w:val="006D5A86"/>
    <w:rsid w:val="00707C2E"/>
    <w:rsid w:val="00722A7D"/>
    <w:rsid w:val="00724A6B"/>
    <w:rsid w:val="0073331B"/>
    <w:rsid w:val="00733C2D"/>
    <w:rsid w:val="00756C7F"/>
    <w:rsid w:val="007D7E6E"/>
    <w:rsid w:val="00850797"/>
    <w:rsid w:val="00853FC4"/>
    <w:rsid w:val="008720F1"/>
    <w:rsid w:val="00882EFA"/>
    <w:rsid w:val="008B2F56"/>
    <w:rsid w:val="008F0996"/>
    <w:rsid w:val="00903791"/>
    <w:rsid w:val="009600BD"/>
    <w:rsid w:val="00961C83"/>
    <w:rsid w:val="009922BC"/>
    <w:rsid w:val="009E0D8C"/>
    <w:rsid w:val="00A02AF3"/>
    <w:rsid w:val="00A25077"/>
    <w:rsid w:val="00A610CC"/>
    <w:rsid w:val="00A8737E"/>
    <w:rsid w:val="00AA19AF"/>
    <w:rsid w:val="00BC6882"/>
    <w:rsid w:val="00BD3FE0"/>
    <w:rsid w:val="00BE58CF"/>
    <w:rsid w:val="00CA5578"/>
    <w:rsid w:val="00CA7DAA"/>
    <w:rsid w:val="00D04826"/>
    <w:rsid w:val="00D63908"/>
    <w:rsid w:val="00D8718A"/>
    <w:rsid w:val="00D93453"/>
    <w:rsid w:val="00DC524D"/>
    <w:rsid w:val="00E071D6"/>
    <w:rsid w:val="00ED3E0F"/>
    <w:rsid w:val="00F015E4"/>
    <w:rsid w:val="00F57F82"/>
    <w:rsid w:val="00F75224"/>
    <w:rsid w:val="00F91EAE"/>
    <w:rsid w:val="00FA086C"/>
    <w:rsid w:val="00FA2093"/>
    <w:rsid w:val="00FA357A"/>
    <w:rsid w:val="037D0BC8"/>
    <w:rsid w:val="0566026F"/>
    <w:rsid w:val="0845082D"/>
    <w:rsid w:val="09E965F2"/>
    <w:rsid w:val="103032FF"/>
    <w:rsid w:val="139840D3"/>
    <w:rsid w:val="143E091F"/>
    <w:rsid w:val="14865FC8"/>
    <w:rsid w:val="150C2DB0"/>
    <w:rsid w:val="15DC447B"/>
    <w:rsid w:val="163C2CF7"/>
    <w:rsid w:val="1BBA6960"/>
    <w:rsid w:val="1E761F05"/>
    <w:rsid w:val="1F7BE1E6"/>
    <w:rsid w:val="1FC7205C"/>
    <w:rsid w:val="1FFF7526"/>
    <w:rsid w:val="228B3D05"/>
    <w:rsid w:val="22D509F5"/>
    <w:rsid w:val="268B5F4A"/>
    <w:rsid w:val="284E74F8"/>
    <w:rsid w:val="2ADB48E8"/>
    <w:rsid w:val="2D8C2D1A"/>
    <w:rsid w:val="2EF507AA"/>
    <w:rsid w:val="36687282"/>
    <w:rsid w:val="3814702C"/>
    <w:rsid w:val="38BF0E9F"/>
    <w:rsid w:val="38EF7AD8"/>
    <w:rsid w:val="3DD41B13"/>
    <w:rsid w:val="3DD90D57"/>
    <w:rsid w:val="3E1672E6"/>
    <w:rsid w:val="3EB9C2BB"/>
    <w:rsid w:val="3EFD595E"/>
    <w:rsid w:val="40290D95"/>
    <w:rsid w:val="415F08D8"/>
    <w:rsid w:val="421678B3"/>
    <w:rsid w:val="440105BC"/>
    <w:rsid w:val="44E2230F"/>
    <w:rsid w:val="47005C34"/>
    <w:rsid w:val="48B51347"/>
    <w:rsid w:val="491B45FA"/>
    <w:rsid w:val="4A55216A"/>
    <w:rsid w:val="4A82621C"/>
    <w:rsid w:val="4E2F46F6"/>
    <w:rsid w:val="4FE0696A"/>
    <w:rsid w:val="50B203CA"/>
    <w:rsid w:val="546F8569"/>
    <w:rsid w:val="54DF7964"/>
    <w:rsid w:val="55673508"/>
    <w:rsid w:val="58022438"/>
    <w:rsid w:val="59595A6F"/>
    <w:rsid w:val="599330CA"/>
    <w:rsid w:val="5A7FCB1F"/>
    <w:rsid w:val="5B5FE37D"/>
    <w:rsid w:val="5BFA19A8"/>
    <w:rsid w:val="5D817990"/>
    <w:rsid w:val="5FEAF7C9"/>
    <w:rsid w:val="5FF78C46"/>
    <w:rsid w:val="60D5009F"/>
    <w:rsid w:val="64AC2E11"/>
    <w:rsid w:val="65FB9246"/>
    <w:rsid w:val="660721C9"/>
    <w:rsid w:val="661E6C75"/>
    <w:rsid w:val="66679FC9"/>
    <w:rsid w:val="67F75FF5"/>
    <w:rsid w:val="681D4831"/>
    <w:rsid w:val="68C207DD"/>
    <w:rsid w:val="692E4B19"/>
    <w:rsid w:val="69513EF7"/>
    <w:rsid w:val="69FF1479"/>
    <w:rsid w:val="6BF3256F"/>
    <w:rsid w:val="6CE7018A"/>
    <w:rsid w:val="6DBE0471"/>
    <w:rsid w:val="6E3E3F2D"/>
    <w:rsid w:val="6EFF6E19"/>
    <w:rsid w:val="715B2F02"/>
    <w:rsid w:val="71BFCBF9"/>
    <w:rsid w:val="73EF6A47"/>
    <w:rsid w:val="7672CAC9"/>
    <w:rsid w:val="76A548F2"/>
    <w:rsid w:val="7765772E"/>
    <w:rsid w:val="776F5E62"/>
    <w:rsid w:val="77867685"/>
    <w:rsid w:val="77EECB70"/>
    <w:rsid w:val="781F36B6"/>
    <w:rsid w:val="790627AD"/>
    <w:rsid w:val="79994E0E"/>
    <w:rsid w:val="7A7410C3"/>
    <w:rsid w:val="7ADC59FA"/>
    <w:rsid w:val="7AFF2FC3"/>
    <w:rsid w:val="7BF6B4C5"/>
    <w:rsid w:val="7DDD794F"/>
    <w:rsid w:val="7DE1F520"/>
    <w:rsid w:val="7E5FA952"/>
    <w:rsid w:val="7FDE47D5"/>
    <w:rsid w:val="7FF48AFA"/>
    <w:rsid w:val="7FF76D1C"/>
    <w:rsid w:val="8CF990A6"/>
    <w:rsid w:val="94BFC172"/>
    <w:rsid w:val="9BFA614C"/>
    <w:rsid w:val="BFBF52D7"/>
    <w:rsid w:val="CBFBEFC2"/>
    <w:rsid w:val="CCE73C02"/>
    <w:rsid w:val="D7E71623"/>
    <w:rsid w:val="DF6E82F1"/>
    <w:rsid w:val="DF9F1BC3"/>
    <w:rsid w:val="E9A73732"/>
    <w:rsid w:val="EEF7332C"/>
    <w:rsid w:val="EF73ECDA"/>
    <w:rsid w:val="F0EC94B1"/>
    <w:rsid w:val="F7F7CF03"/>
    <w:rsid w:val="F7FBEBBF"/>
    <w:rsid w:val="FBBFCB86"/>
    <w:rsid w:val="FD77B30E"/>
    <w:rsid w:val="FDAD91A0"/>
    <w:rsid w:val="FDB5389F"/>
    <w:rsid w:val="FDBF900B"/>
    <w:rsid w:val="FEE6B839"/>
    <w:rsid w:val="FFEF0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0"/>
    <w:qFormat/>
    <w:uiPriority w:val="0"/>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6"/>
    <w:link w:val="4"/>
    <w:qFormat/>
    <w:uiPriority w:val="99"/>
    <w:rPr>
      <w:rFonts w:eastAsia="仿宋_GB2312"/>
      <w:kern w:val="2"/>
      <w:sz w:val="18"/>
      <w:szCs w:val="18"/>
    </w:rPr>
  </w:style>
  <w:style w:type="character" w:customStyle="1" w:styleId="9">
    <w:name w:val="页眉 Char"/>
    <w:basedOn w:val="6"/>
    <w:link w:val="5"/>
    <w:qFormat/>
    <w:uiPriority w:val="0"/>
    <w:rPr>
      <w:rFonts w:eastAsia="仿宋_GB2312"/>
      <w:kern w:val="2"/>
      <w:sz w:val="18"/>
      <w:szCs w:val="18"/>
    </w:rPr>
  </w:style>
  <w:style w:type="character" w:customStyle="1" w:styleId="10">
    <w:name w:val="批注框文本 Char"/>
    <w:basedOn w:val="6"/>
    <w:link w:val="3"/>
    <w:qFormat/>
    <w:uiPriority w:val="0"/>
    <w:rPr>
      <w:rFonts w:eastAsia="仿宋_GB2312"/>
      <w:kern w:val="2"/>
      <w:sz w:val="18"/>
      <w:szCs w:val="18"/>
    </w:rPr>
  </w:style>
  <w:style w:type="character" w:customStyle="1" w:styleId="11">
    <w:name w:val="font01"/>
    <w:basedOn w:val="6"/>
    <w:qFormat/>
    <w:uiPriority w:val="0"/>
    <w:rPr>
      <w:rFonts w:hint="default" w:ascii="仿宋_GB2312" w:eastAsia="仿宋_GB2312" w:cs="仿宋_GB2312"/>
      <w:color w:val="000000"/>
      <w:sz w:val="22"/>
      <w:szCs w:val="22"/>
      <w:u w:val="none"/>
    </w:rPr>
  </w:style>
  <w:style w:type="character" w:customStyle="1" w:styleId="12">
    <w:name w:val="font11"/>
    <w:basedOn w:val="6"/>
    <w:qFormat/>
    <w:uiPriority w:val="0"/>
    <w:rPr>
      <w:rFonts w:hint="default" w:ascii="Times New Roman" w:hAnsi="Times New Roman" w:cs="Times New Roman"/>
      <w:color w:val="000000"/>
      <w:sz w:val="15"/>
      <w:szCs w:val="15"/>
      <w:u w:val="none"/>
    </w:rPr>
  </w:style>
  <w:style w:type="character" w:customStyle="1" w:styleId="13">
    <w:name w:val="font21"/>
    <w:basedOn w:val="6"/>
    <w:qFormat/>
    <w:uiPriority w:val="0"/>
    <w:rPr>
      <w:rFonts w:hint="default"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71</Words>
  <Characters>410</Characters>
  <Lines>3</Lines>
  <Paragraphs>1</Paragraphs>
  <TotalTime>0</TotalTime>
  <ScaleCrop>false</ScaleCrop>
  <LinksUpToDate>false</LinksUpToDate>
  <CharactersWithSpaces>480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2019-02-14T14:26:00Z</dcterms:created>
  <dc:creator>lhn</dc:creator>
  <cp:lastModifiedBy>w-xin</cp:lastModifiedBy>
  <cp:lastPrinted>2021-02-03T20:58:00Z</cp:lastPrinted>
  <dcterms:modified xsi:type="dcterms:W3CDTF">2021-08-12T15:26:40Z</dcterms:modified>
  <dc:title>财政支出绩效评价报告</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