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9A7E3F">
      <w:pPr>
        <w:overflowPunct w:val="0"/>
        <w:spacing w:line="520" w:lineRule="exact"/>
        <w:rPr>
          <w:rFonts w:ascii="Times New Roman" w:hAnsi="Times New Roman" w:eastAsia="黑体" w:cs="Times New Roman"/>
          <w:sz w:val="32"/>
          <w:szCs w:val="32"/>
        </w:rPr>
      </w:pPr>
    </w:p>
    <w:p w14:paraId="5F78142E">
      <w:pPr>
        <w:pStyle w:val="37"/>
        <w:overflowPunct w:val="0"/>
      </w:pPr>
    </w:p>
    <w:p w14:paraId="1CAB0566">
      <w:pPr>
        <w:overflowPunct w:val="0"/>
        <w:adjustRightInd w:val="0"/>
        <w:snapToGrid w:val="0"/>
        <w:spacing w:line="560" w:lineRule="exact"/>
        <w:rPr>
          <w:rFonts w:ascii="Times New Roman" w:hAnsi="Times New Roman" w:eastAsia="仿宋_GB2312" w:cs="Times New Roman"/>
          <w:sz w:val="32"/>
          <w:szCs w:val="32"/>
        </w:rPr>
      </w:pPr>
    </w:p>
    <w:p w14:paraId="67FAE7FA">
      <w:pPr>
        <w:adjustRightInd w:val="0"/>
        <w:snapToGrid w:val="0"/>
        <w:spacing w:line="560" w:lineRule="exact"/>
        <w:rPr>
          <w:rFonts w:hint="eastAsia" w:ascii="黑体" w:hAnsi="黑体" w:eastAsia="黑体" w:cs="Times New Roman"/>
          <w:b/>
          <w:bCs/>
          <w:sz w:val="40"/>
          <w:szCs w:val="40"/>
        </w:rPr>
      </w:pPr>
    </w:p>
    <w:p w14:paraId="1FA25E6E">
      <w:pPr>
        <w:adjustRightInd w:val="0"/>
        <w:snapToGrid w:val="0"/>
        <w:spacing w:line="560" w:lineRule="exact"/>
        <w:rPr>
          <w:rFonts w:hint="eastAsia" w:ascii="黑体" w:hAnsi="黑体" w:eastAsia="黑体" w:cs="Times New Roman"/>
          <w:b/>
          <w:bCs/>
          <w:sz w:val="40"/>
          <w:szCs w:val="40"/>
        </w:rPr>
      </w:pPr>
    </w:p>
    <w:p w14:paraId="330D580F">
      <w:pPr>
        <w:adjustRightInd w:val="0"/>
        <w:snapToGrid w:val="0"/>
        <w:spacing w:line="560" w:lineRule="exact"/>
        <w:rPr>
          <w:rFonts w:hint="eastAsia" w:ascii="黑体" w:hAnsi="黑体" w:eastAsia="黑体" w:cs="Times New Roman"/>
          <w:b/>
          <w:bCs/>
          <w:sz w:val="40"/>
          <w:szCs w:val="40"/>
        </w:rPr>
      </w:pPr>
    </w:p>
    <w:p w14:paraId="21F816D6">
      <w:pPr>
        <w:pBdr>
          <w:top w:val="none" w:color="auto" w:sz="0" w:space="1"/>
          <w:left w:val="none" w:color="auto" w:sz="0" w:space="4"/>
          <w:bottom w:val="none" w:color="auto" w:sz="0" w:space="1"/>
          <w:right w:val="none" w:color="auto" w:sz="0" w:space="4"/>
        </w:pBdr>
        <w:spacing w:line="640" w:lineRule="exact"/>
        <w:jc w:val="center"/>
        <w:rPr>
          <w:rFonts w:ascii="Times New Roman" w:hAnsi="Times New Roman" w:eastAsia="方正小标宋简体" w:cs="Times New Roman"/>
          <w:sz w:val="48"/>
          <w:szCs w:val="48"/>
        </w:rPr>
      </w:pPr>
      <w:r>
        <w:rPr>
          <w:rFonts w:hint="eastAsia" w:ascii="Times New Roman" w:hAnsi="Times New Roman" w:eastAsia="方正小标宋简体" w:cs="Times New Roman"/>
          <w:sz w:val="48"/>
          <w:szCs w:val="48"/>
        </w:rPr>
        <w:t>中关村朝阳园“十五五”时期发展规划</w:t>
      </w:r>
    </w:p>
    <w:p w14:paraId="4590CBFC">
      <w:pPr>
        <w:adjustRightInd w:val="0"/>
        <w:snapToGrid w:val="0"/>
        <w:spacing w:line="560" w:lineRule="exact"/>
        <w:jc w:val="center"/>
        <w:rPr>
          <w:rFonts w:hint="eastAsia" w:ascii="Times New Roman" w:hAnsi="Times New Roman" w:eastAsia="方正小标宋简体" w:cs="Times New Roman"/>
          <w:sz w:val="48"/>
          <w:szCs w:val="48"/>
          <w:lang w:eastAsia="zh-CN"/>
        </w:rPr>
      </w:pPr>
    </w:p>
    <w:p w14:paraId="5EEE5DE2">
      <w:pPr>
        <w:adjustRightInd w:val="0"/>
        <w:snapToGrid w:val="0"/>
        <w:spacing w:line="560" w:lineRule="exact"/>
        <w:jc w:val="center"/>
        <w:rPr>
          <w:rFonts w:hint="eastAsia" w:ascii="黑体" w:hAnsi="黑体" w:eastAsia="黑体" w:cs="Times New Roman"/>
          <w:b/>
          <w:bCs/>
          <w:sz w:val="40"/>
          <w:szCs w:val="40"/>
        </w:rPr>
      </w:pPr>
    </w:p>
    <w:p w14:paraId="7994910C">
      <w:pPr>
        <w:adjustRightInd w:val="0"/>
        <w:snapToGrid w:val="0"/>
        <w:spacing w:line="560" w:lineRule="exact"/>
        <w:jc w:val="center"/>
        <w:rPr>
          <w:rFonts w:ascii="Times New Roman" w:hAnsi="Times New Roman" w:eastAsia="黑体" w:cs="Times New Roman"/>
          <w:sz w:val="36"/>
          <w:szCs w:val="44"/>
        </w:rPr>
      </w:pPr>
    </w:p>
    <w:p w14:paraId="538D736B">
      <w:pPr>
        <w:adjustRightInd w:val="0"/>
        <w:snapToGrid w:val="0"/>
        <w:spacing w:line="560" w:lineRule="exact"/>
        <w:jc w:val="center"/>
        <w:rPr>
          <w:rFonts w:ascii="Times New Roman" w:hAnsi="Times New Roman" w:eastAsia="黑体" w:cs="Times New Roman"/>
          <w:sz w:val="36"/>
          <w:szCs w:val="44"/>
        </w:rPr>
      </w:pPr>
    </w:p>
    <w:p w14:paraId="7491A5A9">
      <w:pPr>
        <w:adjustRightInd w:val="0"/>
        <w:snapToGrid w:val="0"/>
        <w:spacing w:line="560" w:lineRule="exact"/>
        <w:jc w:val="center"/>
        <w:rPr>
          <w:rFonts w:ascii="Times New Roman" w:hAnsi="Times New Roman" w:eastAsia="黑体" w:cs="Times New Roman"/>
          <w:sz w:val="36"/>
          <w:szCs w:val="44"/>
        </w:rPr>
      </w:pPr>
    </w:p>
    <w:p w14:paraId="128D43C7">
      <w:pPr>
        <w:adjustRightInd w:val="0"/>
        <w:snapToGrid w:val="0"/>
        <w:spacing w:line="560" w:lineRule="exact"/>
        <w:jc w:val="center"/>
        <w:rPr>
          <w:rFonts w:ascii="Times New Roman" w:hAnsi="Times New Roman" w:eastAsia="黑体" w:cs="Times New Roman"/>
          <w:sz w:val="36"/>
          <w:szCs w:val="44"/>
        </w:rPr>
      </w:pPr>
    </w:p>
    <w:p w14:paraId="506DD4AD">
      <w:pPr>
        <w:adjustRightInd w:val="0"/>
        <w:snapToGrid w:val="0"/>
        <w:spacing w:line="560" w:lineRule="exact"/>
        <w:jc w:val="center"/>
        <w:rPr>
          <w:rFonts w:ascii="Times New Roman" w:hAnsi="Times New Roman" w:eastAsia="黑体" w:cs="Times New Roman"/>
          <w:sz w:val="36"/>
          <w:szCs w:val="44"/>
        </w:rPr>
      </w:pPr>
    </w:p>
    <w:p w14:paraId="2084D135">
      <w:pPr>
        <w:adjustRightInd w:val="0"/>
        <w:snapToGrid w:val="0"/>
        <w:spacing w:line="560" w:lineRule="exact"/>
        <w:jc w:val="center"/>
        <w:rPr>
          <w:rFonts w:ascii="Times New Roman" w:hAnsi="Times New Roman" w:eastAsia="黑体" w:cs="Times New Roman"/>
          <w:sz w:val="36"/>
          <w:szCs w:val="44"/>
        </w:rPr>
      </w:pPr>
    </w:p>
    <w:p w14:paraId="225AA85C">
      <w:pPr>
        <w:adjustRightInd w:val="0"/>
        <w:snapToGrid w:val="0"/>
        <w:spacing w:line="560" w:lineRule="exact"/>
        <w:jc w:val="center"/>
        <w:rPr>
          <w:rFonts w:ascii="Times New Roman" w:hAnsi="Times New Roman" w:eastAsia="黑体" w:cs="Times New Roman"/>
          <w:sz w:val="36"/>
          <w:szCs w:val="44"/>
        </w:rPr>
      </w:pPr>
    </w:p>
    <w:p w14:paraId="0AF99D8D">
      <w:pPr>
        <w:widowControl/>
        <w:spacing w:line="620" w:lineRule="exact"/>
        <w:ind w:firstLine="420" w:firstLineChars="200"/>
        <w:rPr>
          <w:rFonts w:ascii="仿宋_GB2312" w:hAnsi="Times New Roman" w:eastAsia="仿宋_GB2312" w:cs="Times New Roman"/>
          <w:szCs w:val="21"/>
        </w:rPr>
      </w:pPr>
    </w:p>
    <w:p w14:paraId="251DF2AE">
      <w:pPr>
        <w:pStyle w:val="4"/>
        <w:rPr>
          <w:rFonts w:hint="eastAsia"/>
        </w:rPr>
      </w:pPr>
      <w:r>
        <w:rPr>
          <w:rFonts w:hint="eastAsia"/>
        </w:rPr>
        <w:t>中关村科技园区朝阳园管理委员会</w:t>
      </w:r>
    </w:p>
    <w:p w14:paraId="0B8596CE">
      <w:pPr>
        <w:pStyle w:val="4"/>
        <w:widowControl/>
        <w:spacing w:after="0"/>
        <w:rPr>
          <w:rFonts w:ascii="Times New Roman" w:hAnsi="Times New Roman" w:eastAsia="仿宋_GB2312" w:cs="Times New Roman"/>
          <w:szCs w:val="21"/>
        </w:rPr>
      </w:pPr>
      <w:r>
        <w:rPr>
          <w:rFonts w:hint="eastAsia"/>
        </w:rPr>
        <w:t>（北京市朝阳区科学技术和信息化局）</w:t>
      </w:r>
    </w:p>
    <w:p w14:paraId="1EF720E0">
      <w:pPr>
        <w:pStyle w:val="4"/>
        <w:jc w:val="both"/>
        <w:rPr>
          <w:rFonts w:hint="eastAsia"/>
        </w:rPr>
      </w:pPr>
    </w:p>
    <w:p w14:paraId="09B4E228">
      <w:pPr>
        <w:widowControl/>
        <w:adjustRightInd w:val="0"/>
        <w:snapToGrid w:val="0"/>
        <w:spacing w:line="560" w:lineRule="exact"/>
        <w:jc w:val="center"/>
        <w:rPr>
          <w:rFonts w:ascii="Times New Roman" w:hAnsi="Times New Roman" w:eastAsia="楷体_GB2312" w:cs="Times New Roman"/>
          <w:spacing w:val="-10"/>
          <w:sz w:val="36"/>
          <w:szCs w:val="36"/>
        </w:rPr>
      </w:pPr>
      <w:r>
        <w:rPr>
          <w:rFonts w:ascii="Times New Roman" w:hAnsi="Times New Roman" w:eastAsia="楷体_GB2312" w:cs="Times New Roman"/>
          <w:spacing w:val="-10"/>
          <w:sz w:val="36"/>
          <w:szCs w:val="36"/>
        </w:rPr>
        <w:t>2026年</w:t>
      </w:r>
      <w:r>
        <w:rPr>
          <w:rFonts w:hint="eastAsia" w:ascii="Times New Roman" w:hAnsi="Times New Roman" w:eastAsia="楷体_GB2312" w:cs="Times New Roman"/>
          <w:spacing w:val="-10"/>
          <w:sz w:val="36"/>
          <w:szCs w:val="36"/>
        </w:rPr>
        <w:t>9</w:t>
      </w:r>
      <w:r>
        <w:rPr>
          <w:rFonts w:ascii="Times New Roman" w:hAnsi="Times New Roman" w:eastAsia="楷体_GB2312" w:cs="Times New Roman"/>
          <w:spacing w:val="-10"/>
          <w:sz w:val="36"/>
          <w:szCs w:val="36"/>
        </w:rPr>
        <w:t>月</w:t>
      </w:r>
    </w:p>
    <w:p w14:paraId="7B54D585">
      <w:pPr>
        <w:pStyle w:val="4"/>
        <w:rPr>
          <w:rFonts w:hint="eastAsia"/>
        </w:rPr>
        <w:sectPr>
          <w:footerReference r:id="rId3" w:type="default"/>
          <w:pgSz w:w="11906" w:h="16838"/>
          <w:pgMar w:top="2098" w:right="1474" w:bottom="1984" w:left="1587" w:header="851" w:footer="992" w:gutter="0"/>
          <w:pgNumType w:fmt="numberInDash" w:start="5"/>
          <w:cols w:space="0" w:num="1"/>
          <w:docGrid w:type="lines" w:linePitch="312" w:charSpace="0"/>
        </w:sectPr>
      </w:pPr>
    </w:p>
    <w:p w14:paraId="009049FA"/>
    <w:p w14:paraId="3A72BCA2">
      <w:pPr>
        <w:pBdr>
          <w:top w:val="none" w:color="auto" w:sz="0" w:space="1"/>
          <w:left w:val="none" w:color="auto" w:sz="0" w:space="4"/>
          <w:bottom w:val="none" w:color="auto" w:sz="0" w:space="1"/>
          <w:right w:val="none" w:color="auto" w:sz="0" w:space="4"/>
        </w:pBdr>
        <w:snapToGrid w:val="0"/>
        <w:spacing w:line="560" w:lineRule="exact"/>
        <w:jc w:val="center"/>
        <w:rPr>
          <w:rFonts w:ascii="Times New Roman" w:hAnsi="Times New Roman" w:eastAsia="黑体" w:cs="Times New Roman"/>
          <w:sz w:val="36"/>
          <w:szCs w:val="36"/>
        </w:rPr>
        <w:sectPr>
          <w:footerReference r:id="rId4" w:type="default"/>
          <w:pgSz w:w="11906" w:h="16838"/>
          <w:pgMar w:top="2098" w:right="1474" w:bottom="1984" w:left="1587" w:header="851" w:footer="992" w:gutter="0"/>
          <w:pgNumType w:fmt="numberInDash" w:start="1"/>
          <w:cols w:space="0" w:num="1"/>
          <w:docGrid w:type="lines" w:linePitch="312" w:charSpace="0"/>
        </w:sectPr>
      </w:pPr>
    </w:p>
    <w:p w14:paraId="5EBB7143">
      <w:pPr>
        <w:pBdr>
          <w:top w:val="none" w:color="auto" w:sz="0" w:space="1"/>
          <w:left w:val="none" w:color="auto" w:sz="0" w:space="4"/>
          <w:bottom w:val="none" w:color="auto" w:sz="0" w:space="1"/>
          <w:right w:val="none" w:color="auto" w:sz="0" w:space="4"/>
        </w:pBdr>
        <w:snapToGrid w:val="0"/>
        <w:spacing w:line="560" w:lineRule="exact"/>
        <w:jc w:val="center"/>
        <w:rPr>
          <w:rFonts w:ascii="Times New Roman" w:hAnsi="Times New Roman" w:eastAsia="黑体" w:cs="Times New Roman"/>
          <w:sz w:val="36"/>
          <w:szCs w:val="36"/>
        </w:rPr>
      </w:pPr>
      <w:r>
        <w:rPr>
          <w:rFonts w:hint="eastAsia" w:ascii="Times New Roman" w:hAnsi="Times New Roman" w:eastAsia="黑体" w:cs="Times New Roman"/>
          <w:sz w:val="36"/>
          <w:szCs w:val="36"/>
        </w:rPr>
        <w:t>序  言</w:t>
      </w:r>
    </w:p>
    <w:p w14:paraId="57F4F78C">
      <w:pPr>
        <w:overflowPunct w:val="0"/>
        <w:adjustRightInd w:val="0"/>
        <w:snapToGrid w:val="0"/>
        <w:spacing w:line="600" w:lineRule="exact"/>
        <w:ind w:firstLine="640" w:firstLine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当前，面对全球科技革命和产业变革加速演进，北京市正全力推进北京（京津冀）国际科技创新中心和中关村世界领先科技园区建设。中关村朝阳园作为中关村国家自主创新示范区的重要组成部分，既是国际科技创新中心的重要承载，更是朝阳区科技创新主阵地。“十五五”时期，中关村朝阳园将抢抓新一轮国家高新区布局和规模调整契机，以科技创新和产业创新深度融合为主线，进一步发挥主阵地作用，全面提升科技创新引领辐射功能，优化创新生态体系，提升园区发展品质，打造中关村世界领先科技园区发展新引擎，为区域高质量发展注入强劲动能。</w:t>
      </w:r>
    </w:p>
    <w:p w14:paraId="6BC99863">
      <w:pPr>
        <w:overflowPunct w:val="0"/>
        <w:adjustRightInd w:val="0"/>
        <w:snapToGrid w:val="0"/>
        <w:spacing w:line="600" w:lineRule="exact"/>
        <w:ind w:firstLine="640" w:firstLine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依据“十五五”时期北京国际科技创新中心建设要求，</w:t>
      </w:r>
      <w:r>
        <w:rPr>
          <w:rFonts w:hint="eastAsia" w:ascii="仿宋_GB2312" w:hAnsi="仿宋_GB2312" w:eastAsia="仿宋_GB2312" w:cs="仿宋_GB2312"/>
          <w:bCs/>
          <w:kern w:val="0"/>
          <w:sz w:val="32"/>
          <w:szCs w:val="32"/>
          <w:lang w:eastAsia="zh-CN"/>
        </w:rPr>
        <w:t>以及</w:t>
      </w:r>
      <w:r>
        <w:rPr>
          <w:rFonts w:hint="eastAsia" w:ascii="仿宋_GB2312" w:hAnsi="仿宋_GB2312" w:eastAsia="仿宋_GB2312" w:cs="仿宋_GB2312"/>
          <w:bCs/>
          <w:kern w:val="0"/>
          <w:sz w:val="32"/>
          <w:szCs w:val="32"/>
        </w:rPr>
        <w:t>《北京市“十五五”时期高精尖产业发展规划》《“十五五”时期中关村世界领先科技园区建设规划》《中共北京市朝阳区委关于制定朝阳区国民经济和社会发展第十五个五年规划的建议》《北京市朝阳区国民经济和社会发展第十五个五年规划纲要》等文件，编制本规划。本规划是指导中关村朝阳园“十五五”时期高质量发展的纲领性文件，实施年限为</w:t>
      </w:r>
      <w:r>
        <w:rPr>
          <w:rFonts w:ascii="Times New Roman" w:hAnsi="Times New Roman" w:eastAsia="仿宋_GB2312" w:cs="Times New Roman"/>
          <w:bCs/>
          <w:kern w:val="0"/>
          <w:sz w:val="32"/>
          <w:szCs w:val="32"/>
        </w:rPr>
        <w:t>2026年至2030</w:t>
      </w:r>
      <w:r>
        <w:rPr>
          <w:rFonts w:hint="eastAsia" w:ascii="仿宋_GB2312" w:hAnsi="仿宋_GB2312" w:eastAsia="仿宋_GB2312" w:cs="仿宋_GB2312"/>
          <w:bCs/>
          <w:kern w:val="0"/>
          <w:sz w:val="32"/>
          <w:szCs w:val="32"/>
        </w:rPr>
        <w:t>年。</w:t>
      </w:r>
    </w:p>
    <w:p w14:paraId="2FE808B3">
      <w:pPr>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br w:type="page"/>
      </w:r>
    </w:p>
    <w:p w14:paraId="73A282E1">
      <w:pPr>
        <w:adjustRightInd w:val="0"/>
        <w:snapToGrid w:val="0"/>
        <w:spacing w:line="560" w:lineRule="exact"/>
        <w:ind w:firstLine="640" w:firstLineChars="200"/>
        <w:rPr>
          <w:rFonts w:ascii="仿宋_GB2312" w:hAnsi="仿宋_GB2312" w:eastAsia="仿宋_GB2312" w:cs="仿宋_GB2312"/>
          <w:bCs/>
          <w:kern w:val="0"/>
          <w:sz w:val="32"/>
          <w:szCs w:val="32"/>
          <w:lang w:val="zh-CN"/>
        </w:rPr>
      </w:pPr>
    </w:p>
    <w:p w14:paraId="3C83F95C">
      <w:pPr>
        <w:pStyle w:val="4"/>
        <w:rPr>
          <w:rFonts w:ascii="Times New Roman" w:hAnsi="Times New Roman" w:eastAsia="仿宋_GB2312" w:cs="Times New Roman"/>
          <w:b/>
          <w:bCs/>
          <w:sz w:val="21"/>
          <w:szCs w:val="21"/>
          <w:lang w:val="zh-CN"/>
        </w:rPr>
      </w:pPr>
    </w:p>
    <w:p w14:paraId="2E020F92">
      <w:pPr>
        <w:rPr>
          <w:lang w:val="zh-CN"/>
        </w:rPr>
        <w:sectPr>
          <w:footerReference r:id="rId5" w:type="default"/>
          <w:pgSz w:w="11906" w:h="16838"/>
          <w:pgMar w:top="2098" w:right="1474" w:bottom="1984" w:left="1587" w:header="851" w:footer="992" w:gutter="0"/>
          <w:pgNumType w:fmt="numberInDash" w:start="1"/>
          <w:cols w:space="0" w:num="1"/>
          <w:docGrid w:type="lines" w:linePitch="312" w:charSpace="0"/>
        </w:sectPr>
      </w:pPr>
    </w:p>
    <w:sdt>
      <w:sdtPr>
        <w:rPr>
          <w:rFonts w:hint="eastAsia" w:ascii="方正小标宋简体" w:hAnsi="方正小标宋简体" w:eastAsia="方正小标宋简体" w:cs="方正小标宋简体"/>
          <w:sz w:val="44"/>
          <w:szCs w:val="44"/>
        </w:rPr>
        <w:id w:val="147466724"/>
        <w15:color w:val="DBDBDB"/>
        <w:docPartObj>
          <w:docPartGallery w:val="Table of Contents"/>
          <w:docPartUnique/>
        </w:docPartObj>
      </w:sdtPr>
      <w:sdtEndPr>
        <w:rPr>
          <w:rFonts w:hint="eastAsia" w:ascii="方正小标宋简体" w:hAnsi="方正小标宋简体" w:eastAsia="方正小标宋简体" w:cs="方正小标宋简体"/>
          <w:sz w:val="44"/>
          <w:szCs w:val="44"/>
        </w:rPr>
      </w:sdtEndPr>
      <w:sdtContent>
        <w:p w14:paraId="201C2304">
          <w:pPr>
            <w:adjustRightInd w:val="0"/>
            <w:snapToGrid w:val="0"/>
            <w:spacing w:line="360" w:lineRule="auto"/>
            <w:jc w:val="center"/>
            <w:rPr>
              <w:rFonts w:hint="eastAsia" w:ascii="方正小标宋简体" w:hAnsi="方正小标宋简体" w:eastAsia="方正小标宋简体" w:cs="方正小标宋简体"/>
              <w:sz w:val="44"/>
              <w:szCs w:val="44"/>
            </w:rPr>
          </w:pPr>
          <w:bookmarkStart w:id="0" w:name="_Toc206433752"/>
          <w:bookmarkStart w:id="1" w:name="_Toc204881985"/>
          <w:bookmarkStart w:id="2" w:name="_Toc27989"/>
          <w:bookmarkStart w:id="3" w:name="_Toc206361943"/>
          <w:bookmarkStart w:id="4" w:name="_Toc223883428"/>
          <w:bookmarkStart w:id="5" w:name="_Toc6578"/>
          <w:bookmarkStart w:id="6" w:name="_Toc6931"/>
          <w:bookmarkStart w:id="7" w:name="_Toc216455749"/>
          <w:bookmarkStart w:id="8" w:name="_Toc25990"/>
          <w:bookmarkStart w:id="9" w:name="_Toc5057"/>
          <w:bookmarkStart w:id="10" w:name="_Toc31251"/>
          <w:r>
            <w:rPr>
              <w:rFonts w:hint="eastAsia" w:ascii="方正小标宋简体" w:hAnsi="方正小标宋简体" w:eastAsia="方正小标宋简体" w:cs="方正小标宋简体"/>
              <w:sz w:val="44"/>
              <w:szCs w:val="44"/>
            </w:rPr>
            <w:t>目  录</w:t>
          </w:r>
        </w:p>
        <w:p w14:paraId="72781529">
          <w:pPr>
            <w:pStyle w:val="12"/>
            <w:tabs>
              <w:tab w:val="right" w:leader="dot" w:pos="8845"/>
            </w:tabs>
            <w:rPr>
              <w:rFonts w:ascii="Times New Roman" w:hAnsi="Times New Roman" w:eastAsia="仿宋_GB2312" w:cs="Times New Roman"/>
              <w:kern w:val="44"/>
              <w:sz w:val="32"/>
              <w:szCs w:val="32"/>
            </w:rPr>
          </w:pP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TOC \o "1-1" \h \u </w:instrText>
          </w:r>
          <w:r>
            <w:rPr>
              <w:rFonts w:ascii="Times New Roman" w:hAnsi="Times New Roman" w:eastAsia="仿宋_GB2312" w:cs="Times New Roman"/>
              <w:sz w:val="32"/>
              <w:szCs w:val="32"/>
            </w:rPr>
            <w:fldChar w:fldCharType="separate"/>
          </w:r>
          <w:r>
            <w:fldChar w:fldCharType="begin"/>
          </w:r>
          <w:r>
            <w:instrText xml:space="preserve"> HYPERLINK \l "_Toc22824" </w:instrText>
          </w:r>
          <w:r>
            <w:fldChar w:fldCharType="separate"/>
          </w:r>
          <w:r>
            <w:rPr>
              <w:rFonts w:hint="eastAsia" w:ascii="Times New Roman" w:hAnsi="Times New Roman" w:eastAsia="仿宋_GB2312" w:cs="Times New Roman"/>
              <w:kern w:val="44"/>
              <w:sz w:val="32"/>
              <w:szCs w:val="32"/>
            </w:rPr>
            <w:t>第一章 发展基础与发展环境</w:t>
          </w:r>
          <w:r>
            <w:rPr>
              <w:rFonts w:ascii="Times New Roman" w:hAnsi="Times New Roman" w:eastAsia="仿宋_GB2312" w:cs="Times New Roman"/>
              <w:kern w:val="44"/>
              <w:sz w:val="32"/>
              <w:szCs w:val="32"/>
            </w:rPr>
            <w:tab/>
          </w:r>
          <w:r>
            <w:rPr>
              <w:rFonts w:ascii="Times New Roman" w:hAnsi="Times New Roman" w:eastAsia="仿宋_GB2312" w:cs="Times New Roman"/>
              <w:kern w:val="44"/>
              <w:sz w:val="32"/>
              <w:szCs w:val="32"/>
            </w:rPr>
            <w:fldChar w:fldCharType="begin"/>
          </w:r>
          <w:r>
            <w:rPr>
              <w:rFonts w:ascii="Times New Roman" w:hAnsi="Times New Roman" w:eastAsia="仿宋_GB2312" w:cs="Times New Roman"/>
              <w:kern w:val="44"/>
              <w:sz w:val="32"/>
              <w:szCs w:val="32"/>
            </w:rPr>
            <w:instrText xml:space="preserve"> PAGEREF _Toc22824 \h </w:instrText>
          </w:r>
          <w:r>
            <w:rPr>
              <w:rFonts w:ascii="Times New Roman" w:hAnsi="Times New Roman" w:eastAsia="仿宋_GB2312" w:cs="Times New Roman"/>
              <w:kern w:val="44"/>
              <w:sz w:val="32"/>
              <w:szCs w:val="32"/>
            </w:rPr>
            <w:fldChar w:fldCharType="separate"/>
          </w:r>
          <w:r>
            <w:rPr>
              <w:rFonts w:ascii="Times New Roman" w:hAnsi="Times New Roman" w:eastAsia="仿宋_GB2312" w:cs="Times New Roman"/>
              <w:kern w:val="44"/>
              <w:sz w:val="32"/>
              <w:szCs w:val="32"/>
            </w:rPr>
            <w:t>4</w:t>
          </w:r>
          <w:r>
            <w:rPr>
              <w:rFonts w:ascii="Times New Roman" w:hAnsi="Times New Roman" w:eastAsia="仿宋_GB2312" w:cs="Times New Roman"/>
              <w:kern w:val="44"/>
              <w:sz w:val="32"/>
              <w:szCs w:val="32"/>
            </w:rPr>
            <w:fldChar w:fldCharType="end"/>
          </w:r>
          <w:r>
            <w:rPr>
              <w:rFonts w:ascii="Times New Roman" w:hAnsi="Times New Roman" w:eastAsia="仿宋_GB2312" w:cs="Times New Roman"/>
              <w:kern w:val="44"/>
              <w:sz w:val="32"/>
              <w:szCs w:val="32"/>
            </w:rPr>
            <w:fldChar w:fldCharType="end"/>
          </w:r>
        </w:p>
        <w:p w14:paraId="03D0B564">
          <w:pPr>
            <w:pStyle w:val="12"/>
            <w:tabs>
              <w:tab w:val="right" w:leader="dot" w:pos="8845"/>
            </w:tabs>
            <w:rPr>
              <w:rFonts w:ascii="Times New Roman" w:hAnsi="Times New Roman" w:eastAsia="仿宋_GB2312" w:cs="Times New Roman"/>
              <w:kern w:val="44"/>
              <w:sz w:val="32"/>
              <w:szCs w:val="32"/>
            </w:rPr>
          </w:pPr>
          <w:r>
            <w:fldChar w:fldCharType="begin"/>
          </w:r>
          <w:r>
            <w:instrText xml:space="preserve"> HYPERLINK \l "_Toc6903" </w:instrText>
          </w:r>
          <w:r>
            <w:fldChar w:fldCharType="separate"/>
          </w:r>
          <w:r>
            <w:rPr>
              <w:rFonts w:hint="eastAsia" w:ascii="Times New Roman" w:hAnsi="Times New Roman" w:eastAsia="仿宋_GB2312" w:cs="Times New Roman"/>
              <w:kern w:val="44"/>
              <w:sz w:val="32"/>
              <w:szCs w:val="32"/>
            </w:rPr>
            <w:t>第二章 总体要求</w:t>
          </w:r>
          <w:r>
            <w:rPr>
              <w:rFonts w:ascii="Times New Roman" w:hAnsi="Times New Roman" w:eastAsia="仿宋_GB2312" w:cs="Times New Roman"/>
              <w:kern w:val="44"/>
              <w:sz w:val="32"/>
              <w:szCs w:val="32"/>
            </w:rPr>
            <w:tab/>
          </w:r>
          <w:r>
            <w:rPr>
              <w:rFonts w:ascii="Times New Roman" w:hAnsi="Times New Roman" w:eastAsia="仿宋_GB2312" w:cs="Times New Roman"/>
              <w:kern w:val="44"/>
              <w:sz w:val="32"/>
              <w:szCs w:val="32"/>
            </w:rPr>
            <w:fldChar w:fldCharType="begin"/>
          </w:r>
          <w:r>
            <w:rPr>
              <w:rFonts w:ascii="Times New Roman" w:hAnsi="Times New Roman" w:eastAsia="仿宋_GB2312" w:cs="Times New Roman"/>
              <w:kern w:val="44"/>
              <w:sz w:val="32"/>
              <w:szCs w:val="32"/>
            </w:rPr>
            <w:instrText xml:space="preserve"> PAGEREF _Toc6903 \h </w:instrText>
          </w:r>
          <w:r>
            <w:rPr>
              <w:rFonts w:ascii="Times New Roman" w:hAnsi="Times New Roman" w:eastAsia="仿宋_GB2312" w:cs="Times New Roman"/>
              <w:kern w:val="44"/>
              <w:sz w:val="32"/>
              <w:szCs w:val="32"/>
            </w:rPr>
            <w:fldChar w:fldCharType="separate"/>
          </w:r>
          <w:r>
            <w:rPr>
              <w:rFonts w:ascii="Times New Roman" w:hAnsi="Times New Roman" w:eastAsia="仿宋_GB2312" w:cs="Times New Roman"/>
              <w:kern w:val="44"/>
              <w:sz w:val="32"/>
              <w:szCs w:val="32"/>
            </w:rPr>
            <w:t>11</w:t>
          </w:r>
          <w:r>
            <w:rPr>
              <w:rFonts w:ascii="Times New Roman" w:hAnsi="Times New Roman" w:eastAsia="仿宋_GB2312" w:cs="Times New Roman"/>
              <w:kern w:val="44"/>
              <w:sz w:val="32"/>
              <w:szCs w:val="32"/>
            </w:rPr>
            <w:fldChar w:fldCharType="end"/>
          </w:r>
          <w:r>
            <w:rPr>
              <w:rFonts w:ascii="Times New Roman" w:hAnsi="Times New Roman" w:eastAsia="仿宋_GB2312" w:cs="Times New Roman"/>
              <w:kern w:val="44"/>
              <w:sz w:val="32"/>
              <w:szCs w:val="32"/>
            </w:rPr>
            <w:fldChar w:fldCharType="end"/>
          </w:r>
        </w:p>
        <w:p w14:paraId="78CB7B97">
          <w:pPr>
            <w:pStyle w:val="12"/>
            <w:tabs>
              <w:tab w:val="right" w:leader="dot" w:pos="8845"/>
            </w:tabs>
            <w:rPr>
              <w:rFonts w:ascii="Times New Roman" w:hAnsi="Times New Roman" w:eastAsia="仿宋_GB2312" w:cs="Times New Roman"/>
              <w:kern w:val="44"/>
              <w:sz w:val="32"/>
              <w:szCs w:val="32"/>
            </w:rPr>
          </w:pPr>
          <w:r>
            <w:fldChar w:fldCharType="begin"/>
          </w:r>
          <w:r>
            <w:instrText xml:space="preserve"> HYPERLINK \l "_Toc713" </w:instrText>
          </w:r>
          <w:r>
            <w:fldChar w:fldCharType="separate"/>
          </w:r>
          <w:r>
            <w:rPr>
              <w:rFonts w:hint="eastAsia" w:ascii="Times New Roman" w:hAnsi="Times New Roman" w:eastAsia="仿宋_GB2312" w:cs="Times New Roman"/>
              <w:kern w:val="44"/>
              <w:sz w:val="32"/>
              <w:szCs w:val="32"/>
            </w:rPr>
            <w:t>第三章 强化朝阳园创新引领辐射功能</w:t>
          </w:r>
          <w:r>
            <w:rPr>
              <w:rFonts w:ascii="Times New Roman" w:hAnsi="Times New Roman" w:eastAsia="仿宋_GB2312" w:cs="Times New Roman"/>
              <w:kern w:val="44"/>
              <w:sz w:val="32"/>
              <w:szCs w:val="32"/>
            </w:rPr>
            <w:tab/>
          </w:r>
          <w:r>
            <w:rPr>
              <w:rFonts w:ascii="Times New Roman" w:hAnsi="Times New Roman" w:eastAsia="仿宋_GB2312" w:cs="Times New Roman"/>
              <w:kern w:val="44"/>
              <w:sz w:val="32"/>
              <w:szCs w:val="32"/>
            </w:rPr>
            <w:fldChar w:fldCharType="begin"/>
          </w:r>
          <w:r>
            <w:rPr>
              <w:rFonts w:ascii="Times New Roman" w:hAnsi="Times New Roman" w:eastAsia="仿宋_GB2312" w:cs="Times New Roman"/>
              <w:kern w:val="44"/>
              <w:sz w:val="32"/>
              <w:szCs w:val="32"/>
            </w:rPr>
            <w:instrText xml:space="preserve"> PAGEREF _Toc713 \h </w:instrText>
          </w:r>
          <w:r>
            <w:rPr>
              <w:rFonts w:ascii="Times New Roman" w:hAnsi="Times New Roman" w:eastAsia="仿宋_GB2312" w:cs="Times New Roman"/>
              <w:kern w:val="44"/>
              <w:sz w:val="32"/>
              <w:szCs w:val="32"/>
            </w:rPr>
            <w:fldChar w:fldCharType="separate"/>
          </w:r>
          <w:r>
            <w:rPr>
              <w:rFonts w:ascii="Times New Roman" w:hAnsi="Times New Roman" w:eastAsia="仿宋_GB2312" w:cs="Times New Roman"/>
              <w:kern w:val="44"/>
              <w:sz w:val="32"/>
              <w:szCs w:val="32"/>
            </w:rPr>
            <w:t>15</w:t>
          </w:r>
          <w:r>
            <w:rPr>
              <w:rFonts w:ascii="Times New Roman" w:hAnsi="Times New Roman" w:eastAsia="仿宋_GB2312" w:cs="Times New Roman"/>
              <w:kern w:val="44"/>
              <w:sz w:val="32"/>
              <w:szCs w:val="32"/>
            </w:rPr>
            <w:fldChar w:fldCharType="end"/>
          </w:r>
          <w:r>
            <w:rPr>
              <w:rFonts w:ascii="Times New Roman" w:hAnsi="Times New Roman" w:eastAsia="仿宋_GB2312" w:cs="Times New Roman"/>
              <w:kern w:val="44"/>
              <w:sz w:val="32"/>
              <w:szCs w:val="32"/>
            </w:rPr>
            <w:fldChar w:fldCharType="end"/>
          </w:r>
        </w:p>
        <w:p w14:paraId="31514DE3">
          <w:pPr>
            <w:pStyle w:val="12"/>
            <w:tabs>
              <w:tab w:val="right" w:leader="dot" w:pos="8845"/>
            </w:tabs>
            <w:rPr>
              <w:rFonts w:ascii="Times New Roman" w:hAnsi="Times New Roman" w:eastAsia="仿宋_GB2312" w:cs="Times New Roman"/>
              <w:kern w:val="44"/>
              <w:sz w:val="32"/>
              <w:szCs w:val="32"/>
            </w:rPr>
          </w:pPr>
          <w:r>
            <w:fldChar w:fldCharType="begin"/>
          </w:r>
          <w:r>
            <w:instrText xml:space="preserve"> HYPERLINK \l "_Toc19971" </w:instrText>
          </w:r>
          <w:r>
            <w:fldChar w:fldCharType="separate"/>
          </w:r>
          <w:r>
            <w:rPr>
              <w:rFonts w:hint="eastAsia" w:ascii="Times New Roman" w:hAnsi="Times New Roman" w:eastAsia="仿宋_GB2312" w:cs="Times New Roman"/>
              <w:kern w:val="44"/>
              <w:sz w:val="32"/>
              <w:szCs w:val="32"/>
            </w:rPr>
            <w:t>第四章</w:t>
          </w:r>
          <w:r>
            <w:rPr>
              <w:rFonts w:ascii="Times New Roman" w:hAnsi="Times New Roman" w:eastAsia="仿宋_GB2312" w:cs="Times New Roman"/>
              <w:kern w:val="44"/>
              <w:sz w:val="32"/>
              <w:szCs w:val="32"/>
            </w:rPr>
            <w:t xml:space="preserve"> </w:t>
          </w:r>
          <w:r>
            <w:rPr>
              <w:rFonts w:hint="eastAsia" w:ascii="Times New Roman" w:hAnsi="Times New Roman" w:eastAsia="仿宋_GB2312" w:cs="Times New Roman"/>
              <w:kern w:val="44"/>
              <w:sz w:val="32"/>
              <w:szCs w:val="32"/>
            </w:rPr>
            <w:t>提升</w:t>
          </w:r>
          <w:r>
            <w:rPr>
              <w:rFonts w:ascii="Times New Roman" w:hAnsi="Times New Roman" w:eastAsia="仿宋_GB2312" w:cs="Times New Roman"/>
              <w:kern w:val="44"/>
              <w:sz w:val="32"/>
              <w:szCs w:val="32"/>
            </w:rPr>
            <w:t>电子城片区</w:t>
          </w:r>
          <w:r>
            <w:rPr>
              <w:rFonts w:hint="eastAsia" w:ascii="Times New Roman" w:hAnsi="Times New Roman" w:eastAsia="仿宋_GB2312" w:cs="Times New Roman"/>
              <w:kern w:val="44"/>
              <w:sz w:val="32"/>
              <w:szCs w:val="32"/>
            </w:rPr>
            <w:t>产业集聚</w:t>
          </w:r>
          <w:r>
            <w:rPr>
              <w:rFonts w:ascii="Times New Roman" w:hAnsi="Times New Roman" w:eastAsia="仿宋_GB2312" w:cs="Times New Roman"/>
              <w:kern w:val="44"/>
              <w:sz w:val="32"/>
              <w:szCs w:val="32"/>
            </w:rPr>
            <w:t>功能</w:t>
          </w:r>
          <w:r>
            <w:rPr>
              <w:rFonts w:ascii="Times New Roman" w:hAnsi="Times New Roman" w:eastAsia="仿宋_GB2312" w:cs="Times New Roman"/>
              <w:kern w:val="44"/>
              <w:sz w:val="32"/>
              <w:szCs w:val="32"/>
            </w:rPr>
            <w:tab/>
          </w:r>
          <w:r>
            <w:rPr>
              <w:rFonts w:ascii="Times New Roman" w:hAnsi="Times New Roman" w:eastAsia="仿宋_GB2312" w:cs="Times New Roman"/>
              <w:kern w:val="44"/>
              <w:sz w:val="32"/>
              <w:szCs w:val="32"/>
            </w:rPr>
            <w:fldChar w:fldCharType="begin"/>
          </w:r>
          <w:r>
            <w:rPr>
              <w:rFonts w:ascii="Times New Roman" w:hAnsi="Times New Roman" w:eastAsia="仿宋_GB2312" w:cs="Times New Roman"/>
              <w:kern w:val="44"/>
              <w:sz w:val="32"/>
              <w:szCs w:val="32"/>
            </w:rPr>
            <w:instrText xml:space="preserve"> PAGEREF _Toc19971 \h </w:instrText>
          </w:r>
          <w:r>
            <w:rPr>
              <w:rFonts w:ascii="Times New Roman" w:hAnsi="Times New Roman" w:eastAsia="仿宋_GB2312" w:cs="Times New Roman"/>
              <w:kern w:val="44"/>
              <w:sz w:val="32"/>
              <w:szCs w:val="32"/>
            </w:rPr>
            <w:fldChar w:fldCharType="separate"/>
          </w:r>
          <w:r>
            <w:rPr>
              <w:rFonts w:ascii="Times New Roman" w:hAnsi="Times New Roman" w:eastAsia="仿宋_GB2312" w:cs="Times New Roman"/>
              <w:kern w:val="44"/>
              <w:sz w:val="32"/>
              <w:szCs w:val="32"/>
            </w:rPr>
            <w:t>19</w:t>
          </w:r>
          <w:r>
            <w:rPr>
              <w:rFonts w:ascii="Times New Roman" w:hAnsi="Times New Roman" w:eastAsia="仿宋_GB2312" w:cs="Times New Roman"/>
              <w:kern w:val="44"/>
              <w:sz w:val="32"/>
              <w:szCs w:val="32"/>
            </w:rPr>
            <w:fldChar w:fldCharType="end"/>
          </w:r>
          <w:r>
            <w:rPr>
              <w:rFonts w:ascii="Times New Roman" w:hAnsi="Times New Roman" w:eastAsia="仿宋_GB2312" w:cs="Times New Roman"/>
              <w:kern w:val="44"/>
              <w:sz w:val="32"/>
              <w:szCs w:val="32"/>
            </w:rPr>
            <w:fldChar w:fldCharType="end"/>
          </w:r>
        </w:p>
        <w:p w14:paraId="1725C506">
          <w:pPr>
            <w:pStyle w:val="12"/>
            <w:tabs>
              <w:tab w:val="right" w:leader="dot" w:pos="8845"/>
            </w:tabs>
            <w:rPr>
              <w:rFonts w:ascii="Times New Roman" w:hAnsi="Times New Roman" w:eastAsia="仿宋_GB2312" w:cs="Times New Roman"/>
              <w:kern w:val="44"/>
              <w:sz w:val="32"/>
              <w:szCs w:val="32"/>
            </w:rPr>
          </w:pPr>
          <w:r>
            <w:fldChar w:fldCharType="begin"/>
          </w:r>
          <w:r>
            <w:instrText xml:space="preserve"> HYPERLINK \l "_Toc1268" </w:instrText>
          </w:r>
          <w:r>
            <w:fldChar w:fldCharType="separate"/>
          </w:r>
          <w:r>
            <w:rPr>
              <w:rFonts w:hint="eastAsia" w:ascii="Times New Roman" w:hAnsi="Times New Roman" w:eastAsia="仿宋_GB2312" w:cs="Times New Roman"/>
              <w:kern w:val="44"/>
              <w:sz w:val="32"/>
              <w:szCs w:val="32"/>
            </w:rPr>
            <w:t>第五章 加快朝阳园北区规划建设发展</w:t>
          </w:r>
          <w:r>
            <w:rPr>
              <w:rFonts w:ascii="Times New Roman" w:hAnsi="Times New Roman" w:eastAsia="仿宋_GB2312" w:cs="Times New Roman"/>
              <w:kern w:val="44"/>
              <w:sz w:val="32"/>
              <w:szCs w:val="32"/>
            </w:rPr>
            <w:tab/>
          </w:r>
          <w:r>
            <w:rPr>
              <w:rFonts w:ascii="Times New Roman" w:hAnsi="Times New Roman" w:eastAsia="仿宋_GB2312" w:cs="Times New Roman"/>
              <w:kern w:val="44"/>
              <w:sz w:val="32"/>
              <w:szCs w:val="32"/>
            </w:rPr>
            <w:fldChar w:fldCharType="begin"/>
          </w:r>
          <w:r>
            <w:rPr>
              <w:rFonts w:ascii="Times New Roman" w:hAnsi="Times New Roman" w:eastAsia="仿宋_GB2312" w:cs="Times New Roman"/>
              <w:kern w:val="44"/>
              <w:sz w:val="32"/>
              <w:szCs w:val="32"/>
            </w:rPr>
            <w:instrText xml:space="preserve"> PAGEREF _Toc1268 \h </w:instrText>
          </w:r>
          <w:r>
            <w:rPr>
              <w:rFonts w:ascii="Times New Roman" w:hAnsi="Times New Roman" w:eastAsia="仿宋_GB2312" w:cs="Times New Roman"/>
              <w:kern w:val="44"/>
              <w:sz w:val="32"/>
              <w:szCs w:val="32"/>
            </w:rPr>
            <w:fldChar w:fldCharType="separate"/>
          </w:r>
          <w:r>
            <w:rPr>
              <w:rFonts w:ascii="Times New Roman" w:hAnsi="Times New Roman" w:eastAsia="仿宋_GB2312" w:cs="Times New Roman"/>
              <w:kern w:val="44"/>
              <w:sz w:val="32"/>
              <w:szCs w:val="32"/>
            </w:rPr>
            <w:t>24</w:t>
          </w:r>
          <w:r>
            <w:rPr>
              <w:rFonts w:ascii="Times New Roman" w:hAnsi="Times New Roman" w:eastAsia="仿宋_GB2312" w:cs="Times New Roman"/>
              <w:kern w:val="44"/>
              <w:sz w:val="32"/>
              <w:szCs w:val="32"/>
            </w:rPr>
            <w:fldChar w:fldCharType="end"/>
          </w:r>
          <w:r>
            <w:rPr>
              <w:rFonts w:ascii="Times New Roman" w:hAnsi="Times New Roman" w:eastAsia="仿宋_GB2312" w:cs="Times New Roman"/>
              <w:kern w:val="44"/>
              <w:sz w:val="32"/>
              <w:szCs w:val="32"/>
            </w:rPr>
            <w:fldChar w:fldCharType="end"/>
          </w:r>
        </w:p>
        <w:p w14:paraId="1F043C91">
          <w:pPr>
            <w:pStyle w:val="12"/>
            <w:tabs>
              <w:tab w:val="right" w:leader="dot" w:pos="8845"/>
            </w:tabs>
            <w:rPr>
              <w:rFonts w:ascii="Times New Roman" w:hAnsi="Times New Roman" w:eastAsia="仿宋_GB2312" w:cs="Times New Roman"/>
              <w:kern w:val="44"/>
              <w:sz w:val="32"/>
              <w:szCs w:val="32"/>
            </w:rPr>
          </w:pPr>
          <w:r>
            <w:fldChar w:fldCharType="begin"/>
          </w:r>
          <w:r>
            <w:instrText xml:space="preserve"> HYPERLINK \l "_Toc29748" </w:instrText>
          </w:r>
          <w:r>
            <w:fldChar w:fldCharType="separate"/>
          </w:r>
          <w:r>
            <w:rPr>
              <w:rFonts w:hint="eastAsia" w:ascii="Times New Roman" w:hAnsi="Times New Roman" w:eastAsia="仿宋_GB2312" w:cs="Times New Roman"/>
              <w:kern w:val="44"/>
              <w:sz w:val="32"/>
              <w:szCs w:val="32"/>
            </w:rPr>
            <w:t>第六章 打造朝阳北部科技创新发展带</w:t>
          </w:r>
          <w:r>
            <w:rPr>
              <w:rFonts w:ascii="Times New Roman" w:hAnsi="Times New Roman" w:eastAsia="仿宋_GB2312" w:cs="Times New Roman"/>
              <w:kern w:val="44"/>
              <w:sz w:val="32"/>
              <w:szCs w:val="32"/>
            </w:rPr>
            <w:tab/>
          </w:r>
          <w:r>
            <w:rPr>
              <w:rFonts w:ascii="Times New Roman" w:hAnsi="Times New Roman" w:eastAsia="仿宋_GB2312" w:cs="Times New Roman"/>
              <w:kern w:val="44"/>
              <w:sz w:val="32"/>
              <w:szCs w:val="32"/>
            </w:rPr>
            <w:fldChar w:fldCharType="begin"/>
          </w:r>
          <w:r>
            <w:rPr>
              <w:rFonts w:ascii="Times New Roman" w:hAnsi="Times New Roman" w:eastAsia="仿宋_GB2312" w:cs="Times New Roman"/>
              <w:kern w:val="44"/>
              <w:sz w:val="32"/>
              <w:szCs w:val="32"/>
            </w:rPr>
            <w:instrText xml:space="preserve"> PAGEREF _Toc29748 \h </w:instrText>
          </w:r>
          <w:r>
            <w:rPr>
              <w:rFonts w:ascii="Times New Roman" w:hAnsi="Times New Roman" w:eastAsia="仿宋_GB2312" w:cs="Times New Roman"/>
              <w:kern w:val="44"/>
              <w:sz w:val="32"/>
              <w:szCs w:val="32"/>
            </w:rPr>
            <w:fldChar w:fldCharType="separate"/>
          </w:r>
          <w:r>
            <w:rPr>
              <w:rFonts w:ascii="Times New Roman" w:hAnsi="Times New Roman" w:eastAsia="仿宋_GB2312" w:cs="Times New Roman"/>
              <w:kern w:val="44"/>
              <w:sz w:val="32"/>
              <w:szCs w:val="32"/>
            </w:rPr>
            <w:t>27</w:t>
          </w:r>
          <w:r>
            <w:rPr>
              <w:rFonts w:ascii="Times New Roman" w:hAnsi="Times New Roman" w:eastAsia="仿宋_GB2312" w:cs="Times New Roman"/>
              <w:kern w:val="44"/>
              <w:sz w:val="32"/>
              <w:szCs w:val="32"/>
            </w:rPr>
            <w:fldChar w:fldCharType="end"/>
          </w:r>
          <w:r>
            <w:rPr>
              <w:rFonts w:ascii="Times New Roman" w:hAnsi="Times New Roman" w:eastAsia="仿宋_GB2312" w:cs="Times New Roman"/>
              <w:kern w:val="44"/>
              <w:sz w:val="32"/>
              <w:szCs w:val="32"/>
            </w:rPr>
            <w:fldChar w:fldCharType="end"/>
          </w:r>
        </w:p>
        <w:p w14:paraId="009441CC">
          <w:pPr>
            <w:pStyle w:val="12"/>
            <w:tabs>
              <w:tab w:val="right" w:leader="dot" w:pos="8845"/>
            </w:tabs>
            <w:rPr>
              <w:rFonts w:ascii="Times New Roman" w:hAnsi="Times New Roman" w:eastAsia="仿宋_GB2312" w:cs="Times New Roman"/>
              <w:kern w:val="44"/>
              <w:sz w:val="32"/>
              <w:szCs w:val="32"/>
            </w:rPr>
          </w:pPr>
          <w:r>
            <w:fldChar w:fldCharType="begin"/>
          </w:r>
          <w:r>
            <w:instrText xml:space="preserve"> HYPERLINK \l "_Toc4202" </w:instrText>
          </w:r>
          <w:r>
            <w:fldChar w:fldCharType="separate"/>
          </w:r>
          <w:r>
            <w:rPr>
              <w:rFonts w:hint="eastAsia" w:ascii="Times New Roman" w:hAnsi="Times New Roman" w:eastAsia="仿宋_GB2312" w:cs="Times New Roman"/>
              <w:kern w:val="44"/>
              <w:sz w:val="32"/>
              <w:szCs w:val="32"/>
            </w:rPr>
            <w:t>第七章 推动山河湾谷科创策源功能区能级跃升</w:t>
          </w:r>
          <w:r>
            <w:rPr>
              <w:rFonts w:ascii="Times New Roman" w:hAnsi="Times New Roman" w:eastAsia="仿宋_GB2312" w:cs="Times New Roman"/>
              <w:kern w:val="44"/>
              <w:sz w:val="32"/>
              <w:szCs w:val="32"/>
            </w:rPr>
            <w:tab/>
          </w:r>
          <w:r>
            <w:rPr>
              <w:rFonts w:ascii="Times New Roman" w:hAnsi="Times New Roman" w:eastAsia="仿宋_GB2312" w:cs="Times New Roman"/>
              <w:kern w:val="44"/>
              <w:sz w:val="32"/>
              <w:szCs w:val="32"/>
            </w:rPr>
            <w:fldChar w:fldCharType="begin"/>
          </w:r>
          <w:r>
            <w:rPr>
              <w:rFonts w:ascii="Times New Roman" w:hAnsi="Times New Roman" w:eastAsia="仿宋_GB2312" w:cs="Times New Roman"/>
              <w:kern w:val="44"/>
              <w:sz w:val="32"/>
              <w:szCs w:val="32"/>
            </w:rPr>
            <w:instrText xml:space="preserve"> PAGEREF _Toc4202 \h </w:instrText>
          </w:r>
          <w:r>
            <w:rPr>
              <w:rFonts w:ascii="Times New Roman" w:hAnsi="Times New Roman" w:eastAsia="仿宋_GB2312" w:cs="Times New Roman"/>
              <w:kern w:val="44"/>
              <w:sz w:val="32"/>
              <w:szCs w:val="32"/>
            </w:rPr>
            <w:fldChar w:fldCharType="separate"/>
          </w:r>
          <w:r>
            <w:rPr>
              <w:rFonts w:ascii="Times New Roman" w:hAnsi="Times New Roman" w:eastAsia="仿宋_GB2312" w:cs="Times New Roman"/>
              <w:kern w:val="44"/>
              <w:sz w:val="32"/>
              <w:szCs w:val="32"/>
            </w:rPr>
            <w:t>31</w:t>
          </w:r>
          <w:r>
            <w:rPr>
              <w:rFonts w:ascii="Times New Roman" w:hAnsi="Times New Roman" w:eastAsia="仿宋_GB2312" w:cs="Times New Roman"/>
              <w:kern w:val="44"/>
              <w:sz w:val="32"/>
              <w:szCs w:val="32"/>
            </w:rPr>
            <w:fldChar w:fldCharType="end"/>
          </w:r>
          <w:r>
            <w:rPr>
              <w:rFonts w:ascii="Times New Roman" w:hAnsi="Times New Roman" w:eastAsia="仿宋_GB2312" w:cs="Times New Roman"/>
              <w:kern w:val="44"/>
              <w:sz w:val="32"/>
              <w:szCs w:val="32"/>
            </w:rPr>
            <w:fldChar w:fldCharType="end"/>
          </w:r>
        </w:p>
        <w:p w14:paraId="52ACEEA6">
          <w:pPr>
            <w:pStyle w:val="12"/>
            <w:tabs>
              <w:tab w:val="right" w:leader="dot" w:pos="8845"/>
            </w:tabs>
            <w:rPr>
              <w:rFonts w:ascii="Times New Roman" w:hAnsi="Times New Roman" w:eastAsia="仿宋_GB2312" w:cs="Times New Roman"/>
              <w:kern w:val="44"/>
              <w:sz w:val="32"/>
              <w:szCs w:val="32"/>
            </w:rPr>
          </w:pPr>
          <w:r>
            <w:fldChar w:fldCharType="begin"/>
          </w:r>
          <w:r>
            <w:instrText xml:space="preserve"> HYPERLINK \l "_Toc19289" </w:instrText>
          </w:r>
          <w:r>
            <w:fldChar w:fldCharType="separate"/>
          </w:r>
          <w:r>
            <w:rPr>
              <w:rFonts w:hint="eastAsia" w:ascii="Times New Roman" w:hAnsi="Times New Roman" w:eastAsia="仿宋_GB2312" w:cs="Times New Roman"/>
              <w:kern w:val="44"/>
              <w:sz w:val="32"/>
              <w:szCs w:val="32"/>
            </w:rPr>
            <w:t>第八章 优化园区运营服务生态</w:t>
          </w:r>
          <w:r>
            <w:rPr>
              <w:rFonts w:ascii="Times New Roman" w:hAnsi="Times New Roman" w:eastAsia="仿宋_GB2312" w:cs="Times New Roman"/>
              <w:kern w:val="44"/>
              <w:sz w:val="32"/>
              <w:szCs w:val="32"/>
            </w:rPr>
            <w:tab/>
          </w:r>
          <w:r>
            <w:rPr>
              <w:rFonts w:ascii="Times New Roman" w:hAnsi="Times New Roman" w:eastAsia="仿宋_GB2312" w:cs="Times New Roman"/>
              <w:kern w:val="44"/>
              <w:sz w:val="32"/>
              <w:szCs w:val="32"/>
            </w:rPr>
            <w:fldChar w:fldCharType="begin"/>
          </w:r>
          <w:r>
            <w:rPr>
              <w:rFonts w:ascii="Times New Roman" w:hAnsi="Times New Roman" w:eastAsia="仿宋_GB2312" w:cs="Times New Roman"/>
              <w:kern w:val="44"/>
              <w:sz w:val="32"/>
              <w:szCs w:val="32"/>
            </w:rPr>
            <w:instrText xml:space="preserve"> PAGEREF _Toc19289 \h </w:instrText>
          </w:r>
          <w:r>
            <w:rPr>
              <w:rFonts w:ascii="Times New Roman" w:hAnsi="Times New Roman" w:eastAsia="仿宋_GB2312" w:cs="Times New Roman"/>
              <w:kern w:val="44"/>
              <w:sz w:val="32"/>
              <w:szCs w:val="32"/>
            </w:rPr>
            <w:fldChar w:fldCharType="separate"/>
          </w:r>
          <w:r>
            <w:rPr>
              <w:rFonts w:ascii="Times New Roman" w:hAnsi="Times New Roman" w:eastAsia="仿宋_GB2312" w:cs="Times New Roman"/>
              <w:kern w:val="44"/>
              <w:sz w:val="32"/>
              <w:szCs w:val="32"/>
            </w:rPr>
            <w:t>35</w:t>
          </w:r>
          <w:r>
            <w:rPr>
              <w:rFonts w:ascii="Times New Roman" w:hAnsi="Times New Roman" w:eastAsia="仿宋_GB2312" w:cs="Times New Roman"/>
              <w:kern w:val="44"/>
              <w:sz w:val="32"/>
              <w:szCs w:val="32"/>
            </w:rPr>
            <w:fldChar w:fldCharType="end"/>
          </w:r>
          <w:r>
            <w:rPr>
              <w:rFonts w:ascii="Times New Roman" w:hAnsi="Times New Roman" w:eastAsia="仿宋_GB2312" w:cs="Times New Roman"/>
              <w:kern w:val="44"/>
              <w:sz w:val="32"/>
              <w:szCs w:val="32"/>
            </w:rPr>
            <w:fldChar w:fldCharType="end"/>
          </w:r>
        </w:p>
        <w:p w14:paraId="4F4C3158">
          <w:pPr>
            <w:pStyle w:val="12"/>
            <w:tabs>
              <w:tab w:val="right" w:leader="dot" w:pos="8845"/>
            </w:tabs>
            <w:rPr>
              <w:rFonts w:ascii="Times New Roman" w:hAnsi="Times New Roman" w:eastAsia="仿宋_GB2312" w:cs="Times New Roman"/>
              <w:kern w:val="44"/>
              <w:sz w:val="32"/>
              <w:szCs w:val="32"/>
            </w:rPr>
          </w:pPr>
          <w:r>
            <w:fldChar w:fldCharType="begin"/>
          </w:r>
          <w:r>
            <w:instrText xml:space="preserve"> HYPERLINK \l "_Toc17287" </w:instrText>
          </w:r>
          <w:r>
            <w:fldChar w:fldCharType="separate"/>
          </w:r>
          <w:r>
            <w:rPr>
              <w:rFonts w:hint="eastAsia" w:ascii="Times New Roman" w:hAnsi="Times New Roman" w:eastAsia="仿宋_GB2312" w:cs="Times New Roman"/>
              <w:kern w:val="44"/>
              <w:sz w:val="32"/>
              <w:szCs w:val="32"/>
            </w:rPr>
            <w:t>第九章 深化园区管理体制机制改革</w:t>
          </w:r>
          <w:r>
            <w:rPr>
              <w:rFonts w:ascii="Times New Roman" w:hAnsi="Times New Roman" w:eastAsia="仿宋_GB2312" w:cs="Times New Roman"/>
              <w:kern w:val="44"/>
              <w:sz w:val="32"/>
              <w:szCs w:val="32"/>
            </w:rPr>
            <w:tab/>
          </w:r>
          <w:r>
            <w:rPr>
              <w:rFonts w:ascii="Times New Roman" w:hAnsi="Times New Roman" w:eastAsia="仿宋_GB2312" w:cs="Times New Roman"/>
              <w:kern w:val="44"/>
              <w:sz w:val="32"/>
              <w:szCs w:val="32"/>
            </w:rPr>
            <w:fldChar w:fldCharType="begin"/>
          </w:r>
          <w:r>
            <w:rPr>
              <w:rFonts w:ascii="Times New Roman" w:hAnsi="Times New Roman" w:eastAsia="仿宋_GB2312" w:cs="Times New Roman"/>
              <w:kern w:val="44"/>
              <w:sz w:val="32"/>
              <w:szCs w:val="32"/>
            </w:rPr>
            <w:instrText xml:space="preserve"> PAGEREF _Toc17287 \h </w:instrText>
          </w:r>
          <w:r>
            <w:rPr>
              <w:rFonts w:ascii="Times New Roman" w:hAnsi="Times New Roman" w:eastAsia="仿宋_GB2312" w:cs="Times New Roman"/>
              <w:kern w:val="44"/>
              <w:sz w:val="32"/>
              <w:szCs w:val="32"/>
            </w:rPr>
            <w:fldChar w:fldCharType="separate"/>
          </w:r>
          <w:r>
            <w:rPr>
              <w:rFonts w:ascii="Times New Roman" w:hAnsi="Times New Roman" w:eastAsia="仿宋_GB2312" w:cs="Times New Roman"/>
              <w:kern w:val="44"/>
              <w:sz w:val="32"/>
              <w:szCs w:val="32"/>
            </w:rPr>
            <w:t>39</w:t>
          </w:r>
          <w:r>
            <w:rPr>
              <w:rFonts w:ascii="Times New Roman" w:hAnsi="Times New Roman" w:eastAsia="仿宋_GB2312" w:cs="Times New Roman"/>
              <w:kern w:val="44"/>
              <w:sz w:val="32"/>
              <w:szCs w:val="32"/>
            </w:rPr>
            <w:fldChar w:fldCharType="end"/>
          </w:r>
          <w:r>
            <w:rPr>
              <w:rFonts w:ascii="Times New Roman" w:hAnsi="Times New Roman" w:eastAsia="仿宋_GB2312" w:cs="Times New Roman"/>
              <w:kern w:val="44"/>
              <w:sz w:val="32"/>
              <w:szCs w:val="32"/>
            </w:rPr>
            <w:fldChar w:fldCharType="end"/>
          </w:r>
        </w:p>
        <w:p w14:paraId="390DD682">
          <w:pPr>
            <w:pStyle w:val="12"/>
            <w:tabs>
              <w:tab w:val="right" w:leader="dot" w:pos="8845"/>
            </w:tabs>
            <w:rPr>
              <w:rFonts w:ascii="Times New Roman" w:hAnsi="Times New Roman" w:eastAsia="仿宋_GB2312" w:cs="Times New Roman"/>
              <w:kern w:val="44"/>
              <w:sz w:val="32"/>
              <w:szCs w:val="32"/>
            </w:rPr>
          </w:pPr>
          <w:r>
            <w:fldChar w:fldCharType="begin"/>
          </w:r>
          <w:r>
            <w:instrText xml:space="preserve"> HYPERLINK \l "_Toc6401" </w:instrText>
          </w:r>
          <w:r>
            <w:fldChar w:fldCharType="separate"/>
          </w:r>
          <w:r>
            <w:rPr>
              <w:rFonts w:hint="eastAsia" w:ascii="Times New Roman" w:hAnsi="Times New Roman" w:eastAsia="仿宋_GB2312" w:cs="Times New Roman"/>
              <w:kern w:val="44"/>
              <w:sz w:val="32"/>
              <w:szCs w:val="32"/>
            </w:rPr>
            <w:t>第十章 保障措施</w:t>
          </w:r>
          <w:r>
            <w:rPr>
              <w:rFonts w:ascii="Times New Roman" w:hAnsi="Times New Roman" w:eastAsia="仿宋_GB2312" w:cs="Times New Roman"/>
              <w:kern w:val="44"/>
              <w:sz w:val="32"/>
              <w:szCs w:val="32"/>
            </w:rPr>
            <w:tab/>
          </w:r>
          <w:r>
            <w:rPr>
              <w:rFonts w:ascii="Times New Roman" w:hAnsi="Times New Roman" w:eastAsia="仿宋_GB2312" w:cs="Times New Roman"/>
              <w:kern w:val="44"/>
              <w:sz w:val="32"/>
              <w:szCs w:val="32"/>
            </w:rPr>
            <w:fldChar w:fldCharType="begin"/>
          </w:r>
          <w:r>
            <w:rPr>
              <w:rFonts w:ascii="Times New Roman" w:hAnsi="Times New Roman" w:eastAsia="仿宋_GB2312" w:cs="Times New Roman"/>
              <w:kern w:val="44"/>
              <w:sz w:val="32"/>
              <w:szCs w:val="32"/>
            </w:rPr>
            <w:instrText xml:space="preserve"> PAGEREF _Toc6401 \h </w:instrText>
          </w:r>
          <w:r>
            <w:rPr>
              <w:rFonts w:ascii="Times New Roman" w:hAnsi="Times New Roman" w:eastAsia="仿宋_GB2312" w:cs="Times New Roman"/>
              <w:kern w:val="44"/>
              <w:sz w:val="32"/>
              <w:szCs w:val="32"/>
            </w:rPr>
            <w:fldChar w:fldCharType="separate"/>
          </w:r>
          <w:r>
            <w:rPr>
              <w:rFonts w:ascii="Times New Roman" w:hAnsi="Times New Roman" w:eastAsia="仿宋_GB2312" w:cs="Times New Roman"/>
              <w:kern w:val="44"/>
              <w:sz w:val="32"/>
              <w:szCs w:val="32"/>
            </w:rPr>
            <w:t>42</w:t>
          </w:r>
          <w:r>
            <w:rPr>
              <w:rFonts w:ascii="Times New Roman" w:hAnsi="Times New Roman" w:eastAsia="仿宋_GB2312" w:cs="Times New Roman"/>
              <w:kern w:val="44"/>
              <w:sz w:val="32"/>
              <w:szCs w:val="32"/>
            </w:rPr>
            <w:fldChar w:fldCharType="end"/>
          </w:r>
          <w:r>
            <w:rPr>
              <w:rFonts w:ascii="Times New Roman" w:hAnsi="Times New Roman" w:eastAsia="仿宋_GB2312" w:cs="Times New Roman"/>
              <w:kern w:val="44"/>
              <w:sz w:val="32"/>
              <w:szCs w:val="32"/>
            </w:rPr>
            <w:fldChar w:fldCharType="end"/>
          </w:r>
        </w:p>
        <w:p w14:paraId="62EB1563">
          <w:pPr>
            <w:pStyle w:val="12"/>
            <w:tabs>
              <w:tab w:val="right" w:leader="dot" w:pos="8845"/>
            </w:tabs>
          </w:pPr>
        </w:p>
        <w:p w14:paraId="6FA060D6">
          <w:pPr>
            <w:adjustRightInd w:val="0"/>
            <w:snapToGrid w:val="0"/>
            <w:spacing w:after="160" w:line="560" w:lineRule="exact"/>
          </w:pPr>
          <w:r>
            <w:rPr>
              <w:rFonts w:ascii="Times New Roman" w:hAnsi="Times New Roman" w:eastAsia="仿宋_GB2312" w:cs="Times New Roman"/>
              <w:szCs w:val="32"/>
            </w:rPr>
            <w:fldChar w:fldCharType="end"/>
          </w:r>
        </w:p>
      </w:sdtContent>
    </w:sdt>
    <w:p w14:paraId="76AFE4D4">
      <w:pPr>
        <w:keepNext/>
        <w:keepLines/>
        <w:widowControl/>
        <w:adjustRightInd w:val="0"/>
        <w:snapToGrid w:val="0"/>
        <w:spacing w:before="156" w:beforeLines="50" w:after="156" w:afterLines="50" w:line="560" w:lineRule="exact"/>
        <w:jc w:val="center"/>
        <w:outlineLvl w:val="0"/>
        <w:rPr>
          <w:rFonts w:hint="eastAsia" w:ascii="黑体" w:hAnsi="黑体" w:eastAsia="黑体" w:cs="Times New Roman"/>
          <w:kern w:val="44"/>
          <w:sz w:val="32"/>
          <w:szCs w:val="32"/>
        </w:rPr>
        <w:sectPr>
          <w:pgSz w:w="11906" w:h="16838"/>
          <w:pgMar w:top="2098" w:right="1474" w:bottom="1984" w:left="1587" w:header="851" w:footer="992" w:gutter="0"/>
          <w:pgNumType w:fmt="numberInDash"/>
          <w:cols w:space="0" w:num="1"/>
          <w:docGrid w:type="lines" w:linePitch="312" w:charSpace="0"/>
        </w:sectPr>
      </w:pPr>
    </w:p>
    <w:p w14:paraId="54EA9938">
      <w:pPr>
        <w:keepNext/>
        <w:keepLines/>
        <w:widowControl/>
        <w:adjustRightInd w:val="0"/>
        <w:snapToGrid w:val="0"/>
        <w:spacing w:before="156" w:beforeLines="50" w:after="156" w:afterLines="50" w:line="560" w:lineRule="exact"/>
        <w:jc w:val="center"/>
        <w:outlineLvl w:val="0"/>
        <w:rPr>
          <w:rFonts w:hint="eastAsia" w:ascii="黑体" w:hAnsi="黑体" w:eastAsia="黑体" w:cs="Times New Roman"/>
          <w:kern w:val="44"/>
          <w:sz w:val="32"/>
          <w:szCs w:val="32"/>
        </w:rPr>
      </w:pPr>
      <w:bookmarkStart w:id="11" w:name="_Toc22824"/>
      <w:r>
        <w:rPr>
          <w:rFonts w:hint="eastAsia" w:ascii="黑体" w:hAnsi="黑体" w:eastAsia="黑体" w:cs="Times New Roman"/>
          <w:kern w:val="44"/>
          <w:sz w:val="32"/>
          <w:szCs w:val="32"/>
        </w:rPr>
        <w:t>第一章 发展</w:t>
      </w:r>
      <w:bookmarkEnd w:id="0"/>
      <w:bookmarkEnd w:id="1"/>
      <w:bookmarkEnd w:id="2"/>
      <w:bookmarkEnd w:id="3"/>
      <w:r>
        <w:rPr>
          <w:rFonts w:hint="eastAsia" w:ascii="黑体" w:hAnsi="黑体" w:eastAsia="黑体" w:cs="Times New Roman"/>
          <w:kern w:val="44"/>
          <w:sz w:val="32"/>
          <w:szCs w:val="32"/>
        </w:rPr>
        <w:t>基础</w:t>
      </w:r>
      <w:bookmarkEnd w:id="4"/>
      <w:bookmarkEnd w:id="5"/>
      <w:bookmarkEnd w:id="6"/>
      <w:bookmarkEnd w:id="7"/>
      <w:bookmarkEnd w:id="8"/>
      <w:bookmarkEnd w:id="9"/>
      <w:bookmarkEnd w:id="10"/>
      <w:r>
        <w:rPr>
          <w:rFonts w:hint="eastAsia" w:ascii="黑体" w:hAnsi="黑体" w:eastAsia="黑体" w:cs="Times New Roman"/>
          <w:kern w:val="44"/>
          <w:sz w:val="32"/>
          <w:szCs w:val="32"/>
        </w:rPr>
        <w:t>与发展环境</w:t>
      </w:r>
      <w:bookmarkEnd w:id="11"/>
    </w:p>
    <w:p w14:paraId="4704CB17">
      <w:pPr>
        <w:overflowPunct w:val="0"/>
        <w:adjustRightInd w:val="0"/>
        <w:snapToGrid w:val="0"/>
        <w:spacing w:line="600" w:lineRule="exact"/>
        <w:ind w:firstLine="640" w:firstLineChars="200"/>
        <w:outlineLvl w:val="1"/>
        <w:rPr>
          <w:rFonts w:hint="eastAsia" w:ascii="楷体_GB2312" w:hAnsi="楷体_GB2312" w:eastAsia="楷体_GB2312" w:cs="楷体_GB2312"/>
          <w:color w:val="000000"/>
          <w:sz w:val="32"/>
          <w:szCs w:val="32"/>
        </w:rPr>
      </w:pPr>
      <w:bookmarkStart w:id="12" w:name="_Toc593"/>
      <w:bookmarkStart w:id="13" w:name="_Toc216460217"/>
      <w:bookmarkStart w:id="14" w:name="_Toc223937979"/>
      <w:bookmarkStart w:id="15" w:name="_Toc21331"/>
      <w:r>
        <w:rPr>
          <w:rFonts w:hint="eastAsia" w:ascii="楷体_GB2312" w:hAnsi="楷体_GB2312" w:eastAsia="楷体_GB2312" w:cs="楷体_GB2312"/>
          <w:color w:val="000000"/>
          <w:sz w:val="32"/>
          <w:szCs w:val="32"/>
          <w:lang w:bidi="ar"/>
        </w:rPr>
        <w:t>一、发展</w:t>
      </w:r>
      <w:bookmarkEnd w:id="12"/>
      <w:bookmarkEnd w:id="13"/>
      <w:bookmarkEnd w:id="14"/>
      <w:bookmarkEnd w:id="15"/>
      <w:r>
        <w:rPr>
          <w:rFonts w:hint="eastAsia" w:ascii="楷体_GB2312" w:hAnsi="楷体_GB2312" w:eastAsia="楷体_GB2312" w:cs="楷体_GB2312"/>
          <w:color w:val="000000"/>
          <w:sz w:val="32"/>
          <w:szCs w:val="32"/>
          <w:lang w:bidi="ar"/>
        </w:rPr>
        <w:t>基础</w:t>
      </w:r>
    </w:p>
    <w:p w14:paraId="1DF011B7">
      <w:pPr>
        <w:overflowPunct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bidi="ar"/>
        </w:rPr>
        <w:t>“十四五”时期，按照中关村世界领先科技园区建设和全区“商务+科技”双轮驱动发展战略实施要求，中关村朝阳园持续提升科技创新能力，加速集聚高能级创新主体及高端创新资源，增强产业引领辐射作用，优化产业空间布局，完善产业生态环境，深化园区管理体制机制改革，园区发展建设迈上新台阶，为“十五五”发展奠定了坚实基础。</w:t>
      </w:r>
    </w:p>
    <w:p w14:paraId="1DE46396">
      <w:pPr>
        <w:overflowPunct w:val="0"/>
        <w:adjustRightInd w:val="0"/>
        <w:snapToGrid w:val="0"/>
        <w:spacing w:line="600" w:lineRule="exact"/>
        <w:ind w:firstLine="643" w:firstLineChars="200"/>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lang w:bidi="ar"/>
        </w:rPr>
        <w:t>创新能力持续提升。</w:t>
      </w:r>
      <w:r>
        <w:rPr>
          <w:rFonts w:ascii="Times New Roman" w:hAnsi="Times New Roman" w:eastAsia="仿宋_GB2312" w:cs="Times New Roman"/>
          <w:color w:val="000000"/>
          <w:sz w:val="32"/>
          <w:szCs w:val="32"/>
        </w:rPr>
        <w:t>到</w:t>
      </w:r>
      <w:r>
        <w:rPr>
          <w:rFonts w:hint="eastAsia" w:ascii="仿宋_GB2312" w:hAnsi="仿宋_GB2312" w:eastAsia="仿宋_GB2312" w:cs="仿宋_GB2312"/>
          <w:color w:val="000000"/>
          <w:sz w:val="32"/>
          <w:szCs w:val="32"/>
        </w:rPr>
        <w:t>“</w:t>
      </w:r>
      <w:r>
        <w:rPr>
          <w:rFonts w:ascii="Times New Roman" w:hAnsi="Times New Roman" w:eastAsia="仿宋_GB2312" w:cs="Times New Roman"/>
          <w:color w:val="000000"/>
          <w:sz w:val="32"/>
          <w:szCs w:val="32"/>
        </w:rPr>
        <w:t>十四五</w:t>
      </w:r>
      <w:r>
        <w:rPr>
          <w:rFonts w:ascii="仿宋_GB2312" w:hAnsi="仿宋_GB2312" w:eastAsia="仿宋_GB2312" w:cs="仿宋_GB2312"/>
          <w:color w:val="000000"/>
          <w:sz w:val="32"/>
          <w:szCs w:val="32"/>
        </w:rPr>
        <w:t>”</w:t>
      </w:r>
      <w:r>
        <w:rPr>
          <w:rFonts w:ascii="Times New Roman" w:hAnsi="Times New Roman" w:eastAsia="仿宋_GB2312" w:cs="Times New Roman"/>
          <w:color w:val="000000"/>
          <w:sz w:val="32"/>
          <w:szCs w:val="32"/>
        </w:rPr>
        <w:t>末，朝阳园技术收入对园区总收入增长贡献率</w:t>
      </w:r>
      <w:r>
        <w:rPr>
          <w:rFonts w:ascii="Times New Roman" w:hAnsi="Times New Roman" w:eastAsia="仿宋_GB2312" w:cs="Times New Roman"/>
          <w:bCs/>
          <w:kern w:val="0"/>
          <w:sz w:val="32"/>
          <w:szCs w:val="32"/>
          <w:lang w:bidi="ar"/>
        </w:rPr>
        <w:t>51%</w:t>
      </w:r>
      <w:r>
        <w:rPr>
          <w:rFonts w:ascii="Times New Roman" w:hAnsi="Times New Roman" w:eastAsia="仿宋_GB2312" w:cs="Times New Roman"/>
          <w:color w:val="000000"/>
          <w:sz w:val="32"/>
          <w:szCs w:val="32"/>
        </w:rPr>
        <w:t>，占园区总收入的比重达36.2%，高出中关村示范区比重7.8个百分点。研发投入强度6.8%，高于全市2.3个百分点，居中关村各分园首位，显示出强劲的创新驱动力。中关村朝阳园在中关村示范区分园创新发展综合评价中连续四年获评优秀</w:t>
      </w:r>
      <w:r>
        <w:rPr>
          <w:rFonts w:hint="eastAsia" w:ascii="仿宋_GB2312" w:hAnsi="仿宋_GB2312" w:eastAsia="仿宋_GB2312" w:cs="仿宋_GB2312"/>
          <w:color w:val="000000"/>
          <w:sz w:val="32"/>
          <w:szCs w:val="32"/>
          <w:lang w:bidi="ar"/>
        </w:rPr>
        <w:t>。</w:t>
      </w:r>
    </w:p>
    <w:p w14:paraId="5DCD3D9E">
      <w:pPr>
        <w:tabs>
          <w:tab w:val="left" w:pos="1080"/>
        </w:tabs>
        <w:overflowPunct w:val="0"/>
        <w:adjustRightInd w:val="0"/>
        <w:snapToGrid w:val="0"/>
        <w:spacing w:line="60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color w:val="000000"/>
          <w:sz w:val="32"/>
          <w:szCs w:val="32"/>
          <w:lang w:bidi="ar"/>
        </w:rPr>
        <w:t>创新主体加速集聚。</w:t>
      </w:r>
      <w:r>
        <w:rPr>
          <w:rFonts w:hint="eastAsia" w:ascii="仿宋_GB2312" w:hAnsi="仿宋_GB2312" w:eastAsia="仿宋_GB2312" w:cs="仿宋_GB2312"/>
          <w:color w:val="000000"/>
          <w:sz w:val="32"/>
          <w:szCs w:val="32"/>
          <w:lang w:bidi="ar"/>
        </w:rPr>
        <w:t>到</w:t>
      </w:r>
      <w:r>
        <w:rPr>
          <w:rFonts w:hint="eastAsia" w:ascii="仿宋_GB2312" w:hAnsi="仿宋_GB2312" w:eastAsia="仿宋_GB2312" w:cs="仿宋_GB2312"/>
          <w:sz w:val="32"/>
          <w:szCs w:val="32"/>
          <w:lang w:bidi="ar"/>
        </w:rPr>
        <w:t>“十四五”末，朝阳园功能区税务登记企业</w:t>
      </w:r>
      <w:r>
        <w:rPr>
          <w:rFonts w:hint="eastAsia" w:ascii="Times New Roman" w:hAnsi="Times New Roman" w:eastAsia="仿宋_GB2312" w:cs="Times New Roman"/>
          <w:color w:val="000000"/>
          <w:sz w:val="32"/>
          <w:szCs w:val="32"/>
          <w:lang w:bidi="ar"/>
        </w:rPr>
        <w:t>10.4万家。朝阳园上市企业53家，年营业收入超1亿元（含）和超100亿元（含）企业分别达366家和6家</w:t>
      </w:r>
      <w:r>
        <w:rPr>
          <w:rFonts w:hint="eastAsia" w:ascii="仿宋_GB2312" w:hAnsi="仿宋_GB2312" w:eastAsia="仿宋_GB2312" w:cs="仿宋_GB2312"/>
          <w:sz w:val="32"/>
          <w:szCs w:val="32"/>
          <w:lang w:bidi="ar"/>
        </w:rPr>
        <w:t>，</w:t>
      </w:r>
      <w:r>
        <w:rPr>
          <w:rFonts w:ascii="Times New Roman" w:hAnsi="Times New Roman" w:eastAsia="仿宋_GB2312" w:cs="Times New Roman"/>
          <w:sz w:val="32"/>
          <w:szCs w:val="32"/>
          <w:lang w:bidi="ar"/>
        </w:rPr>
        <w:t>朝阳园重点企业实缴税费241.69亿元，同比增长11.8%</w:t>
      </w:r>
      <w:r>
        <w:rPr>
          <w:rFonts w:hint="eastAsia" w:ascii="Times New Roman" w:hAnsi="Times New Roman" w:eastAsia="仿宋_GB2312" w:cs="Times New Roman"/>
          <w:sz w:val="32"/>
          <w:szCs w:val="32"/>
          <w:lang w:bidi="ar"/>
        </w:rPr>
        <w:t>；</w:t>
      </w:r>
      <w:r>
        <w:rPr>
          <w:rFonts w:ascii="Times New Roman" w:hAnsi="Times New Roman" w:eastAsia="仿宋_GB2312" w:cs="Times New Roman"/>
          <w:sz w:val="32"/>
          <w:szCs w:val="32"/>
          <w:lang w:bidi="ar"/>
        </w:rPr>
        <w:t>出口总额261.25亿元，同比增长39.9%。</w:t>
      </w:r>
      <w:r>
        <w:rPr>
          <w:rFonts w:hint="eastAsia" w:ascii="仿宋_GB2312" w:hAnsi="仿宋_GB2312" w:eastAsia="仿宋_GB2312" w:cs="仿宋_GB2312"/>
          <w:sz w:val="32"/>
          <w:szCs w:val="32"/>
          <w:lang w:bidi="ar"/>
        </w:rPr>
        <w:t>纳入北京市专精特新中小企业、专精特新“小巨人”企业和独角兽企业的数字经济高成长企业</w:t>
      </w:r>
      <w:r>
        <w:rPr>
          <w:rFonts w:hint="eastAsia" w:ascii="Times New Roman" w:hAnsi="Times New Roman" w:eastAsia="仿宋_GB2312" w:cs="Times New Roman"/>
          <w:color w:val="000000"/>
          <w:sz w:val="32"/>
          <w:szCs w:val="32"/>
          <w:lang w:bidi="ar"/>
        </w:rPr>
        <w:t>221家</w:t>
      </w:r>
      <w:r>
        <w:rPr>
          <w:rFonts w:hint="eastAsia" w:ascii="仿宋_GB2312" w:hAnsi="仿宋_GB2312" w:eastAsia="仿宋_GB2312" w:cs="仿宋_GB2312"/>
          <w:sz w:val="32"/>
          <w:szCs w:val="32"/>
          <w:lang w:bidi="ar"/>
        </w:rPr>
        <w:t>，高能级创新主体集聚态势明显。</w:t>
      </w:r>
    </w:p>
    <w:p w14:paraId="25C1C538">
      <w:pPr>
        <w:overflowPunct w:val="0"/>
        <w:adjustRightInd w:val="0"/>
        <w:snapToGrid w:val="0"/>
        <w:spacing w:line="600" w:lineRule="exact"/>
        <w:ind w:firstLine="643" w:firstLineChars="200"/>
        <w:rPr>
          <w:rFonts w:ascii="Times New Roman" w:hAnsi="Times New Roman" w:eastAsia="仿宋_GB2312" w:cs="Times New Roman"/>
          <w:color w:val="000000"/>
          <w:sz w:val="32"/>
          <w:szCs w:val="32"/>
          <w:lang w:bidi="ar"/>
        </w:rPr>
      </w:pPr>
      <w:r>
        <w:rPr>
          <w:rFonts w:hint="eastAsia" w:ascii="仿宋_GB2312" w:hAnsi="仿宋_GB2312" w:eastAsia="仿宋_GB2312" w:cs="仿宋_GB2312"/>
          <w:b/>
          <w:bCs/>
          <w:color w:val="000000"/>
          <w:sz w:val="32"/>
          <w:szCs w:val="32"/>
          <w:lang w:bidi="ar"/>
        </w:rPr>
        <w:t>产业主阵地作用持续增强。</w:t>
      </w:r>
      <w:r>
        <w:rPr>
          <w:rFonts w:hint="eastAsia" w:ascii="仿宋_GB2312" w:hAnsi="仿宋_GB2312" w:eastAsia="仿宋_GB2312" w:cs="仿宋_GB2312"/>
          <w:color w:val="000000"/>
          <w:sz w:val="32"/>
          <w:szCs w:val="32"/>
          <w:lang w:bidi="ar"/>
        </w:rPr>
        <w:t>到“十四五”末，中关村朝阳园规模（限额）以上重点企业总收入达到</w:t>
      </w:r>
      <w:r>
        <w:rPr>
          <w:rFonts w:hint="eastAsia" w:ascii="Times New Roman" w:hAnsi="Times New Roman" w:eastAsia="仿宋_GB2312" w:cs="Times New Roman"/>
          <w:color w:val="000000"/>
          <w:sz w:val="32"/>
          <w:szCs w:val="32"/>
          <w:lang w:bidi="ar"/>
        </w:rPr>
        <w:t>4585.4亿元，同比增长8.9%。朝阳园科技产业集聚效应持续</w:t>
      </w:r>
      <w:r>
        <w:rPr>
          <w:rFonts w:hint="eastAsia" w:ascii="仿宋_GB2312" w:hAnsi="仿宋_GB2312" w:eastAsia="仿宋_GB2312" w:cs="仿宋_GB2312"/>
          <w:color w:val="000000"/>
          <w:sz w:val="32"/>
          <w:szCs w:val="32"/>
          <w:lang w:bidi="ar"/>
        </w:rPr>
        <w:t>加强，</w:t>
      </w:r>
      <w:r>
        <w:rPr>
          <w:rFonts w:ascii="Times New Roman" w:hAnsi="Times New Roman" w:eastAsia="仿宋_GB2312" w:cs="Times New Roman"/>
          <w:color w:val="000000"/>
          <w:sz w:val="32"/>
          <w:szCs w:val="32"/>
        </w:rPr>
        <w:t>软件信息服务业实现总收入1903.5亿元，同比增长9.6%，占朝阳园总收入的41.5%；科技服务业实现总收入758.9亿元，同比增长6.1%。</w:t>
      </w:r>
      <w:r>
        <w:rPr>
          <w:rFonts w:hint="eastAsia" w:ascii="Times New Roman" w:hAnsi="Times New Roman" w:eastAsia="仿宋_GB2312" w:cs="Times New Roman"/>
          <w:color w:val="000000"/>
          <w:sz w:val="32"/>
          <w:szCs w:val="32"/>
        </w:rPr>
        <w:t>两个行业占园区总收入比重达到58.1%。</w:t>
      </w:r>
      <w:r>
        <w:rPr>
          <w:rFonts w:hint="eastAsia" w:ascii="仿宋_GB2312" w:hAnsi="仿宋_GB2312" w:eastAsia="仿宋_GB2312" w:cs="仿宋_GB2312"/>
          <w:color w:val="000000"/>
          <w:sz w:val="32"/>
          <w:szCs w:val="32"/>
          <w:lang w:bidi="ar"/>
        </w:rPr>
        <w:t>“光智空间”获批北京市首批人工智能创新街区，</w:t>
      </w:r>
      <w:r>
        <w:rPr>
          <w:rFonts w:hint="eastAsia" w:ascii="仿宋_GB2312" w:hAnsi="仿宋_GB2312" w:eastAsia="仿宋_GB2312" w:cs="仿宋_GB2312"/>
          <w:sz w:val="32"/>
          <w:szCs w:val="32"/>
          <w:lang w:bidi="ar"/>
        </w:rPr>
        <w:t>北京数字经济算力中心、人工智能一站式服务中心、具身智能测试实验室等产业技术服务平台加速布局。中国工业互联网研究院、</w:t>
      </w:r>
      <w:r>
        <w:rPr>
          <w:rFonts w:hint="eastAsia" w:ascii="仿宋_GB2312" w:hAnsi="仿宋_GB2312" w:eastAsia="仿宋_GB2312" w:cs="仿宋_GB2312"/>
          <w:color w:val="000000"/>
          <w:sz w:val="32"/>
          <w:szCs w:val="32"/>
          <w:lang w:bidi="ar"/>
        </w:rPr>
        <w:t>北京工业软件创新中心相继</w:t>
      </w:r>
      <w:r>
        <w:rPr>
          <w:rFonts w:hint="eastAsia" w:ascii="仿宋_GB2312" w:hAnsi="仿宋_GB2312" w:eastAsia="仿宋_GB2312" w:cs="仿宋_GB2312"/>
          <w:sz w:val="32"/>
          <w:szCs w:val="32"/>
          <w:lang w:bidi="ar"/>
        </w:rPr>
        <w:t>落地，支撑朝阳区入选首批国家新型工业化产业示范基地。汇聚数字医疗产业链上下游企</w:t>
      </w:r>
      <w:r>
        <w:rPr>
          <w:rFonts w:hint="eastAsia" w:ascii="Times New Roman" w:hAnsi="Times New Roman" w:eastAsia="仿宋_GB2312" w:cs="Times New Roman"/>
          <w:color w:val="000000"/>
          <w:sz w:val="32"/>
          <w:szCs w:val="32"/>
          <w:lang w:bidi="ar"/>
        </w:rPr>
        <w:t>业220余家。互联网3.0产业园与798、751园区联动发展，成为全国最大的元宇宙（互联网3.0）产业集聚区。IC/PIC创新中心入选北京未来产业育新基地，形成以芯片设计为核心、上下游应用协同共生的IC产业生态。朝阳园建成市级特色产业园区8个，全区占比89%。</w:t>
      </w:r>
    </w:p>
    <w:p w14:paraId="15B7C1A0">
      <w:pPr>
        <w:overflowPunct w:val="0"/>
        <w:adjustRightInd w:val="0"/>
        <w:snapToGrid w:val="0"/>
        <w:spacing w:line="600" w:lineRule="exact"/>
        <w:ind w:firstLine="643" w:firstLineChars="200"/>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lang w:bidi="ar"/>
        </w:rPr>
        <w:t>产业空间布局持续优化。</w:t>
      </w:r>
      <w:r>
        <w:rPr>
          <w:rFonts w:hint="eastAsia" w:ascii="仿宋_GB2312" w:hAnsi="仿宋_GB2312" w:eastAsia="仿宋_GB2312" w:cs="仿宋_GB2312"/>
          <w:color w:val="000000"/>
          <w:sz w:val="32"/>
          <w:szCs w:val="32"/>
          <w:lang w:bidi="ar"/>
        </w:rPr>
        <w:t>《中关村朝阳园北区规划综合实施方案》获市政府批复，</w:t>
      </w:r>
      <w:r>
        <w:rPr>
          <w:rFonts w:hint="eastAsia" w:ascii="仿宋_GB2312" w:hAnsi="仿宋_GB2312" w:eastAsia="仿宋_GB2312" w:cs="仿宋_GB2312"/>
          <w:sz w:val="32"/>
          <w:szCs w:val="32"/>
          <w:lang w:bidi="ar"/>
        </w:rPr>
        <w:t>北区街区控规通过市级部门联审。阿里巴巴北京总部、望京国际人才公寓竣工投用，北京爱瑞国际化医疗综合体一期、数字医疗产业园拓展区启动建设。电子城片区</w:t>
      </w:r>
      <w:r>
        <w:rPr>
          <w:rFonts w:hint="eastAsia" w:ascii="仿宋_GB2312" w:hAnsi="仿宋_GB2312" w:eastAsia="仿宋_GB2312" w:cs="仿宋_GB2312"/>
          <w:color w:val="000000"/>
          <w:sz w:val="32"/>
          <w:szCs w:val="32"/>
          <w:lang w:bidi="ar"/>
        </w:rPr>
        <w:t>“</w:t>
      </w:r>
      <w:r>
        <w:rPr>
          <w:rFonts w:hint="eastAsia" w:ascii="Times New Roman" w:hAnsi="Times New Roman" w:eastAsia="仿宋_GB2312" w:cs="Times New Roman"/>
          <w:color w:val="000000"/>
          <w:sz w:val="32"/>
          <w:szCs w:val="32"/>
          <w:lang w:bidi="ar"/>
        </w:rPr>
        <w:t>ITEC</w:t>
      </w:r>
      <w:r>
        <w:rPr>
          <w:rFonts w:hint="eastAsia" w:ascii="仿宋_GB2312" w:hAnsi="仿宋_GB2312" w:eastAsia="仿宋_GB2312" w:cs="仿宋_GB2312"/>
          <w:color w:val="000000"/>
          <w:sz w:val="32"/>
          <w:szCs w:val="32"/>
          <w:lang w:bidi="ar"/>
        </w:rPr>
        <w:t>创新创业园”、金辉大厦智能体加速器、望京联络大厦新质加速器等产业培育平台相继落地，大望京科技商务区获评“北京市绿色生态园区”永久称号。健翔片区朝阳北部科创带、大屯数字未来城建设全面启动，奥林匹克中心区机器人创新公园等产业项目加速布局。垡头片区产学研辐射带动作用逐步显现。</w:t>
      </w:r>
    </w:p>
    <w:p w14:paraId="458BC727">
      <w:pPr>
        <w:overflowPunct w:val="0"/>
        <w:autoSpaceDE w:val="0"/>
        <w:autoSpaceDN w:val="0"/>
        <w:adjustRightInd w:val="0"/>
        <w:snapToGrid w:val="0"/>
        <w:spacing w:line="600" w:lineRule="exact"/>
        <w:ind w:firstLine="643" w:firstLineChars="200"/>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lang w:bidi="ar"/>
        </w:rPr>
        <w:t>产业生态环境不断完善。</w:t>
      </w:r>
      <w:r>
        <w:rPr>
          <w:rFonts w:hint="eastAsia" w:ascii="仿宋_GB2312" w:hAnsi="仿宋_GB2312" w:eastAsia="仿宋_GB2312" w:cs="仿宋_GB2312"/>
          <w:color w:val="000000"/>
          <w:kern w:val="0"/>
          <w:sz w:val="32"/>
          <w:szCs w:val="32"/>
          <w:lang w:bidi="ar"/>
        </w:rPr>
        <w:t>发布全市首个科技金融服务矩阵，实现投、贷、债、保、担等全链条金融资源覆盖</w:t>
      </w:r>
      <w:r>
        <w:rPr>
          <w:rFonts w:hint="eastAsia" w:ascii="Times New Roman" w:hAnsi="Times New Roman" w:eastAsia="仿宋_GB2312" w:cs="Times New Roman"/>
          <w:bCs/>
          <w:kern w:val="0"/>
          <w:sz w:val="32"/>
          <w:szCs w:val="32"/>
          <w:lang w:bidi="ar"/>
        </w:rPr>
        <w:t>11</w:t>
      </w:r>
      <w:r>
        <w:rPr>
          <w:rFonts w:hint="eastAsia" w:ascii="仿宋_GB2312" w:hAnsi="仿宋_GB2312" w:eastAsia="仿宋_GB2312" w:cs="仿宋_GB2312"/>
          <w:color w:val="000000"/>
          <w:kern w:val="0"/>
          <w:sz w:val="32"/>
          <w:szCs w:val="32"/>
          <w:lang w:bidi="ar"/>
        </w:rPr>
        <w:t>个特色园区。</w:t>
      </w:r>
      <w:r>
        <w:rPr>
          <w:rFonts w:hint="eastAsia" w:ascii="仿宋_GB2312" w:hAnsi="仿宋_GB2312" w:eastAsia="仿宋_GB2312" w:cs="仿宋_GB2312"/>
          <w:color w:val="000000"/>
          <w:sz w:val="32"/>
          <w:szCs w:val="32"/>
          <w:lang w:bidi="ar"/>
        </w:rPr>
        <w:t>挂牌成立朝阳区质量基础设施“一站式”服务工作站（朝阳园站），</w:t>
      </w:r>
      <w:r>
        <w:rPr>
          <w:rFonts w:hint="eastAsia" w:ascii="仿宋_GB2312" w:hAnsi="仿宋_GB2312" w:eastAsia="仿宋_GB2312" w:cs="仿宋_GB2312"/>
          <w:sz w:val="32"/>
          <w:szCs w:val="32"/>
          <w:lang w:bidi="ar"/>
        </w:rPr>
        <w:t>打造线上线下结合的“科技企</w:t>
      </w:r>
      <w:r>
        <w:rPr>
          <w:rFonts w:hint="eastAsia" w:ascii="仿宋_GB2312" w:hAnsi="仿宋_GB2312" w:eastAsia="仿宋_GB2312" w:cs="仿宋_GB2312"/>
          <w:color w:val="000000"/>
          <w:sz w:val="32"/>
          <w:szCs w:val="32"/>
          <w:lang w:bidi="ar"/>
        </w:rPr>
        <w:t>业赋能站”，为科技企业提供“政府+准市场+市场化”相结合的一站式、陪伴式赋能服务。</w:t>
      </w:r>
      <w:r>
        <w:rPr>
          <w:rFonts w:hint="eastAsia" w:ascii="仿宋_GB2312" w:hAnsi="仿宋_GB2312" w:eastAsia="仿宋_GB2312" w:cs="仿宋_GB2312"/>
          <w:sz w:val="32"/>
          <w:szCs w:val="32"/>
          <w:lang w:bidi="ar"/>
        </w:rPr>
        <w:t>推动国际创业投资集聚区建设，落地中关村创业投资公共服务平台、全国股转系统北京证券交易所朝阳服务基地、国际人才一站式服务站、专精特新服务站等平台，</w:t>
      </w:r>
      <w:r>
        <w:rPr>
          <w:rFonts w:hint="eastAsia" w:ascii="仿宋_GB2312" w:hAnsi="仿宋_GB2312" w:eastAsia="仿宋_GB2312" w:cs="仿宋_GB2312"/>
          <w:color w:val="000000"/>
          <w:sz w:val="32"/>
          <w:szCs w:val="32"/>
          <w:lang w:bidi="ar"/>
        </w:rPr>
        <w:t>举办“创投会客厅”品牌投融资对接活动超</w:t>
      </w:r>
      <w:r>
        <w:rPr>
          <w:rFonts w:hint="eastAsia" w:ascii="Times New Roman" w:hAnsi="Times New Roman" w:eastAsia="仿宋_GB2312" w:cs="Times New Roman"/>
          <w:bCs/>
          <w:kern w:val="0"/>
          <w:sz w:val="32"/>
          <w:szCs w:val="32"/>
          <w:lang w:bidi="ar"/>
        </w:rPr>
        <w:t>100期</w:t>
      </w:r>
      <w:r>
        <w:rPr>
          <w:rFonts w:hint="eastAsia" w:ascii="仿宋_GB2312" w:hAnsi="仿宋_GB2312" w:eastAsia="仿宋_GB2312" w:cs="仿宋_GB2312"/>
          <w:color w:val="000000"/>
          <w:sz w:val="32"/>
          <w:szCs w:val="32"/>
          <w:lang w:bidi="ar"/>
        </w:rPr>
        <w:t>。</w:t>
      </w:r>
    </w:p>
    <w:p w14:paraId="1E640D92">
      <w:pPr>
        <w:widowControl/>
        <w:overflowPunct w:val="0"/>
        <w:adjustRightInd w:val="0"/>
        <w:snapToGrid w:val="0"/>
        <w:spacing w:line="60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lang w:bidi="ar"/>
        </w:rPr>
        <w:t>园区体制机制改革持续深化。</w:t>
      </w:r>
      <w:r>
        <w:rPr>
          <w:rFonts w:hint="eastAsia" w:ascii="仿宋_GB2312" w:hAnsi="仿宋_GB2312" w:eastAsia="仿宋_GB2312" w:cs="仿宋_GB2312"/>
          <w:sz w:val="32"/>
          <w:szCs w:val="32"/>
          <w:lang w:bidi="ar"/>
        </w:rPr>
        <w:t>高效推动中关村分园体制机制改革，实现朝阳园管委会与区科信局合署办公。优化园区运营管理，成立朝阳科技集团作为平台公司，构建“管委会+平台公司”运营机制，平台公司在园区土地一级开发、重点工程项目建设、园区运营服务、科技投资、企业服务等方面的支撑作用日益显著。推动朝阳园管委会与首批</w:t>
      </w:r>
      <w:r>
        <w:rPr>
          <w:rFonts w:hint="eastAsia" w:ascii="Times New Roman" w:hAnsi="Times New Roman" w:eastAsia="仿宋_GB2312" w:cs="Times New Roman"/>
          <w:color w:val="000000"/>
          <w:sz w:val="32"/>
          <w:szCs w:val="32"/>
          <w:lang w:bidi="ar"/>
        </w:rPr>
        <w:t>11个试点街乡科技创新协同共建，累计合作推进建设特色园区、科技平台等50余</w:t>
      </w:r>
      <w:r>
        <w:rPr>
          <w:rFonts w:hint="eastAsia" w:ascii="仿宋_GB2312" w:hAnsi="仿宋_GB2312" w:eastAsia="仿宋_GB2312" w:cs="仿宋_GB2312"/>
          <w:kern w:val="0"/>
          <w:sz w:val="32"/>
          <w:szCs w:val="32"/>
          <w:lang w:bidi="ar"/>
        </w:rPr>
        <w:t>个，形成</w:t>
      </w:r>
      <w:r>
        <w:rPr>
          <w:rFonts w:hint="eastAsia" w:ascii="仿宋_GB2312" w:hAnsi="仿宋_GB2312" w:eastAsia="仿宋_GB2312" w:cs="仿宋_GB2312"/>
          <w:color w:val="000000"/>
          <w:kern w:val="0"/>
          <w:sz w:val="32"/>
          <w:szCs w:val="32"/>
          <w:lang w:bidi="ar"/>
        </w:rPr>
        <w:t>崔各庄乡颠覆性技术朝阳创新中心、望京新质孵化器等一批共建成果</w:t>
      </w:r>
      <w:r>
        <w:rPr>
          <w:rFonts w:hint="eastAsia" w:ascii="仿宋_GB2312" w:hAnsi="仿宋_GB2312" w:eastAsia="仿宋_GB2312" w:cs="仿宋_GB2312"/>
          <w:sz w:val="32"/>
          <w:szCs w:val="32"/>
          <w:lang w:bidi="ar"/>
        </w:rPr>
        <w:t>。</w:t>
      </w:r>
    </w:p>
    <w:p w14:paraId="7F694AD0">
      <w:pPr>
        <w:keepNext/>
        <w:keepLines/>
        <w:widowControl/>
        <w:overflowPunct w:val="0"/>
        <w:adjustRightInd w:val="0"/>
        <w:snapToGrid w:val="0"/>
        <w:spacing w:line="600" w:lineRule="exact"/>
        <w:ind w:firstLine="640" w:firstLineChars="200"/>
        <w:outlineLvl w:val="1"/>
        <w:rPr>
          <w:rFonts w:hint="eastAsia" w:ascii="楷体_GB2312" w:hAnsi="楷体_GB2312" w:eastAsia="楷体_GB2312" w:cs="楷体_GB2312"/>
          <w:color w:val="000000"/>
          <w:kern w:val="44"/>
          <w:sz w:val="32"/>
          <w:szCs w:val="32"/>
        </w:rPr>
      </w:pPr>
      <w:bookmarkStart w:id="16" w:name="_Toc206179972"/>
      <w:bookmarkStart w:id="17" w:name="_Toc204021809"/>
      <w:bookmarkStart w:id="18" w:name="_Toc216460218"/>
      <w:bookmarkStart w:id="19" w:name="_Toc203556839"/>
      <w:bookmarkStart w:id="20" w:name="_Toc206358649"/>
      <w:bookmarkStart w:id="21" w:name="_Toc2131"/>
      <w:bookmarkStart w:id="22" w:name="_Toc223937980"/>
      <w:bookmarkStart w:id="23" w:name="_Toc9331"/>
      <w:r>
        <w:rPr>
          <w:rFonts w:hint="eastAsia" w:ascii="楷体_GB2312" w:hAnsi="楷体_GB2312" w:eastAsia="楷体_GB2312" w:cs="楷体_GB2312"/>
          <w:color w:val="000000"/>
          <w:kern w:val="44"/>
          <w:sz w:val="32"/>
          <w:szCs w:val="32"/>
          <w:lang w:bidi="ar"/>
        </w:rPr>
        <w:t>二</w:t>
      </w:r>
      <w:bookmarkEnd w:id="16"/>
      <w:bookmarkEnd w:id="17"/>
      <w:bookmarkEnd w:id="18"/>
      <w:bookmarkEnd w:id="19"/>
      <w:bookmarkEnd w:id="20"/>
      <w:r>
        <w:rPr>
          <w:rFonts w:hint="eastAsia" w:ascii="楷体_GB2312" w:hAnsi="楷体_GB2312" w:eastAsia="楷体_GB2312" w:cs="楷体_GB2312"/>
          <w:color w:val="000000"/>
          <w:kern w:val="44"/>
          <w:sz w:val="32"/>
          <w:szCs w:val="32"/>
          <w:lang w:bidi="ar"/>
        </w:rPr>
        <w:t>、发展环境</w:t>
      </w:r>
      <w:bookmarkEnd w:id="21"/>
      <w:bookmarkEnd w:id="22"/>
      <w:bookmarkEnd w:id="23"/>
    </w:p>
    <w:p w14:paraId="05681749">
      <w:pPr>
        <w:overflowPunct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bidi="ar"/>
        </w:rPr>
        <w:t>作为朝阳区科技创新主阵地、北京市“两区”重点园区、数字经济核心区主要承载区，朝阳园要围绕北京（京津冀）国际科技创新中心、中关村世界领先科技园区建设要求，进一步强化科技创新和产业创新深度融合的空间承载职能，充分发挥场景资源丰富、产业基础坚实、产业空间充足等优势，因地制宜培育发展新质生产力，带动全域科技创新能级整体跃升，为朝阳区、北京市经济社会高质量发展提供更为坚实有力的支撑。</w:t>
      </w:r>
    </w:p>
    <w:p w14:paraId="0551F99B">
      <w:pPr>
        <w:overflowPunct w:val="0"/>
        <w:adjustRightInd w:val="0"/>
        <w:snapToGrid w:val="0"/>
        <w:spacing w:line="600" w:lineRule="exact"/>
        <w:ind w:firstLine="643"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lang w:bidi="ar"/>
        </w:rPr>
        <w:t>国家创新体系建设战略升级，为朝阳园高质量发展带来重大战略机遇。</w:t>
      </w:r>
      <w:r>
        <w:rPr>
          <w:rFonts w:hint="eastAsia" w:ascii="仿宋_GB2312" w:hAnsi="仿宋_GB2312" w:eastAsia="仿宋_GB2312" w:cs="仿宋_GB2312"/>
          <w:color w:val="000000"/>
          <w:kern w:val="0"/>
          <w:sz w:val="32"/>
          <w:szCs w:val="32"/>
          <w:lang w:bidi="ar"/>
        </w:rPr>
        <w:t>《</w:t>
      </w:r>
      <w:r>
        <w:rPr>
          <w:rFonts w:hint="eastAsia" w:ascii="Times New Roman" w:hAnsi="Times New Roman" w:eastAsia="仿宋_GB2312" w:cs="Times New Roman"/>
          <w:color w:val="000000"/>
          <w:sz w:val="32"/>
          <w:szCs w:val="32"/>
          <w:lang w:bidi="ar"/>
        </w:rPr>
        <w:t>2026</w:t>
      </w:r>
      <w:r>
        <w:rPr>
          <w:rFonts w:hint="eastAsia" w:ascii="仿宋_GB2312" w:hAnsi="仿宋_GB2312" w:eastAsia="仿宋_GB2312" w:cs="仿宋_GB2312"/>
          <w:color w:val="000000"/>
          <w:kern w:val="0"/>
          <w:sz w:val="32"/>
          <w:szCs w:val="32"/>
          <w:lang w:bidi="ar"/>
        </w:rPr>
        <w:t>年国务院政府工作报告》提出，推动科技创新和产业创新深度融合，建设北京（京津冀）国际科技创新中心，打造世界级科技创新策源地。北京市立足国家重大战略要求，依托首都教育科技人才优势，紧扣产业发展和企业创新需求，聚焦重点科技领域强化前瞻性布局，加强与天津、河北的协同创新和产业协作，着力打造科技强国建设的战略支点。“十五五”时期，朝阳园要深度融入国家战略部署，紧密衔接首都都市圈规划，切实发挥朝阳区科技创新主阵地作用，在服务国家高水平科技自立自强中彰显使命担当，体现独有价值。</w:t>
      </w:r>
    </w:p>
    <w:p w14:paraId="34E1579F">
      <w:pPr>
        <w:pStyle w:val="18"/>
        <w:overflowPunct w:val="0"/>
        <w:adjustRightInd w:val="0"/>
        <w:snapToGrid w:val="0"/>
        <w:spacing w:line="600" w:lineRule="exact"/>
        <w:ind w:firstLine="643" w:firstLineChars="200"/>
        <w:rPr>
          <w:rFonts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lang w:bidi="ar"/>
        </w:rPr>
        <w:t>新技术新赛道加速突破，为朝阳园发挥创新引领作用注入强劲动能。</w:t>
      </w:r>
      <w:r>
        <w:rPr>
          <w:rFonts w:hint="eastAsia" w:ascii="仿宋_GB2312" w:hAnsi="仿宋_GB2312" w:eastAsia="仿宋_GB2312" w:cs="仿宋_GB2312"/>
          <w:color w:val="000000"/>
          <w:kern w:val="0"/>
          <w:sz w:val="32"/>
          <w:szCs w:val="32"/>
          <w:lang w:bidi="ar"/>
        </w:rPr>
        <w:t>在全球化、智能化、融合化发展趋势下，前沿技术突破成为驱动创新发展的核心动力，新领域新赛道成为经济发展的重要增长点。《国家高新区新赛道培育行动方案》提出，要重点围绕战略性、领先性、成长性、带动性，增强技术策源能力，完善孵化服务链条，培育壮大高成长企业群体，深化金融精准支持，打造标杆应用场景，完善新赛道治理机制，面向传统产业升级衍生新赛道、面向新兴产业拓展新赛道、面向未来产业前瞻布局新赛道。“十五五”时期，朝阳园要结合新形势新要求，围绕自身基础优势，在前沿科技领域打造差异化、引领性技术优势，不断提升园区发展建设能级，彰显创新引领价值。</w:t>
      </w:r>
    </w:p>
    <w:p w14:paraId="43EB3DF6">
      <w:pPr>
        <w:pStyle w:val="18"/>
        <w:overflowPunct w:val="0"/>
        <w:adjustRightInd w:val="0"/>
        <w:snapToGrid w:val="0"/>
        <w:spacing w:line="600" w:lineRule="exact"/>
        <w:ind w:firstLine="643" w:firstLineChars="200"/>
        <w:rPr>
          <w:rFonts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lang w:bidi="ar"/>
        </w:rPr>
        <w:t>新一轮产业变革持续推进，为朝阳园优化产业布局明确了路径。</w:t>
      </w:r>
      <w:r>
        <w:rPr>
          <w:rFonts w:hint="eastAsia" w:ascii="仿宋_GB2312" w:hAnsi="仿宋_GB2312" w:eastAsia="仿宋_GB2312" w:cs="仿宋_GB2312"/>
          <w:color w:val="000000"/>
          <w:kern w:val="0"/>
          <w:sz w:val="32"/>
          <w:szCs w:val="32"/>
          <w:lang w:bidi="ar"/>
        </w:rPr>
        <w:t>《中共中央关于制定国民经济和社会发展第十五个五年规划的建议》明确提出，要“坚持智能化、绿色化、融合化方向”“构建以先进制造业为骨干的现代化产业体系”。“十五五”时期，朝阳园要充分发挥全区“</w:t>
      </w:r>
      <w:r>
        <w:rPr>
          <w:rFonts w:hint="eastAsia" w:ascii="Times New Roman" w:hAnsi="Times New Roman" w:eastAsia="仿宋_GB2312" w:cs="Times New Roman"/>
          <w:color w:val="000000"/>
          <w:sz w:val="32"/>
          <w:szCs w:val="32"/>
          <w:lang w:bidi="ar"/>
        </w:rPr>
        <w:t>3+X+N</w:t>
      </w:r>
      <w:r>
        <w:rPr>
          <w:rFonts w:hint="eastAsia" w:ascii="仿宋_GB2312" w:hAnsi="仿宋_GB2312" w:eastAsia="仿宋_GB2312" w:cs="仿宋_GB2312"/>
          <w:color w:val="000000"/>
          <w:kern w:val="0"/>
          <w:sz w:val="32"/>
          <w:szCs w:val="32"/>
          <w:lang w:bidi="ar"/>
        </w:rPr>
        <w:t>”产业体系空间承载作用，</w:t>
      </w:r>
      <w:r>
        <w:rPr>
          <w:rFonts w:hint="eastAsia" w:ascii="仿宋_GB2312" w:hAnsi="仿宋_GB2312" w:eastAsia="仿宋_GB2312" w:cs="仿宋_GB2312"/>
          <w:color w:val="000000"/>
          <w:sz w:val="32"/>
          <w:szCs w:val="32"/>
          <w:lang w:bidi="ar"/>
        </w:rPr>
        <w:t>聚焦产业优化升级主线，</w:t>
      </w:r>
      <w:r>
        <w:rPr>
          <w:rFonts w:hint="eastAsia" w:ascii="仿宋_GB2312" w:hAnsi="仿宋_GB2312" w:eastAsia="仿宋_GB2312" w:cs="仿宋_GB2312"/>
          <w:color w:val="000000"/>
          <w:kern w:val="0"/>
          <w:sz w:val="32"/>
          <w:szCs w:val="32"/>
          <w:lang w:bidi="ar"/>
        </w:rPr>
        <w:t>培育壮大高成长企业，</w:t>
      </w:r>
      <w:r>
        <w:rPr>
          <w:rFonts w:hint="eastAsia" w:ascii="仿宋_GB2312" w:hAnsi="仿宋_GB2312" w:eastAsia="仿宋_GB2312" w:cs="仿宋_GB2312"/>
          <w:color w:val="000000"/>
          <w:sz w:val="32"/>
          <w:szCs w:val="32"/>
          <w:lang w:bidi="ar"/>
        </w:rPr>
        <w:t>加大新领域新赛道布局，持续以新技术培育新产业、推动传统产业转型升级。</w:t>
      </w:r>
    </w:p>
    <w:p w14:paraId="32B4DFFC">
      <w:pPr>
        <w:overflowPunct w:val="0"/>
        <w:adjustRightInd w:val="0"/>
        <w:snapToGrid w:val="0"/>
        <w:spacing w:line="600" w:lineRule="exact"/>
        <w:ind w:firstLine="643" w:firstLineChars="200"/>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kern w:val="0"/>
          <w:sz w:val="32"/>
          <w:szCs w:val="32"/>
          <w:lang w:bidi="ar"/>
        </w:rPr>
        <w:t>中关村世界领先科技园区建设不断深化，为朝阳园完善园区生态建设指明了方向</w:t>
      </w:r>
      <w:r>
        <w:rPr>
          <w:rFonts w:hint="eastAsia" w:ascii="仿宋_GB2312" w:hAnsi="仿宋_GB2312" w:eastAsia="仿宋_GB2312" w:cs="仿宋_GB2312"/>
          <w:b/>
          <w:bCs/>
          <w:color w:val="000000"/>
          <w:sz w:val="32"/>
          <w:szCs w:val="32"/>
          <w:lang w:bidi="ar"/>
        </w:rPr>
        <w:t>。</w:t>
      </w:r>
      <w:r>
        <w:rPr>
          <w:rFonts w:hint="eastAsia" w:ascii="仿宋_GB2312" w:hAnsi="仿宋_GB2312" w:eastAsia="仿宋_GB2312" w:cs="仿宋_GB2312"/>
          <w:color w:val="000000"/>
          <w:sz w:val="32"/>
          <w:szCs w:val="32"/>
          <w:lang w:bidi="ar"/>
        </w:rPr>
        <w:t>《</w:t>
      </w:r>
      <w:r>
        <w:fldChar w:fldCharType="begin"/>
      </w:r>
      <w:r>
        <w:instrText xml:space="preserve"> HYPERLINK "https://finance.sina.com.cn/realstock/company/sz000931/nc.shtml" \t "https://finance.sina.com.cn/roll/2024-04-25/_blank" </w:instrText>
      </w:r>
      <w:r>
        <w:fldChar w:fldCharType="separate"/>
      </w:r>
      <w:r>
        <w:rPr>
          <w:rStyle w:val="27"/>
          <w:rFonts w:hint="eastAsia" w:ascii="仿宋_GB2312" w:hAnsi="仿宋_GB2312" w:eastAsia="仿宋_GB2312" w:cs="仿宋_GB2312"/>
          <w:color w:val="000000"/>
          <w:sz w:val="32"/>
          <w:szCs w:val="32"/>
          <w:u w:val="none"/>
        </w:rPr>
        <w:t>中关村</w:t>
      </w:r>
      <w:r>
        <w:rPr>
          <w:rStyle w:val="27"/>
          <w:rFonts w:hint="eastAsia" w:ascii="仿宋_GB2312" w:hAnsi="仿宋_GB2312" w:eastAsia="仿宋_GB2312" w:cs="仿宋_GB2312"/>
          <w:color w:val="000000"/>
          <w:sz w:val="32"/>
          <w:szCs w:val="32"/>
          <w:u w:val="none"/>
        </w:rPr>
        <w:fldChar w:fldCharType="end"/>
      </w:r>
      <w:r>
        <w:rPr>
          <w:rFonts w:hint="eastAsia" w:ascii="仿宋_GB2312" w:hAnsi="仿宋_GB2312" w:eastAsia="仿宋_GB2312" w:cs="仿宋_GB2312"/>
          <w:color w:val="000000"/>
          <w:sz w:val="32"/>
          <w:szCs w:val="32"/>
          <w:lang w:bidi="ar"/>
        </w:rPr>
        <w:t>世界领先科技园区建设方案（</w:t>
      </w:r>
      <w:r>
        <w:rPr>
          <w:rFonts w:hint="eastAsia" w:ascii="Times New Roman" w:hAnsi="Times New Roman" w:eastAsia="仿宋_GB2312" w:cs="Times New Roman"/>
          <w:color w:val="000000"/>
          <w:sz w:val="32"/>
          <w:szCs w:val="32"/>
          <w:lang w:bidi="ar"/>
        </w:rPr>
        <w:t>2024—2027</w:t>
      </w:r>
      <w:r>
        <w:rPr>
          <w:rFonts w:hint="eastAsia" w:ascii="仿宋_GB2312" w:hAnsi="仿宋_GB2312" w:eastAsia="仿宋_GB2312" w:cs="仿宋_GB2312"/>
          <w:color w:val="000000"/>
          <w:sz w:val="32"/>
          <w:szCs w:val="32"/>
          <w:lang w:bidi="ar"/>
        </w:rPr>
        <w:t>年）》明确要求，以推动高质量发展为主题，以先行先试改革为动力，以理念领先带动原始创新、人才发展、一流企业、高端产业、开放创新生态的全面领先。中关村分园新一轮空间范围调整，为各分园构建新发展格局提供了基础条件。“十五五”时期，朝阳园要主动对标中关村世界领先科技园区建设要求，积极落实北京市对中关村分园建设发展的部署安排，深化先行先试改革，聚焦园区数字化、社区化、绿色化发展，探索提升专业化、国际化运营服务管理能力，营造具有竞争力的开放创新生态，在中关村世界领先科技园区建设中发挥表率作用。</w:t>
      </w:r>
    </w:p>
    <w:p w14:paraId="60018350">
      <w:pPr>
        <w:widowControl/>
        <w:overflowPunct w:val="0"/>
        <w:adjustRightInd w:val="0"/>
        <w:snapToGrid w:val="0"/>
        <w:spacing w:line="600" w:lineRule="exact"/>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bidi="ar"/>
        </w:rPr>
        <w:t>“十五五”时期，朝阳园发展仍面临诸多问题与挑战。一是中关村朝阳园在中关村示范区整体发展中仍需进一步提升支撑作用。中关村示范区启动新一轮空间布局调整，朝阳园空间范围扩大、经济规模占比提升，要进一步凸显朝阳园在中关村分园发展中的挑大梁、主力军作用。二是园区统筹发展工作体系需加快构建。新空间格局下政策区街乡范围扩大，需进一步加强朝阳园管委会与街乡统筹联动，加大科技创新资源集聚力度，构建园区发展工作合力。三是园区专业化运营服务能力亟须提升。在全区“科技百园”建设背景下，目前园区专业化、市场化管理运营机构集聚不够，平台公司专业化运营能力仍不能满足产业服务和生态建设需求。四是服务高校院所、央国企等创新源头融入园区发展的资源对接协同机制仍需进一步强化。</w:t>
      </w:r>
    </w:p>
    <w:p w14:paraId="351779D1">
      <w:pPr>
        <w:widowControl/>
        <w:overflowPunct w:val="0"/>
        <w:adjustRightInd w:val="0"/>
        <w:snapToGrid w:val="0"/>
        <w:spacing w:line="600" w:lineRule="exact"/>
        <w:ind w:firstLine="640" w:firstLineChars="200"/>
        <w:textAlignment w:val="baseline"/>
        <w:rPr>
          <w:rFonts w:ascii="Times New Roman" w:hAnsi="Times New Roman" w:eastAsia="仿宋_GB2312" w:cs="Times New Roman"/>
          <w:bCs/>
          <w:sz w:val="32"/>
          <w:szCs w:val="32"/>
        </w:rPr>
      </w:pPr>
      <w:r>
        <w:rPr>
          <w:rFonts w:hint="eastAsia" w:ascii="Times New Roman" w:hAnsi="Times New Roman" w:eastAsia="仿宋_GB2312" w:cs="Times New Roman"/>
          <w:color w:val="000000"/>
          <w:sz w:val="32"/>
          <w:szCs w:val="32"/>
          <w:lang w:bidi="ar"/>
        </w:rPr>
        <w:t>要深刻认识当前高质量发展面临的新形势、新要求和问题挑战，在观大势、谋全局、抓长远中抢抓国家战略叠加、新一轮科技革命和产业变革的重大机遇，强化中关村朝阳园科技创新主阵地承载功能，全面提升园区创新策源、成果转化、产业引领、企业集聚能力，为全区、全市经济社会高质量发展作出更大贡献</w:t>
      </w:r>
      <w:r>
        <w:rPr>
          <w:rFonts w:hint="eastAsia" w:ascii="Times New Roman" w:hAnsi="Times New Roman" w:eastAsia="仿宋_GB2312" w:cs="Times New Roman"/>
          <w:bCs/>
          <w:sz w:val="32"/>
          <w:szCs w:val="32"/>
        </w:rPr>
        <w:t>。</w:t>
      </w:r>
    </w:p>
    <w:p w14:paraId="60A91406">
      <w:pPr>
        <w:widowControl/>
        <w:adjustRightInd w:val="0"/>
        <w:snapToGrid w:val="0"/>
        <w:spacing w:line="600" w:lineRule="exact"/>
        <w:rPr>
          <w:rFonts w:ascii="Times New Roman" w:hAnsi="Times New Roman" w:eastAsia="仿宋_GB2312" w:cs="Times New Roman"/>
          <w:bCs/>
          <w:sz w:val="32"/>
          <w:szCs w:val="32"/>
        </w:rPr>
      </w:pPr>
      <w:r>
        <w:rPr>
          <w:rFonts w:ascii="Times New Roman" w:hAnsi="Times New Roman" w:eastAsia="仿宋_GB2312" w:cs="Times New Roman"/>
          <w:bCs/>
          <w:sz w:val="32"/>
          <w:szCs w:val="32"/>
        </w:rPr>
        <w:br w:type="page"/>
      </w:r>
    </w:p>
    <w:p w14:paraId="517226DC">
      <w:pPr>
        <w:keepNext/>
        <w:keepLines/>
        <w:widowControl/>
        <w:adjustRightInd w:val="0"/>
        <w:snapToGrid w:val="0"/>
        <w:spacing w:before="156" w:beforeLines="50" w:after="156" w:afterLines="50" w:line="600" w:lineRule="exact"/>
        <w:jc w:val="center"/>
        <w:outlineLvl w:val="0"/>
        <w:rPr>
          <w:rFonts w:eastAsia="黑体" w:cs="黑体"/>
          <w:color w:val="000000"/>
          <w:kern w:val="0"/>
          <w:sz w:val="32"/>
          <w:szCs w:val="32"/>
        </w:rPr>
      </w:pPr>
      <w:bookmarkStart w:id="24" w:name="_Toc223937981"/>
      <w:bookmarkStart w:id="25" w:name="_Toc16835"/>
      <w:bookmarkStart w:id="26" w:name="_Toc216460219"/>
      <w:bookmarkStart w:id="27" w:name="_Toc26276"/>
      <w:bookmarkStart w:id="28" w:name="_Toc16847"/>
      <w:bookmarkStart w:id="29" w:name="_Toc6903"/>
      <w:r>
        <w:rPr>
          <w:rFonts w:hint="eastAsia" w:eastAsia="黑体" w:cs="黑体"/>
          <w:color w:val="000000"/>
          <w:kern w:val="0"/>
          <w:sz w:val="32"/>
          <w:szCs w:val="32"/>
        </w:rPr>
        <w:t>第二章 总体要求</w:t>
      </w:r>
      <w:bookmarkEnd w:id="24"/>
      <w:bookmarkEnd w:id="25"/>
      <w:bookmarkEnd w:id="26"/>
      <w:bookmarkEnd w:id="27"/>
      <w:bookmarkEnd w:id="28"/>
      <w:bookmarkEnd w:id="29"/>
    </w:p>
    <w:p w14:paraId="2349A95B">
      <w:pPr>
        <w:keepNext/>
        <w:keepLines/>
        <w:widowControl/>
        <w:adjustRightInd w:val="0"/>
        <w:snapToGrid w:val="0"/>
        <w:spacing w:line="600" w:lineRule="exact"/>
        <w:ind w:firstLine="640" w:firstLineChars="200"/>
        <w:outlineLvl w:val="1"/>
        <w:rPr>
          <w:rFonts w:hint="eastAsia" w:ascii="楷体_GB2312" w:hAnsi="楷体_GB2312" w:eastAsia="楷体_GB2312" w:cs="楷体_GB2312"/>
          <w:color w:val="000000"/>
          <w:sz w:val="32"/>
          <w:szCs w:val="32"/>
        </w:rPr>
      </w:pPr>
      <w:bookmarkStart w:id="30" w:name="_Toc223937982"/>
      <w:bookmarkStart w:id="31" w:name="_Toc216460220"/>
      <w:bookmarkStart w:id="32" w:name="_Toc32089"/>
      <w:bookmarkStart w:id="33" w:name="_Toc206179974"/>
      <w:bookmarkStart w:id="34" w:name="_Toc204021811"/>
      <w:bookmarkStart w:id="35" w:name="_Toc206358651"/>
      <w:bookmarkStart w:id="36" w:name="_Toc16226"/>
      <w:bookmarkStart w:id="37" w:name="_Toc203556842"/>
      <w:r>
        <w:rPr>
          <w:rFonts w:hint="eastAsia" w:ascii="楷体_GB2312" w:hAnsi="楷体_GB2312" w:eastAsia="楷体_GB2312" w:cs="楷体_GB2312"/>
          <w:color w:val="000000"/>
          <w:sz w:val="32"/>
          <w:szCs w:val="32"/>
        </w:rPr>
        <w:t>一、指导思想</w:t>
      </w:r>
      <w:bookmarkEnd w:id="30"/>
      <w:bookmarkEnd w:id="31"/>
      <w:bookmarkEnd w:id="32"/>
      <w:bookmarkEnd w:id="33"/>
      <w:bookmarkEnd w:id="34"/>
      <w:bookmarkEnd w:id="35"/>
      <w:bookmarkEnd w:id="36"/>
    </w:p>
    <w:bookmarkEnd w:id="37"/>
    <w:p w14:paraId="5BF2BCF5">
      <w:pPr>
        <w:widowControl/>
        <w:overflowPunct w:val="0"/>
        <w:adjustRightInd w:val="0"/>
        <w:snapToGrid w:val="0"/>
        <w:spacing w:line="600" w:lineRule="exact"/>
        <w:ind w:firstLine="640" w:firstLineChars="200"/>
        <w:rPr>
          <w:rFonts w:ascii="Times New Roman" w:hAnsi="Times New Roman" w:eastAsia="仿宋_GB2312" w:cs="Times New Roman"/>
          <w:color w:val="000000"/>
          <w:sz w:val="32"/>
          <w:szCs w:val="40"/>
        </w:rPr>
      </w:pPr>
      <w:r>
        <w:rPr>
          <w:rFonts w:hint="eastAsia" w:ascii="Times New Roman" w:hAnsi="Times New Roman" w:eastAsia="仿宋_GB2312" w:cs="Times New Roman"/>
          <w:sz w:val="32"/>
          <w:szCs w:val="32"/>
          <w:lang w:bidi="ar"/>
        </w:rPr>
        <w:t>坚持以习近平新时代中国特色社会主义思想为指引，深入贯彻党的二十大和二十届历次全会精神，落实习近平总书记对北京重要讲话精神，锚定北京（京津冀）国际科技创新中心、全球数字经济标杆城市以及中关村世界领先科技园区</w:t>
      </w:r>
      <w:r>
        <w:rPr>
          <w:rFonts w:hint="eastAsia" w:ascii="Times New Roman" w:hAnsi="Times New Roman" w:eastAsia="仿宋_GB2312" w:cs="Times New Roman"/>
          <w:color w:val="000000"/>
          <w:sz w:val="32"/>
          <w:szCs w:val="40"/>
          <w:lang w:bidi="ar"/>
        </w:rPr>
        <w:t>建设</w:t>
      </w:r>
      <w:r>
        <w:rPr>
          <w:rFonts w:hint="eastAsia" w:ascii="Times New Roman" w:hAnsi="Times New Roman" w:eastAsia="仿宋_GB2312" w:cs="Times New Roman"/>
          <w:sz w:val="32"/>
          <w:szCs w:val="32"/>
          <w:lang w:bidi="ar"/>
        </w:rPr>
        <w:t>要求，充分</w:t>
      </w:r>
      <w:r>
        <w:rPr>
          <w:rFonts w:hint="eastAsia" w:ascii="Times New Roman" w:hAnsi="Times New Roman" w:eastAsia="仿宋_GB2312" w:cs="Times New Roman"/>
          <w:color w:val="000000"/>
          <w:sz w:val="32"/>
          <w:szCs w:val="40"/>
          <w:lang w:bidi="ar"/>
        </w:rPr>
        <w:t>发挥朝阳园新兴产业、国际化资源与空间载体等独特优势，</w:t>
      </w:r>
      <w:r>
        <w:rPr>
          <w:rFonts w:hint="eastAsia" w:ascii="Times New Roman" w:hAnsi="Times New Roman" w:eastAsia="仿宋_GB2312" w:cs="Times New Roman"/>
          <w:sz w:val="32"/>
          <w:szCs w:val="32"/>
          <w:lang w:bidi="ar"/>
        </w:rPr>
        <w:t>以推进科技创新和产业创新深度融合为主线，</w:t>
      </w:r>
      <w:r>
        <w:rPr>
          <w:rFonts w:hint="eastAsia" w:ascii="Times New Roman" w:hAnsi="Times New Roman" w:eastAsia="仿宋_GB2312" w:cs="Times New Roman"/>
          <w:color w:val="000000"/>
          <w:sz w:val="32"/>
          <w:szCs w:val="40"/>
          <w:lang w:bidi="ar"/>
        </w:rPr>
        <w:t>以完善科技创新引领辐射功能、建设特色产业集聚区、优化园区运营服务生态为关键抓手，</w:t>
      </w:r>
      <w:r>
        <w:rPr>
          <w:rFonts w:hint="eastAsia" w:ascii="Times New Roman" w:hAnsi="Times New Roman" w:eastAsia="仿宋_GB2312" w:cs="Times New Roman"/>
          <w:sz w:val="32"/>
          <w:szCs w:val="32"/>
          <w:lang w:bidi="ar"/>
        </w:rPr>
        <w:t>以深化体制机制改革为支撑，着力补短板、锻长板、增动能、提能级，塑造</w:t>
      </w:r>
      <w:r>
        <w:rPr>
          <w:rFonts w:hint="eastAsia" w:ascii="Times New Roman" w:hAnsi="Times New Roman" w:eastAsia="仿宋_GB2312" w:cs="Times New Roman"/>
          <w:color w:val="000000"/>
          <w:sz w:val="32"/>
          <w:szCs w:val="32"/>
          <w:lang w:bidi="ar"/>
        </w:rPr>
        <w:t>差异化竞争优势，</w:t>
      </w:r>
      <w:r>
        <w:rPr>
          <w:rFonts w:hint="eastAsia" w:ascii="Times New Roman" w:hAnsi="Times New Roman" w:eastAsia="仿宋_GB2312" w:cs="Times New Roman"/>
          <w:sz w:val="32"/>
          <w:szCs w:val="32"/>
          <w:lang w:bidi="ar"/>
        </w:rPr>
        <w:t>引领带动全区科技创新和产业发展能级跃升。</w:t>
      </w:r>
      <w:r>
        <w:rPr>
          <w:rFonts w:hint="eastAsia" w:ascii="Times New Roman" w:hAnsi="Times New Roman" w:eastAsia="仿宋_GB2312" w:cs="Times New Roman"/>
          <w:color w:val="000000"/>
          <w:sz w:val="32"/>
          <w:szCs w:val="40"/>
          <w:lang w:bidi="ar"/>
        </w:rPr>
        <w:t>发挥中关村朝阳园在中关村世界领先科技园区建设中挑大梁、主力军作用，打造中关村世界领先科技园区建设的新引擎，全面</w:t>
      </w:r>
      <w:r>
        <w:rPr>
          <w:rFonts w:hint="eastAsia" w:ascii="Times New Roman" w:hAnsi="Times New Roman" w:eastAsia="仿宋_GB2312" w:cs="Times New Roman"/>
          <w:sz w:val="32"/>
          <w:szCs w:val="32"/>
          <w:lang w:bidi="ar"/>
        </w:rPr>
        <w:t>支撑朝阳区提升“五区”功能、建好“五宜”朝阳，更好地服务首都发展大局</w:t>
      </w:r>
      <w:r>
        <w:rPr>
          <w:rFonts w:hint="eastAsia" w:ascii="Times New Roman" w:hAnsi="Times New Roman" w:eastAsia="仿宋_GB2312" w:cs="Times New Roman"/>
          <w:color w:val="000000"/>
          <w:sz w:val="32"/>
          <w:szCs w:val="40"/>
          <w:lang w:bidi="ar"/>
        </w:rPr>
        <w:t>。</w:t>
      </w:r>
    </w:p>
    <w:p w14:paraId="0A47E5FD">
      <w:pPr>
        <w:keepNext/>
        <w:keepLines/>
        <w:widowControl/>
        <w:overflowPunct w:val="0"/>
        <w:adjustRightInd w:val="0"/>
        <w:snapToGrid w:val="0"/>
        <w:spacing w:line="600" w:lineRule="exact"/>
        <w:ind w:firstLine="640" w:firstLineChars="200"/>
        <w:outlineLvl w:val="1"/>
        <w:rPr>
          <w:rFonts w:hint="eastAsia" w:ascii="楷体_GB2312" w:hAnsi="楷体_GB2312" w:eastAsia="楷体_GB2312" w:cs="楷体_GB2312"/>
          <w:color w:val="000000"/>
          <w:sz w:val="32"/>
          <w:szCs w:val="32"/>
        </w:rPr>
      </w:pPr>
      <w:bookmarkStart w:id="38" w:name="_Toc25318"/>
      <w:bookmarkStart w:id="39" w:name="_Toc223937983"/>
      <w:bookmarkStart w:id="40" w:name="_Toc8691"/>
      <w:r>
        <w:rPr>
          <w:rFonts w:hint="eastAsia" w:ascii="楷体_GB2312" w:hAnsi="楷体_GB2312" w:eastAsia="楷体_GB2312" w:cs="楷体_GB2312"/>
          <w:color w:val="000000"/>
          <w:sz w:val="32"/>
          <w:szCs w:val="32"/>
          <w:lang w:bidi="ar"/>
        </w:rPr>
        <w:t>二、基本原则</w:t>
      </w:r>
      <w:bookmarkEnd w:id="38"/>
      <w:bookmarkEnd w:id="39"/>
      <w:bookmarkEnd w:id="40"/>
    </w:p>
    <w:p w14:paraId="034ECC5E">
      <w:pPr>
        <w:overflowPunct w:val="0"/>
        <w:adjustRightInd w:val="0"/>
        <w:snapToGrid w:val="0"/>
        <w:spacing w:line="600" w:lineRule="exact"/>
        <w:ind w:firstLine="643" w:firstLineChars="200"/>
        <w:rPr>
          <w:rFonts w:ascii="仿宋_GB2312" w:hAnsi="仿宋_GB2312" w:eastAsia="仿宋_GB2312" w:cs="仿宋_GB2312"/>
          <w:b/>
          <w:bCs/>
          <w:color w:val="000000"/>
          <w:sz w:val="32"/>
          <w:szCs w:val="32"/>
          <w:lang w:bidi="ar"/>
        </w:rPr>
      </w:pPr>
      <w:r>
        <w:rPr>
          <w:rFonts w:hint="eastAsia" w:ascii="仿宋_GB2312" w:hAnsi="仿宋_GB2312" w:eastAsia="仿宋_GB2312" w:cs="仿宋_GB2312"/>
          <w:b/>
          <w:bCs/>
          <w:color w:val="000000"/>
          <w:sz w:val="32"/>
          <w:szCs w:val="32"/>
        </w:rPr>
        <w:t>坚持园区示范带动。</w:t>
      </w:r>
      <w:r>
        <w:rPr>
          <w:rFonts w:hint="eastAsia" w:ascii="仿宋_GB2312" w:hAnsi="仿宋_GB2312" w:eastAsia="仿宋_GB2312" w:cs="仿宋_GB2312"/>
          <w:color w:val="000000"/>
          <w:sz w:val="32"/>
          <w:szCs w:val="32"/>
        </w:rPr>
        <w:t>发挥朝阳园作为全区科技创新主阵地、新质生产力核心承载区的引领作用，在科技创新、成果转化、产业发展、企业集聚、人才引育等核心领域先行先试、树立标杆，打造全区高质量发展示范样板。</w:t>
      </w:r>
    </w:p>
    <w:p w14:paraId="0102E122">
      <w:pPr>
        <w:overflowPunct w:val="0"/>
        <w:adjustRightInd w:val="0"/>
        <w:snapToGrid w:val="0"/>
        <w:spacing w:line="600" w:lineRule="exact"/>
        <w:ind w:firstLine="643" w:firstLineChars="200"/>
        <w:rPr>
          <w:rFonts w:ascii="仿宋_GB2312" w:hAnsi="仿宋_GB2312" w:eastAsia="仿宋_GB2312" w:cs="仿宋_GB2312"/>
          <w:color w:val="000000"/>
          <w:sz w:val="32"/>
          <w:szCs w:val="32"/>
          <w:lang w:bidi="ar"/>
        </w:rPr>
      </w:pPr>
      <w:r>
        <w:rPr>
          <w:rFonts w:hint="eastAsia" w:ascii="仿宋_GB2312" w:hAnsi="仿宋_GB2312" w:eastAsia="仿宋_GB2312" w:cs="仿宋_GB2312"/>
          <w:b/>
          <w:bCs/>
          <w:color w:val="000000"/>
          <w:sz w:val="32"/>
          <w:szCs w:val="32"/>
          <w:lang w:bidi="ar"/>
        </w:rPr>
        <w:t>坚持源头创新引领。</w:t>
      </w:r>
      <w:r>
        <w:rPr>
          <w:rFonts w:hint="eastAsia" w:ascii="仿宋_GB2312" w:hAnsi="仿宋_GB2312" w:eastAsia="仿宋_GB2312" w:cs="仿宋_GB2312"/>
          <w:color w:val="000000"/>
          <w:sz w:val="32"/>
          <w:szCs w:val="32"/>
          <w:lang w:bidi="ar"/>
        </w:rPr>
        <w:t>加强与各领域创新源头合作，强化园区科技创新策源与成果转化承载功能，加大前沿技术和颠覆性技术攻关突破力度，全方位提升园区创新生态能级，</w:t>
      </w:r>
      <w:r>
        <w:rPr>
          <w:rFonts w:hint="eastAsia" w:ascii="仿宋_GB2312" w:hAnsi="仿宋_GB2312" w:eastAsia="仿宋_GB2312" w:cs="仿宋_GB2312"/>
          <w:sz w:val="32"/>
          <w:szCs w:val="32"/>
          <w:lang w:bidi="ar"/>
        </w:rPr>
        <w:t>推动技术成果、产业资源、平台载体在园区集聚发展</w:t>
      </w:r>
      <w:r>
        <w:rPr>
          <w:rFonts w:hint="eastAsia" w:ascii="仿宋_GB2312" w:hAnsi="仿宋_GB2312" w:eastAsia="仿宋_GB2312" w:cs="仿宋_GB2312"/>
          <w:color w:val="000000"/>
          <w:sz w:val="32"/>
          <w:szCs w:val="32"/>
          <w:lang w:bidi="ar"/>
        </w:rPr>
        <w:t>。</w:t>
      </w:r>
    </w:p>
    <w:p w14:paraId="6683848F">
      <w:pPr>
        <w:pStyle w:val="4"/>
        <w:adjustRightInd w:val="0"/>
        <w:snapToGrid w:val="0"/>
        <w:spacing w:after="0" w:line="600" w:lineRule="exact"/>
        <w:ind w:firstLine="643" w:firstLineChars="200"/>
        <w:jc w:val="both"/>
        <w:rPr>
          <w:rFonts w:ascii="仿宋_GB2312" w:hAnsi="仿宋_GB2312" w:eastAsia="仿宋_GB2312" w:cs="仿宋_GB2312"/>
          <w:color w:val="000000"/>
          <w:lang w:bidi="ar"/>
        </w:rPr>
      </w:pPr>
      <w:r>
        <w:rPr>
          <w:rFonts w:hint="eastAsia" w:ascii="仿宋_GB2312" w:hAnsi="仿宋_GB2312" w:eastAsia="仿宋_GB2312" w:cs="仿宋_GB2312"/>
          <w:b/>
          <w:bCs/>
          <w:color w:val="000000"/>
          <w:lang w:bidi="ar"/>
        </w:rPr>
        <w:t>坚持生态提质发展</w:t>
      </w:r>
      <w:r>
        <w:rPr>
          <w:rFonts w:hint="eastAsia" w:ascii="仿宋_GB2312" w:hAnsi="仿宋_GB2312" w:eastAsia="仿宋_GB2312" w:cs="仿宋_GB2312"/>
          <w:color w:val="000000"/>
          <w:lang w:bidi="ar"/>
        </w:rPr>
        <w:t>。围绕创新主体全生命周期发展需求，健全一体化园区运营服务体系，全方位完善要素保障，优化服务供给水平，持续提升园区生态能级。</w:t>
      </w:r>
    </w:p>
    <w:p w14:paraId="5E813D0E">
      <w:pPr>
        <w:pStyle w:val="4"/>
        <w:adjustRightInd w:val="0"/>
        <w:snapToGrid w:val="0"/>
        <w:spacing w:after="0" w:line="600" w:lineRule="exact"/>
        <w:ind w:firstLine="643" w:firstLineChars="200"/>
        <w:jc w:val="both"/>
        <w:rPr>
          <w:rFonts w:ascii="仿宋_GB2312" w:hAnsi="仿宋_GB2312" w:eastAsia="仿宋_GB2312" w:cs="仿宋_GB2312"/>
          <w:color w:val="000000"/>
          <w:spacing w:val="18"/>
        </w:rPr>
      </w:pPr>
      <w:r>
        <w:rPr>
          <w:rFonts w:hint="eastAsia" w:ascii="仿宋_GB2312" w:hAnsi="仿宋_GB2312" w:eastAsia="仿宋_GB2312" w:cs="仿宋_GB2312"/>
          <w:b/>
          <w:bCs/>
          <w:color w:val="000000"/>
          <w:lang w:bidi="ar"/>
        </w:rPr>
        <w:t>坚持产业集群发展。</w:t>
      </w:r>
      <w:r>
        <w:rPr>
          <w:rFonts w:hint="eastAsia" w:ascii="仿宋_GB2312" w:hAnsi="仿宋_GB2312" w:eastAsia="仿宋_GB2312" w:cs="仿宋_GB2312"/>
          <w:color w:val="000000"/>
          <w:lang w:bidi="ar"/>
        </w:rPr>
        <w:t>紧抓国家高新区新一轮空间规模和布局调整机遇，发挥新格局下朝阳园产业空间优势，支撑全区“</w:t>
      </w:r>
      <w:r>
        <w:rPr>
          <w:rFonts w:hint="eastAsia" w:ascii="Times New Roman" w:hAnsi="Times New Roman" w:eastAsia="仿宋_GB2312" w:cs="Times New Roman"/>
          <w:bCs/>
          <w:snapToGrid w:val="0"/>
          <w:color w:val="000000"/>
          <w:kern w:val="0"/>
          <w:lang w:bidi="ar"/>
        </w:rPr>
        <w:t>3+X+N</w:t>
      </w:r>
      <w:r>
        <w:rPr>
          <w:rFonts w:hint="eastAsia" w:ascii="仿宋_GB2312" w:hAnsi="仿宋_GB2312" w:eastAsia="仿宋_GB2312" w:cs="仿宋_GB2312"/>
          <w:color w:val="000000"/>
          <w:lang w:bidi="ar"/>
        </w:rPr>
        <w:t>”产业在园区有序落位、集聚发展，为新质生产力融合发展示范区建设提供有力支撑</w:t>
      </w:r>
      <w:r>
        <w:rPr>
          <w:rFonts w:hint="eastAsia" w:ascii="仿宋_GB2312" w:hAnsi="仿宋_GB2312" w:eastAsia="仿宋_GB2312" w:cs="仿宋_GB2312"/>
          <w:color w:val="000000"/>
          <w:spacing w:val="18"/>
          <w:lang w:bidi="ar"/>
        </w:rPr>
        <w:t>。</w:t>
      </w:r>
    </w:p>
    <w:p w14:paraId="1F102A63">
      <w:pPr>
        <w:overflowPunct w:val="0"/>
        <w:adjustRightInd w:val="0"/>
        <w:snapToGrid w:val="0"/>
        <w:spacing w:line="600" w:lineRule="exact"/>
        <w:ind w:firstLine="643"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lang w:bidi="ar"/>
        </w:rPr>
        <w:t>坚持空间统筹优化。</w:t>
      </w:r>
      <w:r>
        <w:rPr>
          <w:rFonts w:hint="eastAsia" w:ascii="仿宋_GB2312" w:hAnsi="仿宋_GB2312" w:eastAsia="仿宋_GB2312" w:cs="仿宋_GB2312"/>
          <w:color w:val="000000"/>
          <w:sz w:val="32"/>
          <w:szCs w:val="32"/>
          <w:lang w:bidi="ar"/>
        </w:rPr>
        <w:t>立足园区新的空间格局和产业基础，</w:t>
      </w:r>
      <w:r>
        <w:rPr>
          <w:rFonts w:hint="eastAsia" w:ascii="仿宋_GB2312" w:hAnsi="仿宋_GB2312" w:eastAsia="仿宋_GB2312" w:cs="仿宋_GB2312"/>
          <w:color w:val="000000"/>
          <w:kern w:val="0"/>
          <w:sz w:val="32"/>
          <w:szCs w:val="32"/>
          <w:lang w:bidi="ar"/>
        </w:rPr>
        <w:t>发挥多元主体作用</w:t>
      </w:r>
      <w:r>
        <w:rPr>
          <w:rFonts w:hint="eastAsia" w:ascii="仿宋_GB2312" w:hAnsi="仿宋_GB2312" w:eastAsia="仿宋_GB2312" w:cs="仿宋_GB2312"/>
          <w:color w:val="000000"/>
          <w:sz w:val="32"/>
          <w:szCs w:val="32"/>
          <w:lang w:bidi="ar"/>
        </w:rPr>
        <w:t>，完善产业园区建设运营体系，为“科技百园”建设做好空间支撑，统筹推动各片区差异化、特色化发展。</w:t>
      </w:r>
    </w:p>
    <w:p w14:paraId="4A36EBCF">
      <w:pPr>
        <w:overflowPunct w:val="0"/>
        <w:adjustRightInd w:val="0"/>
        <w:snapToGrid w:val="0"/>
        <w:spacing w:line="600" w:lineRule="exact"/>
        <w:ind w:firstLine="643" w:firstLineChars="200"/>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lang w:bidi="ar"/>
        </w:rPr>
        <w:t>坚持体制机制改革。</w:t>
      </w:r>
      <w:r>
        <w:rPr>
          <w:rFonts w:hint="eastAsia" w:ascii="仿宋_GB2312" w:hAnsi="仿宋_GB2312" w:eastAsia="仿宋_GB2312" w:cs="仿宋_GB2312"/>
          <w:color w:val="000000"/>
          <w:sz w:val="32"/>
          <w:szCs w:val="32"/>
          <w:lang w:bidi="ar"/>
        </w:rPr>
        <w:t>立足全球视野，结合园区创新发展需求，积极争取中关村新一轮先行先试改革措施落地，优化中关村朝阳园产业创新制度与环境，发挥好改革“试验田”作用，激发园区创新发展内生动力。</w:t>
      </w:r>
    </w:p>
    <w:p w14:paraId="380147DB">
      <w:pPr>
        <w:keepNext/>
        <w:keepLines/>
        <w:widowControl/>
        <w:overflowPunct w:val="0"/>
        <w:adjustRightInd w:val="0"/>
        <w:snapToGrid w:val="0"/>
        <w:spacing w:line="600" w:lineRule="exact"/>
        <w:ind w:firstLine="640" w:firstLineChars="200"/>
        <w:outlineLvl w:val="1"/>
        <w:rPr>
          <w:rFonts w:hint="eastAsia" w:ascii="楷体_GB2312" w:hAnsi="楷体_GB2312" w:eastAsia="楷体_GB2312" w:cs="楷体_GB2312"/>
          <w:color w:val="000000"/>
          <w:sz w:val="32"/>
          <w:szCs w:val="32"/>
        </w:rPr>
      </w:pPr>
      <w:bookmarkStart w:id="41" w:name="_Toc206179975"/>
      <w:bookmarkStart w:id="42" w:name="_Toc206358652"/>
      <w:bookmarkStart w:id="43" w:name="_Toc204021812"/>
      <w:bookmarkStart w:id="44" w:name="_Toc216460221"/>
      <w:bookmarkStart w:id="45" w:name="_Toc3085"/>
      <w:bookmarkStart w:id="46" w:name="_Toc16610"/>
      <w:bookmarkStart w:id="47" w:name="_Toc223937984"/>
      <w:r>
        <w:rPr>
          <w:rFonts w:hint="eastAsia" w:ascii="楷体_GB2312" w:hAnsi="楷体_GB2312" w:eastAsia="楷体_GB2312" w:cs="楷体_GB2312"/>
          <w:color w:val="000000"/>
          <w:sz w:val="32"/>
          <w:szCs w:val="32"/>
          <w:lang w:bidi="ar"/>
        </w:rPr>
        <w:t>三、发展</w:t>
      </w:r>
      <w:bookmarkEnd w:id="41"/>
      <w:bookmarkEnd w:id="42"/>
      <w:bookmarkEnd w:id="43"/>
      <w:r>
        <w:rPr>
          <w:rFonts w:hint="eastAsia" w:ascii="楷体_GB2312" w:hAnsi="楷体_GB2312" w:eastAsia="楷体_GB2312" w:cs="楷体_GB2312"/>
          <w:color w:val="000000"/>
          <w:sz w:val="32"/>
          <w:szCs w:val="32"/>
          <w:lang w:bidi="ar"/>
        </w:rPr>
        <w:t>目标</w:t>
      </w:r>
      <w:bookmarkEnd w:id="44"/>
      <w:bookmarkEnd w:id="45"/>
      <w:bookmarkEnd w:id="46"/>
      <w:bookmarkEnd w:id="47"/>
    </w:p>
    <w:p w14:paraId="242E665D">
      <w:pPr>
        <w:widowControl/>
        <w:overflowPunct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bidi="ar"/>
        </w:rPr>
        <w:t>到“十五五”末，中关村朝阳园综合实力明显提升，</w:t>
      </w:r>
      <w:r>
        <w:rPr>
          <w:rFonts w:hint="eastAsia" w:ascii="仿宋_GB2312" w:hAnsi="仿宋_GB2312" w:eastAsia="仿宋_GB2312" w:cs="仿宋_GB2312"/>
          <w:sz w:val="32"/>
          <w:szCs w:val="32"/>
          <w:lang w:bidi="ar"/>
        </w:rPr>
        <w:t>在中关村示范区分园创新发展综合评价中综合排名稳中有进，</w:t>
      </w:r>
      <w:r>
        <w:rPr>
          <w:rFonts w:hint="eastAsia" w:ascii="仿宋_GB2312" w:hAnsi="仿宋_GB2312" w:eastAsia="仿宋_GB2312" w:cs="仿宋_GB2312"/>
          <w:color w:val="000000"/>
          <w:sz w:val="32"/>
          <w:szCs w:val="32"/>
          <w:lang w:bidi="ar"/>
        </w:rPr>
        <w:t>建成全市乃至全国具有引领性的产业集聚区，形成基础设施完善、环境清新优美、产业高度集聚、机制高效有力、开放创新活跃的世界领先科技园区和科技创新高地。力争今后五年实现以下目标：</w:t>
      </w:r>
    </w:p>
    <w:p w14:paraId="2319D468">
      <w:pPr>
        <w:widowControl/>
        <w:overflowPunct w:val="0"/>
        <w:adjustRightInd w:val="0"/>
        <w:snapToGrid w:val="0"/>
        <w:spacing w:line="600" w:lineRule="exact"/>
        <w:ind w:firstLine="643" w:firstLineChars="200"/>
        <w:rPr>
          <w:rFonts w:ascii="Times New Roman" w:hAnsi="Times New Roman" w:eastAsia="仿宋_GB2312" w:cs="Times New Roman"/>
          <w:color w:val="000000"/>
          <w:sz w:val="32"/>
          <w:szCs w:val="32"/>
        </w:rPr>
      </w:pPr>
      <w:r>
        <w:rPr>
          <w:rFonts w:ascii="Times New Roman" w:hAnsi="Times New Roman" w:eastAsia="仿宋_GB2312" w:cs="Times New Roman"/>
          <w:b/>
          <w:bCs/>
          <w:color w:val="000000"/>
          <w:sz w:val="32"/>
          <w:szCs w:val="32"/>
          <w:lang w:bidi="ar"/>
        </w:rPr>
        <w:t>——园区发展质效稳步提升，</w:t>
      </w:r>
      <w:r>
        <w:rPr>
          <w:rFonts w:ascii="Times New Roman" w:hAnsi="Times New Roman" w:eastAsia="仿宋_GB2312" w:cs="Times New Roman"/>
          <w:color w:val="000000"/>
          <w:sz w:val="32"/>
          <w:szCs w:val="32"/>
          <w:lang w:bidi="ar"/>
        </w:rPr>
        <w:t>综合实力持续增强，对区域经济增长的支撑作用更加凸显。园区总收入年均增速保持在6%左右，园区企业实缴税费增速高于中关村示范区平均水平。</w:t>
      </w:r>
    </w:p>
    <w:p w14:paraId="30F64C5C">
      <w:pPr>
        <w:widowControl/>
        <w:overflowPunct w:val="0"/>
        <w:adjustRightInd w:val="0"/>
        <w:snapToGrid w:val="0"/>
        <w:spacing w:line="600" w:lineRule="exact"/>
        <w:ind w:firstLine="643" w:firstLineChars="200"/>
        <w:rPr>
          <w:rFonts w:ascii="Times New Roman" w:hAnsi="Times New Roman" w:eastAsia="仿宋_GB2312" w:cs="Times New Roman"/>
          <w:color w:val="000000"/>
          <w:sz w:val="32"/>
          <w:szCs w:val="32"/>
        </w:rPr>
      </w:pPr>
      <w:r>
        <w:rPr>
          <w:rFonts w:ascii="Times New Roman" w:hAnsi="Times New Roman" w:eastAsia="仿宋_GB2312" w:cs="Times New Roman"/>
          <w:b/>
          <w:bCs/>
          <w:color w:val="000000"/>
          <w:sz w:val="32"/>
          <w:szCs w:val="32"/>
          <w:lang w:bidi="ar"/>
        </w:rPr>
        <w:t>——科技创新能力持续增强，</w:t>
      </w:r>
      <w:r>
        <w:rPr>
          <w:rFonts w:ascii="Times New Roman" w:hAnsi="Times New Roman" w:eastAsia="仿宋_GB2312" w:cs="Times New Roman"/>
          <w:color w:val="000000"/>
          <w:sz w:val="32"/>
          <w:szCs w:val="32"/>
          <w:lang w:bidi="ar"/>
        </w:rPr>
        <w:t>核心技术支撑能力显著提升，创新要素集聚效应持续凸显，产业技术附加值持续攀升。技术收入占总收入比重超</w:t>
      </w:r>
      <w:r>
        <w:rPr>
          <w:rFonts w:ascii="Times New Roman" w:hAnsi="Times New Roman" w:eastAsia="仿宋_GB2312" w:cs="Times New Roman"/>
          <w:color w:val="000000"/>
          <w:sz w:val="32"/>
          <w:lang w:bidi="ar"/>
        </w:rPr>
        <w:t>过37%，研发投入强度保持在6.5%以上，园区企业每万名从业人员发明专利拥有量突破1600件</w:t>
      </w:r>
      <w:r>
        <w:rPr>
          <w:rFonts w:ascii="Times New Roman" w:hAnsi="Times New Roman" w:eastAsia="仿宋_GB2312" w:cs="Times New Roman"/>
          <w:color w:val="000000"/>
          <w:sz w:val="32"/>
          <w:szCs w:val="32"/>
          <w:lang w:bidi="ar"/>
        </w:rPr>
        <w:t>。</w:t>
      </w:r>
    </w:p>
    <w:p w14:paraId="73DC3033">
      <w:pPr>
        <w:widowControl/>
        <w:overflowPunct w:val="0"/>
        <w:adjustRightInd w:val="0"/>
        <w:snapToGrid w:val="0"/>
        <w:spacing w:line="600" w:lineRule="exact"/>
        <w:ind w:firstLine="643" w:firstLineChars="200"/>
        <w:rPr>
          <w:rFonts w:ascii="Times New Roman" w:hAnsi="Times New Roman" w:eastAsia="仿宋_GB2312" w:cs="Times New Roman"/>
          <w:color w:val="000000"/>
          <w:sz w:val="32"/>
          <w:szCs w:val="32"/>
        </w:rPr>
      </w:pPr>
      <w:r>
        <w:rPr>
          <w:rFonts w:ascii="Times New Roman" w:hAnsi="Times New Roman" w:eastAsia="仿宋_GB2312" w:cs="Times New Roman"/>
          <w:b/>
          <w:bCs/>
          <w:color w:val="000000"/>
          <w:sz w:val="32"/>
          <w:szCs w:val="32"/>
          <w:lang w:bidi="ar"/>
        </w:rPr>
        <w:t>——创新主体规模持续扩大</w:t>
      </w:r>
      <w:r>
        <w:rPr>
          <w:rFonts w:ascii="Times New Roman" w:hAnsi="Times New Roman" w:eastAsia="仿宋_GB2312" w:cs="Times New Roman"/>
          <w:sz w:val="32"/>
          <w:szCs w:val="32"/>
          <w:lang w:bidi="ar"/>
        </w:rPr>
        <w:t>，形成大中小企业融通发展的创新企业矩阵，创新人才加速集聚。</w:t>
      </w:r>
      <w:r>
        <w:rPr>
          <w:rFonts w:ascii="Times New Roman" w:hAnsi="Times New Roman" w:eastAsia="仿宋_GB2312" w:cs="Times New Roman"/>
          <w:color w:val="000000"/>
          <w:sz w:val="32"/>
          <w:szCs w:val="32"/>
          <w:lang w:bidi="ar"/>
        </w:rPr>
        <w:t>园区国家高新技术企业保有数量达</w:t>
      </w:r>
      <w:r>
        <w:rPr>
          <w:rFonts w:ascii="Times New Roman" w:hAnsi="Times New Roman" w:eastAsia="仿宋_GB2312" w:cs="Times New Roman"/>
          <w:color w:val="000000"/>
          <w:sz w:val="32"/>
          <w:lang w:bidi="ar"/>
        </w:rPr>
        <w:t>到1300家，年营业收入1亿元以上企业达416家，</w:t>
      </w:r>
      <w:r>
        <w:rPr>
          <w:rFonts w:ascii="Times New Roman" w:hAnsi="Times New Roman" w:eastAsia="仿宋_GB2312" w:cs="Times New Roman"/>
          <w:color w:val="000000"/>
          <w:sz w:val="32"/>
          <w:szCs w:val="32"/>
          <w:lang w:bidi="ar"/>
        </w:rPr>
        <w:t>市级以上孵化器在孵企业数量突破</w:t>
      </w:r>
      <w:r>
        <w:rPr>
          <w:rFonts w:ascii="Times New Roman" w:hAnsi="Times New Roman" w:eastAsia="仿宋_GB2312" w:cs="Times New Roman"/>
          <w:color w:val="000000"/>
          <w:sz w:val="32"/>
          <w:lang w:bidi="ar"/>
        </w:rPr>
        <w:t>700家，硕士及以上学历从业人员占比达到</w:t>
      </w:r>
      <w:r>
        <w:rPr>
          <w:rFonts w:hint="eastAsia" w:ascii="Times New Roman" w:hAnsi="Times New Roman" w:eastAsia="仿宋_GB2312" w:cs="Times New Roman"/>
          <w:color w:val="000000"/>
          <w:sz w:val="32"/>
          <w:lang w:bidi="ar"/>
        </w:rPr>
        <w:t>24</w:t>
      </w:r>
      <w:r>
        <w:rPr>
          <w:rFonts w:ascii="Times New Roman" w:hAnsi="Times New Roman" w:eastAsia="仿宋_GB2312" w:cs="Times New Roman"/>
          <w:color w:val="000000"/>
          <w:sz w:val="32"/>
          <w:lang w:bidi="ar"/>
        </w:rPr>
        <w:t>.3%。</w:t>
      </w:r>
    </w:p>
    <w:p w14:paraId="6131F901">
      <w:pPr>
        <w:widowControl/>
        <w:overflowPunct w:val="0"/>
        <w:adjustRightInd w:val="0"/>
        <w:snapToGrid w:val="0"/>
        <w:spacing w:line="600" w:lineRule="exact"/>
        <w:ind w:firstLine="643" w:firstLineChars="200"/>
        <w:rPr>
          <w:rFonts w:ascii="Times New Roman" w:hAnsi="Times New Roman" w:eastAsia="仿宋_GB2312" w:cs="Times New Roman"/>
          <w:color w:val="000000"/>
          <w:sz w:val="32"/>
          <w:szCs w:val="32"/>
        </w:rPr>
      </w:pPr>
      <w:r>
        <w:rPr>
          <w:rFonts w:ascii="Times New Roman" w:hAnsi="Times New Roman" w:eastAsia="仿宋_GB2312" w:cs="Times New Roman"/>
          <w:b/>
          <w:bCs/>
          <w:color w:val="000000"/>
          <w:sz w:val="32"/>
          <w:szCs w:val="32"/>
          <w:lang w:bidi="ar"/>
        </w:rPr>
        <w:t>——国际创新生态全面优化</w:t>
      </w:r>
      <w:r>
        <w:rPr>
          <w:rFonts w:ascii="Times New Roman" w:hAnsi="Times New Roman" w:eastAsia="仿宋_GB2312" w:cs="Times New Roman"/>
          <w:b/>
          <w:bCs/>
          <w:sz w:val="32"/>
          <w:szCs w:val="32"/>
          <w:lang w:bidi="ar"/>
        </w:rPr>
        <w:t>，</w:t>
      </w:r>
      <w:r>
        <w:rPr>
          <w:rFonts w:ascii="Times New Roman" w:hAnsi="Times New Roman" w:eastAsia="仿宋_GB2312" w:cs="Times New Roman"/>
          <w:sz w:val="32"/>
          <w:szCs w:val="32"/>
          <w:lang w:bidi="ar"/>
        </w:rPr>
        <w:t>创业活力持续迸发，</w:t>
      </w:r>
      <w:r>
        <w:rPr>
          <w:rFonts w:ascii="Times New Roman" w:hAnsi="Times New Roman" w:eastAsia="仿宋_GB2312" w:cs="Times New Roman"/>
          <w:color w:val="000000"/>
          <w:sz w:val="32"/>
          <w:szCs w:val="32"/>
          <w:lang w:bidi="ar"/>
        </w:rPr>
        <w:t>宜居宜业环境不断改善，全球创新资源配置能力与开放合作水平迈上新台阶。</w:t>
      </w:r>
      <w:r>
        <w:rPr>
          <w:rFonts w:ascii="Times New Roman" w:hAnsi="Times New Roman" w:eastAsia="仿宋_GB2312" w:cs="Times New Roman"/>
          <w:color w:val="000000"/>
          <w:sz w:val="32"/>
          <w:lang w:bidi="ar"/>
        </w:rPr>
        <w:t>企业专利合作条约（PCT）国际专利申请量达到</w:t>
      </w:r>
      <w:r>
        <w:rPr>
          <w:rFonts w:hint="eastAsia" w:ascii="Times New Roman" w:hAnsi="Times New Roman" w:eastAsia="仿宋_GB2312" w:cs="Times New Roman"/>
          <w:color w:val="000000"/>
          <w:sz w:val="32"/>
          <w:lang w:bidi="ar"/>
        </w:rPr>
        <w:t>2450</w:t>
      </w:r>
      <w:r>
        <w:rPr>
          <w:rFonts w:ascii="Times New Roman" w:hAnsi="Times New Roman" w:eastAsia="仿宋_GB2312" w:cs="Times New Roman"/>
          <w:color w:val="000000"/>
          <w:sz w:val="32"/>
          <w:lang w:bidi="ar"/>
        </w:rPr>
        <w:t>件，国际科技组织总部集聚区国际科技组织数量超过20家</w:t>
      </w:r>
      <w:r>
        <w:rPr>
          <w:rFonts w:ascii="Times New Roman" w:hAnsi="Times New Roman" w:eastAsia="仿宋_GB2312" w:cs="Times New Roman"/>
          <w:color w:val="000000"/>
          <w:sz w:val="32"/>
          <w:szCs w:val="32"/>
        </w:rPr>
        <w:t>。</w:t>
      </w:r>
    </w:p>
    <w:p w14:paraId="552A8B88">
      <w:pPr>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br w:type="page"/>
      </w:r>
    </w:p>
    <w:p w14:paraId="5C37B706">
      <w:pPr>
        <w:adjustRightInd w:val="0"/>
        <w:snapToGrid w:val="0"/>
        <w:spacing w:before="156" w:beforeLines="50" w:after="156" w:afterLines="50" w:line="560" w:lineRule="exact"/>
        <w:jc w:val="center"/>
        <w:rPr>
          <w:rFonts w:hint="eastAsia" w:ascii="黑体" w:hAnsi="黑体" w:eastAsia="黑体"/>
          <w:bCs/>
          <w:color w:val="000000"/>
          <w:kern w:val="0"/>
          <w:sz w:val="28"/>
          <w:szCs w:val="28"/>
        </w:rPr>
      </w:pPr>
      <w:r>
        <w:rPr>
          <w:rFonts w:hint="eastAsia" w:ascii="黑体" w:hAnsi="黑体" w:eastAsia="黑体"/>
          <w:bCs/>
          <w:color w:val="000000"/>
          <w:kern w:val="0"/>
          <w:sz w:val="28"/>
          <w:szCs w:val="28"/>
        </w:rPr>
        <w:t>表1 中关村朝阳园“十五五”时期</w:t>
      </w:r>
      <w:r>
        <w:rPr>
          <w:rFonts w:ascii="黑体" w:hAnsi="黑体" w:eastAsia="黑体"/>
          <w:bCs/>
          <w:color w:val="000000"/>
          <w:kern w:val="0"/>
          <w:sz w:val="28"/>
          <w:szCs w:val="28"/>
        </w:rPr>
        <w:t>发展</w:t>
      </w:r>
      <w:r>
        <w:rPr>
          <w:rFonts w:hint="eastAsia" w:ascii="黑体" w:hAnsi="黑体" w:eastAsia="黑体"/>
          <w:bCs/>
          <w:color w:val="000000"/>
          <w:kern w:val="0"/>
          <w:sz w:val="28"/>
          <w:szCs w:val="28"/>
        </w:rPr>
        <w:t>预期性指标</w:t>
      </w:r>
    </w:p>
    <w:tbl>
      <w:tblPr>
        <w:tblStyle w:val="22"/>
        <w:tblW w:w="493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9"/>
        <w:gridCol w:w="785"/>
        <w:gridCol w:w="3725"/>
        <w:gridCol w:w="1652"/>
        <w:gridCol w:w="1156"/>
      </w:tblGrid>
      <w:tr w14:paraId="3B887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802" w:type="pct"/>
            <w:vAlign w:val="center"/>
          </w:tcPr>
          <w:p w14:paraId="60753A1E">
            <w:pPr>
              <w:adjustRightInd w:val="0"/>
              <w:snapToGrid w:val="0"/>
              <w:jc w:val="center"/>
              <w:rPr>
                <w:rFonts w:ascii="Times New Roman" w:hAnsi="Times New Roman" w:eastAsia="仿宋_GB2312" w:cs="Times New Roman"/>
                <w:b/>
                <w:color w:val="000000"/>
                <w:kern w:val="0"/>
                <w:sz w:val="28"/>
                <w:szCs w:val="28"/>
              </w:rPr>
            </w:pPr>
            <w:r>
              <w:rPr>
                <w:rFonts w:ascii="Times New Roman" w:hAnsi="Times New Roman" w:eastAsia="仿宋_GB2312" w:cs="Times New Roman"/>
                <w:b/>
                <w:color w:val="000000"/>
                <w:kern w:val="0"/>
                <w:sz w:val="28"/>
                <w:szCs w:val="28"/>
              </w:rPr>
              <w:t>一级指标</w:t>
            </w:r>
          </w:p>
        </w:tc>
        <w:tc>
          <w:tcPr>
            <w:tcW w:w="450" w:type="pct"/>
            <w:vAlign w:val="center"/>
          </w:tcPr>
          <w:p w14:paraId="0C43820B">
            <w:pPr>
              <w:adjustRightInd w:val="0"/>
              <w:snapToGrid w:val="0"/>
              <w:jc w:val="center"/>
              <w:rPr>
                <w:rFonts w:ascii="Times New Roman" w:hAnsi="Times New Roman" w:eastAsia="仿宋_GB2312" w:cs="Times New Roman"/>
                <w:b/>
                <w:color w:val="000000"/>
                <w:kern w:val="0"/>
                <w:sz w:val="28"/>
                <w:szCs w:val="28"/>
              </w:rPr>
            </w:pPr>
            <w:r>
              <w:rPr>
                <w:rFonts w:ascii="Times New Roman" w:hAnsi="Times New Roman" w:eastAsia="仿宋_GB2312" w:cs="Times New Roman"/>
                <w:b/>
                <w:color w:val="000000"/>
                <w:kern w:val="0"/>
                <w:sz w:val="28"/>
                <w:szCs w:val="28"/>
              </w:rPr>
              <w:t>序号</w:t>
            </w:r>
          </w:p>
        </w:tc>
        <w:tc>
          <w:tcPr>
            <w:tcW w:w="2136" w:type="pct"/>
            <w:vAlign w:val="center"/>
          </w:tcPr>
          <w:p w14:paraId="14E09E1D">
            <w:pPr>
              <w:adjustRightInd w:val="0"/>
              <w:snapToGrid w:val="0"/>
              <w:jc w:val="center"/>
              <w:rPr>
                <w:rFonts w:ascii="Times New Roman" w:hAnsi="Times New Roman" w:eastAsia="仿宋_GB2312" w:cs="Times New Roman"/>
                <w:b/>
                <w:color w:val="000000"/>
                <w:kern w:val="0"/>
                <w:sz w:val="28"/>
                <w:szCs w:val="28"/>
              </w:rPr>
            </w:pPr>
            <w:r>
              <w:rPr>
                <w:rFonts w:ascii="Times New Roman" w:hAnsi="Times New Roman" w:eastAsia="仿宋_GB2312" w:cs="Times New Roman"/>
                <w:b/>
                <w:color w:val="000000"/>
                <w:kern w:val="0"/>
                <w:sz w:val="28"/>
                <w:szCs w:val="28"/>
              </w:rPr>
              <w:t>二级指标</w:t>
            </w:r>
          </w:p>
        </w:tc>
        <w:tc>
          <w:tcPr>
            <w:tcW w:w="947" w:type="pct"/>
            <w:vAlign w:val="center"/>
          </w:tcPr>
          <w:p w14:paraId="081E8845">
            <w:pPr>
              <w:adjustRightInd w:val="0"/>
              <w:snapToGrid w:val="0"/>
              <w:jc w:val="center"/>
              <w:rPr>
                <w:rFonts w:ascii="Times New Roman" w:hAnsi="Times New Roman" w:eastAsia="仿宋_GB2312" w:cs="Times New Roman"/>
                <w:b/>
                <w:color w:val="000000"/>
                <w:kern w:val="0"/>
                <w:sz w:val="28"/>
                <w:szCs w:val="28"/>
              </w:rPr>
            </w:pPr>
            <w:r>
              <w:rPr>
                <w:rFonts w:ascii="Times New Roman" w:hAnsi="Times New Roman" w:eastAsia="仿宋_GB2312" w:cs="Times New Roman"/>
                <w:b/>
                <w:color w:val="000000"/>
                <w:kern w:val="0"/>
                <w:sz w:val="28"/>
                <w:szCs w:val="28"/>
              </w:rPr>
              <w:t>2025年</w:t>
            </w:r>
          </w:p>
          <w:p w14:paraId="165E685B">
            <w:pPr>
              <w:adjustRightInd w:val="0"/>
              <w:snapToGrid w:val="0"/>
              <w:jc w:val="center"/>
              <w:rPr>
                <w:rFonts w:ascii="Times New Roman" w:hAnsi="Times New Roman" w:eastAsia="仿宋_GB2312" w:cs="Times New Roman"/>
                <w:b/>
                <w:color w:val="000000"/>
                <w:kern w:val="0"/>
                <w:sz w:val="28"/>
                <w:szCs w:val="28"/>
              </w:rPr>
            </w:pPr>
            <w:r>
              <w:rPr>
                <w:rFonts w:ascii="Times New Roman" w:hAnsi="Times New Roman" w:eastAsia="仿宋_GB2312" w:cs="Times New Roman"/>
                <w:b/>
                <w:kern w:val="0"/>
                <w:sz w:val="28"/>
                <w:szCs w:val="28"/>
              </w:rPr>
              <w:t>基期值</w:t>
            </w:r>
          </w:p>
        </w:tc>
        <w:tc>
          <w:tcPr>
            <w:tcW w:w="663" w:type="pct"/>
            <w:vAlign w:val="center"/>
          </w:tcPr>
          <w:p w14:paraId="3ED621C2">
            <w:pPr>
              <w:adjustRightInd w:val="0"/>
              <w:snapToGrid w:val="0"/>
              <w:jc w:val="center"/>
              <w:rPr>
                <w:rFonts w:ascii="Times New Roman" w:hAnsi="Times New Roman" w:eastAsia="仿宋_GB2312" w:cs="Times New Roman"/>
                <w:b/>
                <w:color w:val="000000"/>
                <w:kern w:val="0"/>
                <w:sz w:val="28"/>
                <w:szCs w:val="28"/>
              </w:rPr>
            </w:pPr>
            <w:r>
              <w:rPr>
                <w:rFonts w:ascii="Times New Roman" w:hAnsi="Times New Roman" w:eastAsia="仿宋_GB2312" w:cs="Times New Roman"/>
                <w:b/>
                <w:color w:val="000000"/>
                <w:kern w:val="0"/>
                <w:sz w:val="28"/>
                <w:szCs w:val="28"/>
              </w:rPr>
              <w:t>2030年</w:t>
            </w:r>
          </w:p>
          <w:p w14:paraId="37D9D9E2">
            <w:pPr>
              <w:adjustRightInd w:val="0"/>
              <w:snapToGrid w:val="0"/>
              <w:jc w:val="center"/>
              <w:rPr>
                <w:rFonts w:ascii="Times New Roman" w:hAnsi="Times New Roman" w:eastAsia="仿宋_GB2312" w:cs="Times New Roman"/>
                <w:b/>
                <w:color w:val="000000"/>
                <w:kern w:val="0"/>
                <w:sz w:val="28"/>
                <w:szCs w:val="28"/>
              </w:rPr>
            </w:pPr>
            <w:r>
              <w:rPr>
                <w:rFonts w:hint="eastAsia" w:ascii="Times New Roman" w:hAnsi="Times New Roman" w:eastAsia="仿宋_GB2312" w:cs="Times New Roman"/>
                <w:b/>
                <w:color w:val="000000"/>
                <w:kern w:val="0"/>
                <w:sz w:val="28"/>
                <w:szCs w:val="28"/>
              </w:rPr>
              <w:t>目标值</w:t>
            </w:r>
          </w:p>
        </w:tc>
      </w:tr>
      <w:tr w14:paraId="262C5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02" w:type="pct"/>
            <w:vAlign w:val="center"/>
          </w:tcPr>
          <w:p w14:paraId="7CF354FE">
            <w:pPr>
              <w:adjustRightInd w:val="0"/>
              <w:snapToGrid w:val="0"/>
              <w:jc w:val="center"/>
              <w:rPr>
                <w:rFonts w:ascii="Times New Roman" w:hAnsi="Times New Roman" w:eastAsia="仿宋_GB2312" w:cs="Times New Roman"/>
                <w:bCs/>
                <w:color w:val="000000"/>
                <w:kern w:val="0"/>
                <w:sz w:val="28"/>
                <w:szCs w:val="28"/>
              </w:rPr>
            </w:pPr>
            <w:r>
              <w:rPr>
                <w:rFonts w:ascii="Times New Roman" w:hAnsi="Times New Roman" w:eastAsia="仿宋_GB2312" w:cs="Times New Roman"/>
                <w:color w:val="000000"/>
                <w:kern w:val="0"/>
                <w:sz w:val="28"/>
                <w:szCs w:val="28"/>
              </w:rPr>
              <w:t>园区发展</w:t>
            </w:r>
          </w:p>
        </w:tc>
        <w:tc>
          <w:tcPr>
            <w:tcW w:w="450" w:type="pct"/>
            <w:vAlign w:val="center"/>
          </w:tcPr>
          <w:p w14:paraId="1E10886A">
            <w:pPr>
              <w:adjustRightInd w:val="0"/>
              <w:snapToGrid w:val="0"/>
              <w:jc w:val="center"/>
              <w:rPr>
                <w:rFonts w:ascii="Times New Roman" w:hAnsi="Times New Roman" w:eastAsia="仿宋_GB2312" w:cs="Times New Roman"/>
                <w:bCs/>
                <w:color w:val="000000"/>
                <w:kern w:val="0"/>
                <w:sz w:val="28"/>
                <w:szCs w:val="28"/>
              </w:rPr>
            </w:pPr>
            <w:r>
              <w:rPr>
                <w:rFonts w:ascii="Times New Roman" w:hAnsi="Times New Roman" w:eastAsia="仿宋_GB2312" w:cs="Times New Roman"/>
                <w:bCs/>
                <w:color w:val="000000"/>
                <w:kern w:val="0"/>
                <w:sz w:val="28"/>
                <w:szCs w:val="28"/>
              </w:rPr>
              <w:t>1</w:t>
            </w:r>
          </w:p>
        </w:tc>
        <w:tc>
          <w:tcPr>
            <w:tcW w:w="2136" w:type="pct"/>
            <w:vAlign w:val="center"/>
          </w:tcPr>
          <w:p w14:paraId="7B4E12F6">
            <w:pPr>
              <w:adjustRightInd w:val="0"/>
              <w:snapToGrid w:val="0"/>
              <w:rPr>
                <w:rFonts w:ascii="Times New Roman" w:hAnsi="Times New Roman" w:eastAsia="仿宋_GB2312" w:cs="Times New Roman"/>
                <w:color w:val="000000"/>
                <w:kern w:val="0"/>
                <w:sz w:val="28"/>
                <w:szCs w:val="28"/>
              </w:rPr>
            </w:pPr>
            <w:r>
              <w:rPr>
                <w:rFonts w:ascii="Times New Roman" w:hAnsi="Times New Roman" w:eastAsia="仿宋_GB2312" w:cs="Times New Roman"/>
                <w:color w:val="000000"/>
                <w:kern w:val="0"/>
                <w:sz w:val="28"/>
                <w:szCs w:val="28"/>
              </w:rPr>
              <w:t>园区总收入年均增速（</w:t>
            </w:r>
            <w:r>
              <w:rPr>
                <w:rFonts w:ascii="Times New Roman" w:hAnsi="Times New Roman" w:eastAsia="仿宋_GB2312" w:cs="Times New Roman"/>
                <w:bCs/>
                <w:color w:val="000000"/>
                <w:kern w:val="0"/>
                <w:sz w:val="28"/>
                <w:szCs w:val="28"/>
              </w:rPr>
              <w:t>%</w:t>
            </w:r>
            <w:r>
              <w:rPr>
                <w:rFonts w:ascii="Times New Roman" w:hAnsi="Times New Roman" w:eastAsia="仿宋_GB2312" w:cs="Times New Roman"/>
                <w:color w:val="000000"/>
                <w:kern w:val="0"/>
                <w:sz w:val="28"/>
                <w:szCs w:val="28"/>
              </w:rPr>
              <w:t>）</w:t>
            </w:r>
          </w:p>
        </w:tc>
        <w:tc>
          <w:tcPr>
            <w:tcW w:w="947" w:type="pct"/>
            <w:vAlign w:val="center"/>
          </w:tcPr>
          <w:p w14:paraId="7D3A5A01">
            <w:pPr>
              <w:adjustRightInd w:val="0"/>
              <w:snapToGrid w:val="0"/>
              <w:jc w:val="center"/>
              <w:rPr>
                <w:rFonts w:ascii="Times New Roman" w:hAnsi="Times New Roman" w:eastAsia="仿宋_GB2312" w:cs="Times New Roman"/>
                <w:bCs/>
                <w:color w:val="000000"/>
                <w:kern w:val="0"/>
                <w:sz w:val="28"/>
                <w:szCs w:val="28"/>
                <w:lang w:bidi="ar"/>
              </w:rPr>
            </w:pPr>
            <w:r>
              <w:rPr>
                <w:rFonts w:ascii="Times New Roman" w:hAnsi="Times New Roman" w:eastAsia="仿宋_GB2312" w:cs="Times New Roman"/>
                <w:bCs/>
                <w:color w:val="000000"/>
                <w:kern w:val="0"/>
                <w:sz w:val="28"/>
                <w:szCs w:val="28"/>
                <w:lang w:bidi="ar"/>
              </w:rPr>
              <w:t>8.9</w:t>
            </w:r>
          </w:p>
          <w:p w14:paraId="429BD545">
            <w:pPr>
              <w:adjustRightInd w:val="0"/>
              <w:snapToGrid w:val="0"/>
              <w:jc w:val="center"/>
              <w:rPr>
                <w:rFonts w:ascii="Times New Roman" w:hAnsi="Times New Roman" w:eastAsia="仿宋_GB2312" w:cs="Times New Roman"/>
                <w:bCs/>
                <w:color w:val="000000"/>
                <w:kern w:val="0"/>
                <w:sz w:val="28"/>
                <w:szCs w:val="28"/>
                <w:lang w:bidi="ar"/>
              </w:rPr>
            </w:pPr>
            <w:r>
              <w:rPr>
                <w:rFonts w:ascii="Times New Roman" w:hAnsi="Times New Roman" w:eastAsia="仿宋_GB2312" w:cs="Times New Roman"/>
                <w:bCs/>
                <w:color w:val="000000"/>
                <w:kern w:val="0"/>
                <w:sz w:val="28"/>
                <w:szCs w:val="28"/>
                <w:lang w:bidi="ar"/>
              </w:rPr>
              <w:t>（1-11月）</w:t>
            </w:r>
          </w:p>
        </w:tc>
        <w:tc>
          <w:tcPr>
            <w:tcW w:w="663" w:type="pct"/>
            <w:vAlign w:val="center"/>
          </w:tcPr>
          <w:p w14:paraId="6F518A1C">
            <w:pPr>
              <w:adjustRightInd w:val="0"/>
              <w:snapToGrid w:val="0"/>
              <w:jc w:val="center"/>
              <w:rPr>
                <w:rFonts w:ascii="Times New Roman" w:hAnsi="Times New Roman" w:eastAsia="仿宋_GB2312" w:cs="Times New Roman"/>
                <w:bCs/>
                <w:color w:val="000000"/>
                <w:kern w:val="0"/>
                <w:sz w:val="28"/>
                <w:szCs w:val="28"/>
              </w:rPr>
            </w:pPr>
            <w:r>
              <w:rPr>
                <w:rFonts w:ascii="Times New Roman" w:hAnsi="Times New Roman" w:eastAsia="仿宋_GB2312" w:cs="Times New Roman"/>
                <w:bCs/>
                <w:color w:val="000000"/>
                <w:kern w:val="0"/>
                <w:sz w:val="28"/>
                <w:szCs w:val="28"/>
                <w:lang w:bidi="ar"/>
              </w:rPr>
              <w:t>6</w:t>
            </w:r>
          </w:p>
        </w:tc>
      </w:tr>
      <w:tr w14:paraId="25876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802" w:type="pct"/>
            <w:vMerge w:val="restart"/>
            <w:vAlign w:val="center"/>
          </w:tcPr>
          <w:p w14:paraId="0D155F8E">
            <w:pPr>
              <w:adjustRightInd w:val="0"/>
              <w:snapToGrid w:val="0"/>
              <w:jc w:val="center"/>
              <w:rPr>
                <w:rFonts w:ascii="Times New Roman" w:hAnsi="Times New Roman" w:eastAsia="仿宋_GB2312" w:cs="Times New Roman"/>
                <w:bCs/>
                <w:color w:val="000000"/>
                <w:kern w:val="0"/>
                <w:sz w:val="28"/>
                <w:szCs w:val="28"/>
              </w:rPr>
            </w:pPr>
            <w:r>
              <w:rPr>
                <w:rFonts w:ascii="Times New Roman" w:hAnsi="Times New Roman" w:eastAsia="仿宋_GB2312" w:cs="Times New Roman"/>
                <w:bCs/>
                <w:color w:val="000000"/>
                <w:kern w:val="0"/>
                <w:sz w:val="28"/>
                <w:szCs w:val="28"/>
              </w:rPr>
              <w:t>创新能力</w:t>
            </w:r>
          </w:p>
        </w:tc>
        <w:tc>
          <w:tcPr>
            <w:tcW w:w="450" w:type="pct"/>
            <w:vAlign w:val="center"/>
          </w:tcPr>
          <w:p w14:paraId="07FF7FCA">
            <w:pPr>
              <w:adjustRightInd w:val="0"/>
              <w:snapToGrid w:val="0"/>
              <w:jc w:val="center"/>
              <w:rPr>
                <w:rFonts w:ascii="Times New Roman" w:hAnsi="Times New Roman" w:eastAsia="仿宋_GB2312" w:cs="Times New Roman"/>
                <w:bCs/>
                <w:color w:val="000000"/>
                <w:kern w:val="0"/>
                <w:sz w:val="28"/>
                <w:szCs w:val="28"/>
              </w:rPr>
            </w:pPr>
            <w:r>
              <w:rPr>
                <w:rFonts w:ascii="Times New Roman" w:hAnsi="Times New Roman" w:eastAsia="仿宋_GB2312" w:cs="Times New Roman"/>
                <w:bCs/>
                <w:color w:val="000000"/>
                <w:kern w:val="0"/>
                <w:sz w:val="28"/>
                <w:szCs w:val="28"/>
              </w:rPr>
              <w:t>2</w:t>
            </w:r>
          </w:p>
        </w:tc>
        <w:tc>
          <w:tcPr>
            <w:tcW w:w="2136" w:type="pct"/>
            <w:vAlign w:val="center"/>
          </w:tcPr>
          <w:p w14:paraId="6FD61A82">
            <w:pPr>
              <w:adjustRightInd w:val="0"/>
              <w:snapToGrid w:val="0"/>
              <w:rPr>
                <w:rFonts w:ascii="Times New Roman" w:hAnsi="Times New Roman" w:eastAsia="仿宋_GB2312" w:cs="Times New Roman"/>
                <w:bCs/>
                <w:color w:val="000000"/>
                <w:kern w:val="0"/>
                <w:sz w:val="28"/>
                <w:szCs w:val="28"/>
              </w:rPr>
            </w:pPr>
            <w:r>
              <w:rPr>
                <w:rFonts w:ascii="Times New Roman" w:hAnsi="Times New Roman" w:eastAsia="仿宋_GB2312" w:cs="Times New Roman"/>
                <w:bCs/>
                <w:color w:val="000000"/>
                <w:kern w:val="0"/>
                <w:sz w:val="28"/>
                <w:szCs w:val="28"/>
              </w:rPr>
              <w:t>技术收入占总收入比重（%）</w:t>
            </w:r>
          </w:p>
        </w:tc>
        <w:tc>
          <w:tcPr>
            <w:tcW w:w="947" w:type="pct"/>
            <w:tcBorders>
              <w:bottom w:val="single" w:color="000000" w:sz="4" w:space="0"/>
            </w:tcBorders>
            <w:vAlign w:val="center"/>
          </w:tcPr>
          <w:p w14:paraId="03C3DAED">
            <w:pPr>
              <w:adjustRightInd w:val="0"/>
              <w:snapToGrid w:val="0"/>
              <w:jc w:val="center"/>
              <w:rPr>
                <w:rFonts w:ascii="Times New Roman" w:hAnsi="Times New Roman" w:eastAsia="仿宋_GB2312" w:cs="Times New Roman"/>
                <w:bCs/>
                <w:color w:val="000000"/>
                <w:kern w:val="0"/>
                <w:sz w:val="28"/>
                <w:szCs w:val="28"/>
                <w:lang w:bidi="ar"/>
              </w:rPr>
            </w:pPr>
            <w:r>
              <w:rPr>
                <w:rFonts w:ascii="Times New Roman" w:hAnsi="Times New Roman" w:eastAsia="仿宋_GB2312" w:cs="Times New Roman"/>
                <w:bCs/>
                <w:color w:val="000000"/>
                <w:kern w:val="0"/>
                <w:sz w:val="28"/>
                <w:szCs w:val="28"/>
                <w:lang w:bidi="ar"/>
              </w:rPr>
              <w:t>36.2</w:t>
            </w:r>
          </w:p>
          <w:p w14:paraId="0BB26694">
            <w:pPr>
              <w:adjustRightInd w:val="0"/>
              <w:snapToGrid w:val="0"/>
              <w:jc w:val="center"/>
              <w:rPr>
                <w:rFonts w:ascii="Times New Roman" w:hAnsi="Times New Roman" w:eastAsia="仿宋_GB2312" w:cs="Times New Roman"/>
                <w:bCs/>
                <w:color w:val="000000"/>
                <w:kern w:val="0"/>
                <w:sz w:val="28"/>
                <w:szCs w:val="28"/>
                <w:lang w:bidi="ar"/>
              </w:rPr>
            </w:pPr>
            <w:r>
              <w:rPr>
                <w:rFonts w:ascii="Times New Roman" w:hAnsi="Times New Roman" w:eastAsia="仿宋_GB2312" w:cs="Times New Roman"/>
                <w:bCs/>
                <w:color w:val="000000"/>
                <w:kern w:val="0"/>
                <w:sz w:val="28"/>
                <w:szCs w:val="28"/>
                <w:lang w:bidi="ar"/>
              </w:rPr>
              <w:t>（1-11月）</w:t>
            </w:r>
          </w:p>
        </w:tc>
        <w:tc>
          <w:tcPr>
            <w:tcW w:w="663" w:type="pct"/>
            <w:tcBorders>
              <w:bottom w:val="single" w:color="000000" w:sz="4" w:space="0"/>
            </w:tcBorders>
            <w:vAlign w:val="center"/>
          </w:tcPr>
          <w:p w14:paraId="5616033F">
            <w:pPr>
              <w:adjustRightInd w:val="0"/>
              <w:snapToGrid w:val="0"/>
              <w:jc w:val="center"/>
              <w:rPr>
                <w:rFonts w:ascii="Times New Roman" w:hAnsi="Times New Roman" w:eastAsia="仿宋_GB2312" w:cs="Times New Roman"/>
                <w:bCs/>
                <w:color w:val="000000"/>
                <w:kern w:val="0"/>
                <w:sz w:val="28"/>
                <w:szCs w:val="28"/>
              </w:rPr>
            </w:pPr>
            <w:r>
              <w:rPr>
                <w:rFonts w:ascii="Times New Roman" w:hAnsi="Times New Roman" w:eastAsia="仿宋_GB2312" w:cs="Times New Roman"/>
                <w:bCs/>
                <w:color w:val="000000"/>
                <w:kern w:val="0"/>
                <w:sz w:val="28"/>
                <w:szCs w:val="28"/>
                <w:lang w:bidi="ar"/>
              </w:rPr>
              <w:t>37</w:t>
            </w:r>
          </w:p>
        </w:tc>
      </w:tr>
      <w:tr w14:paraId="196AA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02" w:type="pct"/>
            <w:vMerge w:val="continue"/>
            <w:vAlign w:val="center"/>
          </w:tcPr>
          <w:p w14:paraId="57609B5C">
            <w:pPr>
              <w:adjustRightInd w:val="0"/>
              <w:snapToGrid w:val="0"/>
              <w:jc w:val="center"/>
              <w:rPr>
                <w:rFonts w:ascii="Times New Roman" w:hAnsi="Times New Roman" w:eastAsia="仿宋_GB2312" w:cs="Times New Roman"/>
                <w:bCs/>
                <w:color w:val="000000"/>
                <w:kern w:val="0"/>
                <w:sz w:val="28"/>
                <w:szCs w:val="28"/>
              </w:rPr>
            </w:pPr>
          </w:p>
        </w:tc>
        <w:tc>
          <w:tcPr>
            <w:tcW w:w="450" w:type="pct"/>
            <w:tcBorders>
              <w:right w:val="single" w:color="000000" w:sz="4" w:space="0"/>
            </w:tcBorders>
            <w:vAlign w:val="center"/>
          </w:tcPr>
          <w:p w14:paraId="3034FDF3">
            <w:pPr>
              <w:adjustRightInd w:val="0"/>
              <w:snapToGrid w:val="0"/>
              <w:jc w:val="center"/>
              <w:rPr>
                <w:rFonts w:ascii="Times New Roman" w:hAnsi="Times New Roman" w:eastAsia="仿宋_GB2312" w:cs="Times New Roman"/>
                <w:bCs/>
                <w:color w:val="000000"/>
                <w:kern w:val="0"/>
                <w:sz w:val="28"/>
                <w:szCs w:val="28"/>
              </w:rPr>
            </w:pPr>
            <w:r>
              <w:rPr>
                <w:rFonts w:ascii="Times New Roman" w:hAnsi="Times New Roman" w:eastAsia="仿宋_GB2312" w:cs="Times New Roman"/>
                <w:bCs/>
                <w:color w:val="000000"/>
                <w:kern w:val="0"/>
                <w:sz w:val="28"/>
                <w:szCs w:val="28"/>
              </w:rPr>
              <w:t>3</w:t>
            </w:r>
          </w:p>
        </w:tc>
        <w:tc>
          <w:tcPr>
            <w:tcW w:w="2136" w:type="pct"/>
            <w:tcBorders>
              <w:top w:val="single" w:color="000000" w:sz="4" w:space="0"/>
              <w:left w:val="single" w:color="000000" w:sz="4" w:space="0"/>
              <w:bottom w:val="single" w:color="000000" w:sz="4" w:space="0"/>
              <w:right w:val="single" w:color="000000" w:sz="4" w:space="0"/>
            </w:tcBorders>
            <w:vAlign w:val="center"/>
          </w:tcPr>
          <w:p w14:paraId="7BFF31D5">
            <w:pPr>
              <w:adjustRightInd w:val="0"/>
              <w:snapToGrid w:val="0"/>
              <w:rPr>
                <w:rFonts w:ascii="Times New Roman" w:hAnsi="Times New Roman" w:eastAsia="仿宋_GB2312" w:cs="Times New Roman"/>
                <w:bCs/>
                <w:color w:val="000000"/>
                <w:kern w:val="0"/>
                <w:sz w:val="28"/>
                <w:szCs w:val="28"/>
              </w:rPr>
            </w:pPr>
            <w:r>
              <w:rPr>
                <w:rFonts w:ascii="Times New Roman" w:hAnsi="Times New Roman" w:eastAsia="仿宋_GB2312" w:cs="Times New Roman"/>
                <w:bCs/>
                <w:color w:val="000000"/>
                <w:kern w:val="0"/>
                <w:sz w:val="28"/>
                <w:szCs w:val="28"/>
              </w:rPr>
              <w:t>研发投入强度（%）</w:t>
            </w:r>
          </w:p>
        </w:tc>
        <w:tc>
          <w:tcPr>
            <w:tcW w:w="947" w:type="pct"/>
            <w:tcBorders>
              <w:top w:val="single" w:color="000000" w:sz="4" w:space="0"/>
              <w:left w:val="single" w:color="000000" w:sz="4" w:space="0"/>
              <w:bottom w:val="single" w:color="000000" w:sz="4" w:space="0"/>
              <w:right w:val="single" w:color="000000" w:sz="4" w:space="0"/>
            </w:tcBorders>
            <w:vAlign w:val="center"/>
          </w:tcPr>
          <w:p w14:paraId="0827C16D">
            <w:pPr>
              <w:adjustRightInd w:val="0"/>
              <w:snapToGrid w:val="0"/>
              <w:jc w:val="center"/>
              <w:rPr>
                <w:rFonts w:ascii="Times New Roman" w:hAnsi="Times New Roman" w:eastAsia="仿宋_GB2312" w:cs="Times New Roman"/>
                <w:bCs/>
                <w:color w:val="000000"/>
                <w:kern w:val="0"/>
                <w:sz w:val="28"/>
                <w:szCs w:val="28"/>
                <w:lang w:bidi="ar"/>
              </w:rPr>
            </w:pPr>
            <w:r>
              <w:rPr>
                <w:rFonts w:ascii="Times New Roman" w:hAnsi="Times New Roman" w:eastAsia="仿宋_GB2312" w:cs="Times New Roman"/>
                <w:bCs/>
                <w:color w:val="000000"/>
                <w:kern w:val="0"/>
                <w:sz w:val="28"/>
                <w:szCs w:val="28"/>
                <w:lang w:bidi="ar"/>
              </w:rPr>
              <w:t>6.</w:t>
            </w:r>
            <w:r>
              <w:rPr>
                <w:rFonts w:hint="eastAsia" w:ascii="Times New Roman" w:hAnsi="Times New Roman" w:eastAsia="仿宋_GB2312" w:cs="Times New Roman"/>
                <w:bCs/>
                <w:color w:val="000000"/>
                <w:kern w:val="0"/>
                <w:sz w:val="28"/>
                <w:szCs w:val="28"/>
                <w:lang w:bidi="ar"/>
              </w:rPr>
              <w:t>8</w:t>
            </w:r>
          </w:p>
          <w:p w14:paraId="78342E9D">
            <w:pPr>
              <w:adjustRightInd w:val="0"/>
              <w:snapToGrid w:val="0"/>
              <w:jc w:val="center"/>
              <w:rPr>
                <w:rFonts w:ascii="Times New Roman" w:hAnsi="Times New Roman" w:eastAsia="仿宋_GB2312" w:cs="Times New Roman"/>
                <w:bCs/>
                <w:color w:val="000000"/>
                <w:kern w:val="0"/>
                <w:sz w:val="28"/>
                <w:szCs w:val="28"/>
                <w:lang w:bidi="ar"/>
              </w:rPr>
            </w:pPr>
            <w:r>
              <w:rPr>
                <w:rFonts w:ascii="Times New Roman" w:hAnsi="Times New Roman" w:eastAsia="仿宋_GB2312" w:cs="Times New Roman"/>
                <w:bCs/>
                <w:color w:val="000000"/>
                <w:kern w:val="0"/>
                <w:sz w:val="28"/>
                <w:szCs w:val="28"/>
                <w:lang w:bidi="ar"/>
              </w:rPr>
              <w:t>（1-11月）</w:t>
            </w:r>
          </w:p>
        </w:tc>
        <w:tc>
          <w:tcPr>
            <w:tcW w:w="663" w:type="pct"/>
            <w:tcBorders>
              <w:top w:val="single" w:color="000000" w:sz="4" w:space="0"/>
              <w:left w:val="single" w:color="000000" w:sz="4" w:space="0"/>
              <w:bottom w:val="single" w:color="000000" w:sz="4" w:space="0"/>
              <w:right w:val="single" w:color="000000" w:sz="4" w:space="0"/>
            </w:tcBorders>
            <w:vAlign w:val="center"/>
          </w:tcPr>
          <w:p w14:paraId="04ED29D6">
            <w:pPr>
              <w:adjustRightInd w:val="0"/>
              <w:snapToGrid w:val="0"/>
              <w:jc w:val="center"/>
              <w:rPr>
                <w:rFonts w:ascii="Times New Roman" w:hAnsi="Times New Roman" w:eastAsia="仿宋_GB2312" w:cs="Times New Roman"/>
                <w:bCs/>
                <w:color w:val="000000"/>
                <w:kern w:val="0"/>
                <w:sz w:val="28"/>
                <w:szCs w:val="28"/>
              </w:rPr>
            </w:pPr>
            <w:r>
              <w:rPr>
                <w:rFonts w:ascii="Times New Roman" w:hAnsi="Times New Roman" w:eastAsia="仿宋_GB2312" w:cs="Times New Roman"/>
                <w:bCs/>
                <w:color w:val="000000"/>
                <w:kern w:val="0"/>
                <w:sz w:val="28"/>
                <w:szCs w:val="28"/>
                <w:lang w:bidi="ar"/>
              </w:rPr>
              <w:t>6.5</w:t>
            </w:r>
          </w:p>
        </w:tc>
      </w:tr>
      <w:tr w14:paraId="69F01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02" w:type="pct"/>
            <w:vMerge w:val="continue"/>
            <w:vAlign w:val="center"/>
          </w:tcPr>
          <w:p w14:paraId="2A958917">
            <w:pPr>
              <w:adjustRightInd w:val="0"/>
              <w:snapToGrid w:val="0"/>
              <w:jc w:val="center"/>
              <w:rPr>
                <w:rFonts w:ascii="Times New Roman" w:hAnsi="Times New Roman" w:eastAsia="仿宋_GB2312" w:cs="Times New Roman"/>
                <w:bCs/>
                <w:color w:val="000000"/>
                <w:kern w:val="0"/>
                <w:sz w:val="28"/>
                <w:szCs w:val="28"/>
              </w:rPr>
            </w:pPr>
          </w:p>
        </w:tc>
        <w:tc>
          <w:tcPr>
            <w:tcW w:w="450" w:type="pct"/>
            <w:tcBorders>
              <w:right w:val="single" w:color="000000" w:sz="4" w:space="0"/>
            </w:tcBorders>
            <w:vAlign w:val="center"/>
          </w:tcPr>
          <w:p w14:paraId="45B8F146">
            <w:pPr>
              <w:adjustRightInd w:val="0"/>
              <w:snapToGrid w:val="0"/>
              <w:jc w:val="center"/>
              <w:rPr>
                <w:rFonts w:ascii="Times New Roman" w:hAnsi="Times New Roman" w:eastAsia="仿宋_GB2312" w:cs="Times New Roman"/>
                <w:bCs/>
                <w:color w:val="000000"/>
                <w:kern w:val="0"/>
                <w:sz w:val="28"/>
                <w:szCs w:val="28"/>
              </w:rPr>
            </w:pPr>
            <w:r>
              <w:rPr>
                <w:rFonts w:ascii="Times New Roman" w:hAnsi="Times New Roman" w:eastAsia="仿宋_GB2312" w:cs="Times New Roman"/>
                <w:bCs/>
                <w:color w:val="000000"/>
                <w:kern w:val="0"/>
                <w:sz w:val="28"/>
                <w:szCs w:val="28"/>
              </w:rPr>
              <w:t>4</w:t>
            </w:r>
          </w:p>
        </w:tc>
        <w:tc>
          <w:tcPr>
            <w:tcW w:w="2136" w:type="pct"/>
            <w:tcBorders>
              <w:top w:val="single" w:color="000000" w:sz="4" w:space="0"/>
              <w:left w:val="single" w:color="000000" w:sz="4" w:space="0"/>
              <w:bottom w:val="single" w:color="000000" w:sz="4" w:space="0"/>
              <w:right w:val="single" w:color="000000" w:sz="4" w:space="0"/>
            </w:tcBorders>
            <w:vAlign w:val="center"/>
          </w:tcPr>
          <w:p w14:paraId="630CF3ED">
            <w:pPr>
              <w:adjustRightInd w:val="0"/>
              <w:snapToGrid w:val="0"/>
              <w:rPr>
                <w:rFonts w:ascii="Times New Roman" w:hAnsi="Times New Roman" w:eastAsia="仿宋_GB2312" w:cs="Times New Roman"/>
                <w:bCs/>
                <w:color w:val="000000"/>
                <w:kern w:val="0"/>
                <w:sz w:val="28"/>
                <w:szCs w:val="28"/>
              </w:rPr>
            </w:pPr>
            <w:r>
              <w:rPr>
                <w:rFonts w:ascii="Times New Roman" w:hAnsi="Times New Roman" w:eastAsia="仿宋_GB2312" w:cs="Times New Roman"/>
                <w:bCs/>
                <w:color w:val="000000"/>
                <w:kern w:val="0"/>
                <w:sz w:val="28"/>
                <w:szCs w:val="28"/>
              </w:rPr>
              <w:t>每万名从业人员发明专利拥有量（件）</w:t>
            </w:r>
          </w:p>
        </w:tc>
        <w:tc>
          <w:tcPr>
            <w:tcW w:w="947" w:type="pct"/>
            <w:tcBorders>
              <w:top w:val="single" w:color="000000" w:sz="4" w:space="0"/>
              <w:left w:val="single" w:color="000000" w:sz="4" w:space="0"/>
              <w:bottom w:val="single" w:color="000000" w:sz="4" w:space="0"/>
              <w:right w:val="single" w:color="000000" w:sz="4" w:space="0"/>
            </w:tcBorders>
            <w:vAlign w:val="center"/>
          </w:tcPr>
          <w:p w14:paraId="02F6C1B7">
            <w:pPr>
              <w:adjustRightInd w:val="0"/>
              <w:snapToGrid w:val="0"/>
              <w:jc w:val="center"/>
              <w:rPr>
                <w:rFonts w:ascii="Times New Roman" w:hAnsi="Times New Roman" w:eastAsia="仿宋_GB2312" w:cs="Times New Roman"/>
                <w:bCs/>
                <w:color w:val="000000"/>
                <w:kern w:val="0"/>
                <w:sz w:val="28"/>
                <w:szCs w:val="28"/>
                <w:lang w:bidi="ar"/>
              </w:rPr>
            </w:pPr>
            <w:r>
              <w:rPr>
                <w:rFonts w:ascii="Times New Roman" w:hAnsi="Times New Roman" w:eastAsia="仿宋_GB2312" w:cs="Times New Roman"/>
                <w:kern w:val="0"/>
                <w:sz w:val="28"/>
                <w:szCs w:val="28"/>
              </w:rPr>
              <w:t>1350</w:t>
            </w:r>
          </w:p>
        </w:tc>
        <w:tc>
          <w:tcPr>
            <w:tcW w:w="663" w:type="pct"/>
            <w:tcBorders>
              <w:top w:val="single" w:color="000000" w:sz="4" w:space="0"/>
              <w:left w:val="single" w:color="000000" w:sz="4" w:space="0"/>
              <w:bottom w:val="single" w:color="000000" w:sz="4" w:space="0"/>
              <w:right w:val="single" w:color="000000" w:sz="4" w:space="0"/>
            </w:tcBorders>
            <w:vAlign w:val="center"/>
          </w:tcPr>
          <w:p w14:paraId="4F722B33">
            <w:pPr>
              <w:adjustRightInd w:val="0"/>
              <w:snapToGrid w:val="0"/>
              <w:jc w:val="center"/>
              <w:rPr>
                <w:rFonts w:ascii="Times New Roman" w:hAnsi="Times New Roman" w:eastAsia="仿宋_GB2312" w:cs="Times New Roman"/>
                <w:bCs/>
                <w:color w:val="000000"/>
                <w:kern w:val="0"/>
                <w:sz w:val="28"/>
                <w:szCs w:val="28"/>
              </w:rPr>
            </w:pPr>
            <w:r>
              <w:rPr>
                <w:rFonts w:ascii="Times New Roman" w:hAnsi="Times New Roman" w:eastAsia="仿宋_GB2312" w:cs="Times New Roman"/>
                <w:bCs/>
                <w:color w:val="000000"/>
                <w:kern w:val="0"/>
                <w:sz w:val="28"/>
                <w:szCs w:val="28"/>
                <w:lang w:bidi="ar"/>
              </w:rPr>
              <w:t>1600</w:t>
            </w:r>
          </w:p>
        </w:tc>
      </w:tr>
      <w:tr w14:paraId="2BBDE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02" w:type="pct"/>
            <w:vMerge w:val="restart"/>
            <w:vAlign w:val="center"/>
          </w:tcPr>
          <w:p w14:paraId="3A225927">
            <w:pPr>
              <w:adjustRightInd w:val="0"/>
              <w:snapToGrid w:val="0"/>
              <w:jc w:val="center"/>
              <w:rPr>
                <w:rFonts w:ascii="Times New Roman" w:hAnsi="Times New Roman" w:eastAsia="仿宋_GB2312" w:cs="Times New Roman"/>
                <w:color w:val="000000"/>
                <w:kern w:val="0"/>
                <w:sz w:val="28"/>
                <w:szCs w:val="28"/>
              </w:rPr>
            </w:pPr>
            <w:r>
              <w:rPr>
                <w:rFonts w:ascii="Times New Roman" w:hAnsi="Times New Roman" w:eastAsia="仿宋_GB2312" w:cs="Times New Roman"/>
                <w:color w:val="000000"/>
                <w:kern w:val="0"/>
                <w:sz w:val="28"/>
                <w:szCs w:val="28"/>
              </w:rPr>
              <w:t>创新主体</w:t>
            </w:r>
          </w:p>
        </w:tc>
        <w:tc>
          <w:tcPr>
            <w:tcW w:w="450" w:type="pct"/>
            <w:vAlign w:val="center"/>
          </w:tcPr>
          <w:p w14:paraId="52C30CA0">
            <w:pPr>
              <w:adjustRightInd w:val="0"/>
              <w:snapToGrid w:val="0"/>
              <w:jc w:val="center"/>
              <w:rPr>
                <w:rFonts w:ascii="Times New Roman" w:hAnsi="Times New Roman" w:eastAsia="仿宋_GB2312" w:cs="Times New Roman"/>
                <w:color w:val="000000"/>
                <w:kern w:val="0"/>
                <w:sz w:val="28"/>
                <w:szCs w:val="28"/>
              </w:rPr>
            </w:pPr>
            <w:r>
              <w:rPr>
                <w:rFonts w:ascii="Times New Roman" w:hAnsi="Times New Roman" w:eastAsia="仿宋_GB2312" w:cs="Times New Roman"/>
                <w:color w:val="000000"/>
                <w:kern w:val="0"/>
                <w:sz w:val="28"/>
                <w:szCs w:val="28"/>
              </w:rPr>
              <w:t>5</w:t>
            </w:r>
          </w:p>
        </w:tc>
        <w:tc>
          <w:tcPr>
            <w:tcW w:w="2136" w:type="pct"/>
            <w:vAlign w:val="center"/>
          </w:tcPr>
          <w:p w14:paraId="1FC83FB4">
            <w:pPr>
              <w:adjustRightInd w:val="0"/>
              <w:snapToGrid w:val="0"/>
              <w:rPr>
                <w:rFonts w:ascii="Times New Roman" w:hAnsi="Times New Roman" w:eastAsia="仿宋_GB2312" w:cs="Times New Roman"/>
                <w:color w:val="000000"/>
                <w:kern w:val="0"/>
                <w:sz w:val="28"/>
                <w:szCs w:val="28"/>
              </w:rPr>
            </w:pPr>
            <w:r>
              <w:rPr>
                <w:rFonts w:ascii="Times New Roman" w:hAnsi="Times New Roman" w:eastAsia="仿宋_GB2312" w:cs="Times New Roman"/>
                <w:color w:val="000000"/>
                <w:kern w:val="0"/>
                <w:sz w:val="28"/>
                <w:szCs w:val="28"/>
              </w:rPr>
              <w:t>园区国家高新技术企业保有数量（家）</w:t>
            </w:r>
          </w:p>
        </w:tc>
        <w:tc>
          <w:tcPr>
            <w:tcW w:w="947" w:type="pct"/>
            <w:tcMar>
              <w:left w:w="0" w:type="dxa"/>
              <w:right w:w="0" w:type="dxa"/>
            </w:tcMar>
            <w:vAlign w:val="center"/>
          </w:tcPr>
          <w:p w14:paraId="60408D3E">
            <w:pPr>
              <w:adjustRightInd w:val="0"/>
              <w:snapToGrid w:val="0"/>
              <w:jc w:val="center"/>
              <w:rPr>
                <w:rFonts w:ascii="Times New Roman" w:hAnsi="Times New Roman" w:eastAsia="仿宋_GB2312" w:cs="Times New Roman"/>
                <w:color w:val="000000"/>
                <w:kern w:val="0"/>
                <w:sz w:val="28"/>
                <w:szCs w:val="28"/>
                <w:lang w:bidi="ar"/>
              </w:rPr>
            </w:pPr>
            <w:r>
              <w:rPr>
                <w:rFonts w:ascii="Times New Roman" w:hAnsi="Times New Roman" w:eastAsia="仿宋_GB2312" w:cs="Times New Roman"/>
                <w:kern w:val="0"/>
                <w:sz w:val="28"/>
                <w:szCs w:val="28"/>
                <w:lang w:bidi="ar"/>
              </w:rPr>
              <w:t>1100</w:t>
            </w:r>
          </w:p>
        </w:tc>
        <w:tc>
          <w:tcPr>
            <w:tcW w:w="663" w:type="pct"/>
            <w:tcMar>
              <w:left w:w="0" w:type="dxa"/>
              <w:right w:w="0" w:type="dxa"/>
            </w:tcMar>
            <w:vAlign w:val="center"/>
          </w:tcPr>
          <w:p w14:paraId="27776DD9">
            <w:pPr>
              <w:adjustRightInd w:val="0"/>
              <w:snapToGrid w:val="0"/>
              <w:jc w:val="center"/>
              <w:rPr>
                <w:rFonts w:ascii="Times New Roman" w:hAnsi="Times New Roman" w:eastAsia="仿宋_GB2312" w:cs="Times New Roman"/>
                <w:color w:val="000000"/>
                <w:kern w:val="0"/>
                <w:sz w:val="28"/>
                <w:szCs w:val="28"/>
              </w:rPr>
            </w:pPr>
            <w:r>
              <w:rPr>
                <w:rFonts w:ascii="Times New Roman" w:hAnsi="Times New Roman" w:eastAsia="仿宋_GB2312" w:cs="Times New Roman"/>
                <w:color w:val="000000"/>
                <w:kern w:val="0"/>
                <w:sz w:val="28"/>
                <w:szCs w:val="28"/>
                <w:lang w:bidi="ar"/>
              </w:rPr>
              <w:t>1300</w:t>
            </w:r>
          </w:p>
        </w:tc>
      </w:tr>
      <w:tr w14:paraId="04F59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02" w:type="pct"/>
            <w:vMerge w:val="continue"/>
            <w:vAlign w:val="center"/>
          </w:tcPr>
          <w:p w14:paraId="306083D7">
            <w:pPr>
              <w:adjustRightInd w:val="0"/>
              <w:snapToGrid w:val="0"/>
              <w:jc w:val="center"/>
              <w:rPr>
                <w:rFonts w:ascii="Times New Roman" w:hAnsi="Times New Roman" w:eastAsia="仿宋_GB2312" w:cs="Times New Roman"/>
                <w:color w:val="000000"/>
                <w:kern w:val="0"/>
                <w:sz w:val="28"/>
                <w:szCs w:val="28"/>
              </w:rPr>
            </w:pPr>
          </w:p>
        </w:tc>
        <w:tc>
          <w:tcPr>
            <w:tcW w:w="450" w:type="pct"/>
            <w:vAlign w:val="center"/>
          </w:tcPr>
          <w:p w14:paraId="01AEA307">
            <w:pPr>
              <w:adjustRightInd w:val="0"/>
              <w:snapToGrid w:val="0"/>
              <w:jc w:val="center"/>
              <w:rPr>
                <w:rFonts w:ascii="Times New Roman" w:hAnsi="Times New Roman" w:eastAsia="仿宋_GB2312" w:cs="Times New Roman"/>
                <w:color w:val="000000"/>
                <w:kern w:val="0"/>
                <w:sz w:val="28"/>
                <w:szCs w:val="28"/>
              </w:rPr>
            </w:pPr>
            <w:r>
              <w:rPr>
                <w:rFonts w:ascii="Times New Roman" w:hAnsi="Times New Roman" w:eastAsia="仿宋_GB2312" w:cs="Times New Roman"/>
                <w:color w:val="000000"/>
                <w:kern w:val="0"/>
                <w:sz w:val="28"/>
                <w:szCs w:val="28"/>
              </w:rPr>
              <w:t>6</w:t>
            </w:r>
          </w:p>
        </w:tc>
        <w:tc>
          <w:tcPr>
            <w:tcW w:w="2136" w:type="pct"/>
            <w:vAlign w:val="center"/>
          </w:tcPr>
          <w:p w14:paraId="23B107CE">
            <w:pPr>
              <w:adjustRightInd w:val="0"/>
              <w:snapToGrid w:val="0"/>
              <w:rPr>
                <w:rFonts w:ascii="Times New Roman" w:hAnsi="Times New Roman" w:eastAsia="仿宋_GB2312" w:cs="Times New Roman"/>
                <w:color w:val="000000"/>
                <w:kern w:val="0"/>
                <w:sz w:val="28"/>
                <w:szCs w:val="28"/>
              </w:rPr>
            </w:pPr>
            <w:r>
              <w:rPr>
                <w:rFonts w:ascii="Times New Roman" w:hAnsi="Times New Roman" w:eastAsia="仿宋_GB2312" w:cs="Times New Roman"/>
                <w:color w:val="000000"/>
                <w:kern w:val="0"/>
                <w:sz w:val="28"/>
                <w:szCs w:val="28"/>
              </w:rPr>
              <w:t>园区年度营业收入超</w:t>
            </w:r>
            <w:r>
              <w:rPr>
                <w:rFonts w:ascii="Times New Roman" w:hAnsi="Times New Roman" w:eastAsia="仿宋_GB2312" w:cs="Times New Roman"/>
                <w:bCs/>
                <w:color w:val="000000"/>
                <w:kern w:val="0"/>
                <w:sz w:val="28"/>
                <w:szCs w:val="28"/>
              </w:rPr>
              <w:t>1</w:t>
            </w:r>
            <w:r>
              <w:rPr>
                <w:rFonts w:ascii="Times New Roman" w:hAnsi="Times New Roman" w:eastAsia="仿宋_GB2312" w:cs="Times New Roman"/>
                <w:color w:val="000000"/>
                <w:kern w:val="0"/>
                <w:sz w:val="28"/>
                <w:szCs w:val="28"/>
              </w:rPr>
              <w:t>亿元（含）企业数量（家）</w:t>
            </w:r>
          </w:p>
        </w:tc>
        <w:tc>
          <w:tcPr>
            <w:tcW w:w="947" w:type="pct"/>
            <w:tcMar>
              <w:left w:w="0" w:type="dxa"/>
              <w:right w:w="0" w:type="dxa"/>
            </w:tcMar>
            <w:vAlign w:val="center"/>
          </w:tcPr>
          <w:p w14:paraId="59852F85">
            <w:pPr>
              <w:adjustRightInd w:val="0"/>
              <w:snapToGrid w:val="0"/>
              <w:jc w:val="center"/>
              <w:rPr>
                <w:rFonts w:ascii="Times New Roman" w:hAnsi="Times New Roman" w:eastAsia="仿宋_GB2312" w:cs="Times New Roman"/>
                <w:color w:val="000000"/>
                <w:kern w:val="0"/>
                <w:sz w:val="28"/>
                <w:szCs w:val="28"/>
                <w:lang w:bidi="ar"/>
              </w:rPr>
            </w:pPr>
            <w:r>
              <w:rPr>
                <w:rFonts w:ascii="Times New Roman" w:hAnsi="Times New Roman" w:eastAsia="仿宋_GB2312" w:cs="Times New Roman"/>
                <w:kern w:val="0"/>
                <w:sz w:val="28"/>
                <w:szCs w:val="28"/>
              </w:rPr>
              <w:t>366</w:t>
            </w:r>
          </w:p>
        </w:tc>
        <w:tc>
          <w:tcPr>
            <w:tcW w:w="663" w:type="pct"/>
            <w:tcMar>
              <w:left w:w="0" w:type="dxa"/>
              <w:right w:w="0" w:type="dxa"/>
            </w:tcMar>
            <w:vAlign w:val="center"/>
          </w:tcPr>
          <w:p w14:paraId="657CEF4F">
            <w:pPr>
              <w:adjustRightInd w:val="0"/>
              <w:snapToGrid w:val="0"/>
              <w:jc w:val="center"/>
              <w:rPr>
                <w:rFonts w:ascii="Times New Roman" w:hAnsi="Times New Roman" w:eastAsia="仿宋_GB2312" w:cs="Times New Roman"/>
                <w:color w:val="000000"/>
                <w:kern w:val="0"/>
                <w:sz w:val="28"/>
                <w:szCs w:val="28"/>
              </w:rPr>
            </w:pPr>
            <w:r>
              <w:rPr>
                <w:rFonts w:ascii="Times New Roman" w:hAnsi="Times New Roman" w:eastAsia="仿宋_GB2312" w:cs="Times New Roman"/>
                <w:color w:val="000000"/>
                <w:kern w:val="0"/>
                <w:sz w:val="28"/>
                <w:szCs w:val="28"/>
                <w:lang w:bidi="ar"/>
              </w:rPr>
              <w:t>416</w:t>
            </w:r>
          </w:p>
        </w:tc>
      </w:tr>
      <w:tr w14:paraId="10483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02" w:type="pct"/>
            <w:vMerge w:val="continue"/>
            <w:vAlign w:val="center"/>
          </w:tcPr>
          <w:p w14:paraId="5D7E6BDE">
            <w:pPr>
              <w:adjustRightInd w:val="0"/>
              <w:snapToGrid w:val="0"/>
              <w:jc w:val="center"/>
              <w:rPr>
                <w:rFonts w:ascii="Times New Roman" w:hAnsi="Times New Roman" w:eastAsia="仿宋_GB2312" w:cs="Times New Roman"/>
                <w:color w:val="000000"/>
                <w:kern w:val="0"/>
                <w:sz w:val="28"/>
                <w:szCs w:val="28"/>
              </w:rPr>
            </w:pPr>
          </w:p>
        </w:tc>
        <w:tc>
          <w:tcPr>
            <w:tcW w:w="450" w:type="pct"/>
            <w:vAlign w:val="center"/>
          </w:tcPr>
          <w:p w14:paraId="55FD09ED">
            <w:pPr>
              <w:adjustRightInd w:val="0"/>
              <w:snapToGrid w:val="0"/>
              <w:jc w:val="center"/>
              <w:rPr>
                <w:rFonts w:ascii="Times New Roman" w:hAnsi="Times New Roman" w:eastAsia="仿宋_GB2312" w:cs="Times New Roman"/>
                <w:color w:val="000000"/>
                <w:kern w:val="0"/>
                <w:sz w:val="28"/>
                <w:szCs w:val="28"/>
              </w:rPr>
            </w:pPr>
            <w:r>
              <w:rPr>
                <w:rFonts w:ascii="Times New Roman" w:hAnsi="Times New Roman" w:eastAsia="仿宋_GB2312" w:cs="Times New Roman"/>
                <w:color w:val="000000"/>
                <w:kern w:val="0"/>
                <w:sz w:val="28"/>
                <w:szCs w:val="28"/>
              </w:rPr>
              <w:t>7</w:t>
            </w:r>
          </w:p>
        </w:tc>
        <w:tc>
          <w:tcPr>
            <w:tcW w:w="2136" w:type="pct"/>
            <w:vAlign w:val="center"/>
          </w:tcPr>
          <w:p w14:paraId="6772A09D">
            <w:pPr>
              <w:adjustRightInd w:val="0"/>
              <w:snapToGrid w:val="0"/>
              <w:rPr>
                <w:rFonts w:ascii="Times New Roman" w:hAnsi="Times New Roman" w:eastAsia="仿宋_GB2312" w:cs="Times New Roman"/>
                <w:color w:val="000000"/>
                <w:kern w:val="0"/>
                <w:sz w:val="28"/>
                <w:szCs w:val="28"/>
              </w:rPr>
            </w:pPr>
            <w:r>
              <w:rPr>
                <w:rFonts w:ascii="Times New Roman" w:hAnsi="Times New Roman" w:eastAsia="仿宋_GB2312" w:cs="Times New Roman"/>
                <w:color w:val="000000"/>
                <w:kern w:val="0"/>
                <w:sz w:val="28"/>
                <w:szCs w:val="28"/>
              </w:rPr>
              <w:t>市级以上孵化器在孵企业数量（家）</w:t>
            </w:r>
          </w:p>
        </w:tc>
        <w:tc>
          <w:tcPr>
            <w:tcW w:w="947" w:type="pct"/>
            <w:tcMar>
              <w:left w:w="0" w:type="dxa"/>
              <w:right w:w="0" w:type="dxa"/>
            </w:tcMar>
            <w:vAlign w:val="center"/>
          </w:tcPr>
          <w:p w14:paraId="338886DF">
            <w:pPr>
              <w:adjustRightInd w:val="0"/>
              <w:snapToGrid w:val="0"/>
              <w:jc w:val="center"/>
              <w:rPr>
                <w:rFonts w:ascii="Times New Roman" w:hAnsi="Times New Roman" w:eastAsia="仿宋_GB2312" w:cs="Times New Roman"/>
                <w:color w:val="000000"/>
                <w:kern w:val="0"/>
                <w:sz w:val="28"/>
                <w:szCs w:val="28"/>
                <w:lang w:bidi="ar"/>
              </w:rPr>
            </w:pPr>
            <w:r>
              <w:rPr>
                <w:rFonts w:ascii="Times New Roman" w:hAnsi="Times New Roman" w:eastAsia="仿宋_GB2312" w:cs="Times New Roman"/>
                <w:kern w:val="0"/>
                <w:sz w:val="28"/>
                <w:szCs w:val="28"/>
              </w:rPr>
              <w:t>686</w:t>
            </w:r>
          </w:p>
        </w:tc>
        <w:tc>
          <w:tcPr>
            <w:tcW w:w="663" w:type="pct"/>
            <w:tcMar>
              <w:left w:w="0" w:type="dxa"/>
              <w:right w:w="0" w:type="dxa"/>
            </w:tcMar>
            <w:vAlign w:val="center"/>
          </w:tcPr>
          <w:p w14:paraId="17AAD8B4">
            <w:pPr>
              <w:adjustRightInd w:val="0"/>
              <w:snapToGrid w:val="0"/>
              <w:jc w:val="center"/>
              <w:rPr>
                <w:rFonts w:ascii="Times New Roman" w:hAnsi="Times New Roman" w:eastAsia="仿宋_GB2312" w:cs="Times New Roman"/>
                <w:color w:val="000000"/>
                <w:kern w:val="0"/>
                <w:sz w:val="28"/>
                <w:szCs w:val="28"/>
              </w:rPr>
            </w:pPr>
            <w:r>
              <w:rPr>
                <w:rFonts w:ascii="Times New Roman" w:hAnsi="Times New Roman" w:eastAsia="仿宋_GB2312" w:cs="Times New Roman"/>
                <w:color w:val="000000"/>
                <w:kern w:val="0"/>
                <w:sz w:val="28"/>
                <w:szCs w:val="28"/>
                <w:lang w:bidi="ar"/>
              </w:rPr>
              <w:t>700</w:t>
            </w:r>
          </w:p>
        </w:tc>
      </w:tr>
      <w:tr w14:paraId="0E88A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02" w:type="pct"/>
            <w:vMerge w:val="continue"/>
            <w:vAlign w:val="center"/>
          </w:tcPr>
          <w:p w14:paraId="3CFFD032">
            <w:pPr>
              <w:adjustRightInd w:val="0"/>
              <w:snapToGrid w:val="0"/>
              <w:jc w:val="center"/>
              <w:rPr>
                <w:rFonts w:ascii="Times New Roman" w:hAnsi="Times New Roman" w:eastAsia="仿宋_GB2312" w:cs="Times New Roman"/>
                <w:color w:val="000000"/>
                <w:kern w:val="0"/>
                <w:sz w:val="28"/>
                <w:szCs w:val="28"/>
              </w:rPr>
            </w:pPr>
          </w:p>
        </w:tc>
        <w:tc>
          <w:tcPr>
            <w:tcW w:w="450" w:type="pct"/>
            <w:vAlign w:val="center"/>
          </w:tcPr>
          <w:p w14:paraId="3CE2F318">
            <w:pPr>
              <w:adjustRightInd w:val="0"/>
              <w:snapToGrid w:val="0"/>
              <w:jc w:val="center"/>
              <w:rPr>
                <w:rFonts w:ascii="Times New Roman" w:hAnsi="Times New Roman" w:eastAsia="仿宋_GB2312" w:cs="Times New Roman"/>
                <w:color w:val="000000"/>
                <w:kern w:val="0"/>
                <w:sz w:val="28"/>
                <w:szCs w:val="28"/>
              </w:rPr>
            </w:pPr>
            <w:r>
              <w:rPr>
                <w:rFonts w:ascii="Times New Roman" w:hAnsi="Times New Roman" w:eastAsia="仿宋_GB2312" w:cs="Times New Roman"/>
                <w:color w:val="000000"/>
                <w:kern w:val="0"/>
                <w:sz w:val="28"/>
                <w:szCs w:val="28"/>
              </w:rPr>
              <w:t>8</w:t>
            </w:r>
          </w:p>
        </w:tc>
        <w:tc>
          <w:tcPr>
            <w:tcW w:w="2136" w:type="pct"/>
            <w:vAlign w:val="center"/>
          </w:tcPr>
          <w:p w14:paraId="6994ACE5">
            <w:pPr>
              <w:adjustRightInd w:val="0"/>
              <w:snapToGrid w:val="0"/>
              <w:rPr>
                <w:rFonts w:ascii="Times New Roman" w:hAnsi="Times New Roman" w:eastAsia="仿宋_GB2312" w:cs="Times New Roman"/>
                <w:color w:val="000000"/>
                <w:kern w:val="0"/>
                <w:sz w:val="28"/>
                <w:szCs w:val="28"/>
              </w:rPr>
            </w:pPr>
            <w:r>
              <w:rPr>
                <w:rFonts w:ascii="Times New Roman" w:hAnsi="Times New Roman" w:eastAsia="仿宋_GB2312" w:cs="Times New Roman"/>
                <w:color w:val="000000"/>
                <w:kern w:val="0"/>
                <w:sz w:val="28"/>
                <w:szCs w:val="28"/>
              </w:rPr>
              <w:t>硕士及以上学历从业人员占比（%）</w:t>
            </w:r>
          </w:p>
        </w:tc>
        <w:tc>
          <w:tcPr>
            <w:tcW w:w="947" w:type="pct"/>
            <w:tcMar>
              <w:left w:w="0" w:type="dxa"/>
              <w:right w:w="0" w:type="dxa"/>
            </w:tcMar>
            <w:vAlign w:val="center"/>
          </w:tcPr>
          <w:p w14:paraId="07B9AA7B">
            <w:pPr>
              <w:adjustRightInd w:val="0"/>
              <w:snapToGrid w:val="0"/>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22.8</w:t>
            </w:r>
          </w:p>
        </w:tc>
        <w:tc>
          <w:tcPr>
            <w:tcW w:w="663" w:type="pct"/>
            <w:tcMar>
              <w:left w:w="0" w:type="dxa"/>
              <w:right w:w="0" w:type="dxa"/>
            </w:tcMar>
            <w:vAlign w:val="center"/>
          </w:tcPr>
          <w:p w14:paraId="78CDE9A0">
            <w:pPr>
              <w:adjustRightInd w:val="0"/>
              <w:snapToGrid w:val="0"/>
              <w:jc w:val="center"/>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24</w:t>
            </w:r>
            <w:r>
              <w:rPr>
                <w:rFonts w:ascii="Times New Roman" w:hAnsi="Times New Roman" w:eastAsia="仿宋_GB2312" w:cs="Times New Roman"/>
                <w:kern w:val="0"/>
                <w:sz w:val="28"/>
                <w:szCs w:val="28"/>
              </w:rPr>
              <w:t>.3</w:t>
            </w:r>
          </w:p>
        </w:tc>
      </w:tr>
      <w:tr w14:paraId="0FE18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02" w:type="pct"/>
            <w:vMerge w:val="restart"/>
            <w:vAlign w:val="center"/>
          </w:tcPr>
          <w:p w14:paraId="2A9A2829">
            <w:pPr>
              <w:adjustRightInd w:val="0"/>
              <w:snapToGrid w:val="0"/>
              <w:jc w:val="center"/>
              <w:rPr>
                <w:rFonts w:ascii="Times New Roman" w:hAnsi="Times New Roman" w:eastAsia="仿宋_GB2312" w:cs="Times New Roman"/>
                <w:color w:val="000000"/>
                <w:kern w:val="0"/>
                <w:sz w:val="28"/>
                <w:szCs w:val="28"/>
              </w:rPr>
            </w:pPr>
            <w:r>
              <w:rPr>
                <w:rFonts w:ascii="Times New Roman" w:hAnsi="Times New Roman" w:eastAsia="仿宋_GB2312" w:cs="Times New Roman"/>
                <w:color w:val="000000"/>
                <w:kern w:val="0"/>
                <w:sz w:val="28"/>
                <w:szCs w:val="28"/>
              </w:rPr>
              <w:t>国际创新</w:t>
            </w:r>
          </w:p>
        </w:tc>
        <w:tc>
          <w:tcPr>
            <w:tcW w:w="450" w:type="pct"/>
            <w:vAlign w:val="center"/>
          </w:tcPr>
          <w:p w14:paraId="77037712">
            <w:pPr>
              <w:adjustRightInd w:val="0"/>
              <w:snapToGrid w:val="0"/>
              <w:jc w:val="center"/>
              <w:rPr>
                <w:rFonts w:ascii="Times New Roman" w:hAnsi="Times New Roman" w:eastAsia="仿宋_GB2312" w:cs="Times New Roman"/>
                <w:color w:val="000000"/>
                <w:kern w:val="0"/>
                <w:sz w:val="28"/>
                <w:szCs w:val="28"/>
              </w:rPr>
            </w:pPr>
            <w:r>
              <w:rPr>
                <w:rFonts w:ascii="Times New Roman" w:hAnsi="Times New Roman" w:eastAsia="仿宋_GB2312" w:cs="Times New Roman"/>
                <w:color w:val="000000"/>
                <w:kern w:val="0"/>
                <w:sz w:val="28"/>
                <w:szCs w:val="28"/>
              </w:rPr>
              <w:t>9</w:t>
            </w:r>
          </w:p>
        </w:tc>
        <w:tc>
          <w:tcPr>
            <w:tcW w:w="2136" w:type="pct"/>
            <w:vAlign w:val="center"/>
          </w:tcPr>
          <w:p w14:paraId="5AFBE6FF">
            <w:pPr>
              <w:adjustRightInd w:val="0"/>
              <w:snapToGrid w:val="0"/>
              <w:rPr>
                <w:rFonts w:ascii="Times New Roman" w:hAnsi="Times New Roman" w:eastAsia="仿宋_GB2312" w:cs="Times New Roman"/>
                <w:color w:val="000000"/>
                <w:kern w:val="0"/>
                <w:sz w:val="28"/>
                <w:szCs w:val="28"/>
              </w:rPr>
            </w:pPr>
            <w:r>
              <w:rPr>
                <w:rFonts w:ascii="Times New Roman" w:hAnsi="Times New Roman" w:eastAsia="仿宋_GB2312" w:cs="Times New Roman"/>
                <w:bCs/>
                <w:color w:val="000000"/>
                <w:kern w:val="0"/>
                <w:sz w:val="28"/>
                <w:szCs w:val="28"/>
              </w:rPr>
              <w:t>企业专利合作条约（</w:t>
            </w:r>
            <w:r>
              <w:rPr>
                <w:rFonts w:ascii="Times New Roman" w:hAnsi="Times New Roman" w:eastAsia="仿宋_GB2312" w:cs="Times New Roman"/>
                <w:kern w:val="0"/>
                <w:sz w:val="28"/>
                <w:szCs w:val="28"/>
              </w:rPr>
              <w:t>PCT</w:t>
            </w:r>
            <w:r>
              <w:rPr>
                <w:rFonts w:ascii="Times New Roman" w:hAnsi="Times New Roman" w:eastAsia="仿宋_GB2312" w:cs="Times New Roman"/>
                <w:bCs/>
                <w:color w:val="000000"/>
                <w:kern w:val="0"/>
                <w:sz w:val="28"/>
                <w:szCs w:val="28"/>
              </w:rPr>
              <w:t>）国际专利申请量（件）</w:t>
            </w:r>
          </w:p>
        </w:tc>
        <w:tc>
          <w:tcPr>
            <w:tcW w:w="947" w:type="pct"/>
            <w:tcBorders>
              <w:top w:val="single" w:color="auto" w:sz="4" w:space="0"/>
              <w:left w:val="single" w:color="auto" w:sz="4" w:space="0"/>
              <w:bottom w:val="single" w:color="auto" w:sz="4" w:space="0"/>
              <w:right w:val="single" w:color="auto" w:sz="4" w:space="0"/>
            </w:tcBorders>
            <w:vAlign w:val="center"/>
          </w:tcPr>
          <w:p w14:paraId="0CD9AF6A">
            <w:pPr>
              <w:adjustRightInd w:val="0"/>
              <w:snapToGrid w:val="0"/>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2100</w:t>
            </w:r>
          </w:p>
        </w:tc>
        <w:tc>
          <w:tcPr>
            <w:tcW w:w="663" w:type="pct"/>
            <w:tcBorders>
              <w:top w:val="single" w:color="auto" w:sz="4" w:space="0"/>
              <w:left w:val="single" w:color="auto" w:sz="4" w:space="0"/>
              <w:bottom w:val="single" w:color="auto" w:sz="4" w:space="0"/>
              <w:right w:val="single" w:color="auto" w:sz="4" w:space="0"/>
            </w:tcBorders>
            <w:vAlign w:val="center"/>
          </w:tcPr>
          <w:p w14:paraId="162B22C4">
            <w:pPr>
              <w:adjustRightInd w:val="0"/>
              <w:snapToGrid w:val="0"/>
              <w:jc w:val="center"/>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2450</w:t>
            </w:r>
          </w:p>
        </w:tc>
      </w:tr>
      <w:tr w14:paraId="047DB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02" w:type="pct"/>
            <w:vMerge w:val="continue"/>
            <w:vAlign w:val="center"/>
          </w:tcPr>
          <w:p w14:paraId="5A2971CF">
            <w:pPr>
              <w:adjustRightInd w:val="0"/>
              <w:snapToGrid w:val="0"/>
              <w:jc w:val="center"/>
              <w:rPr>
                <w:rFonts w:ascii="Times New Roman" w:hAnsi="Times New Roman" w:eastAsia="仿宋_GB2312" w:cs="Times New Roman"/>
                <w:color w:val="000000"/>
                <w:kern w:val="0"/>
                <w:sz w:val="28"/>
                <w:szCs w:val="28"/>
              </w:rPr>
            </w:pPr>
          </w:p>
        </w:tc>
        <w:tc>
          <w:tcPr>
            <w:tcW w:w="450" w:type="pct"/>
            <w:vAlign w:val="center"/>
          </w:tcPr>
          <w:p w14:paraId="02FFE7B2">
            <w:pPr>
              <w:adjustRightInd w:val="0"/>
              <w:snapToGrid w:val="0"/>
              <w:jc w:val="center"/>
              <w:rPr>
                <w:rFonts w:ascii="Times New Roman" w:hAnsi="Times New Roman" w:eastAsia="仿宋_GB2312" w:cs="Times New Roman"/>
                <w:color w:val="000000"/>
                <w:kern w:val="0"/>
                <w:sz w:val="28"/>
                <w:szCs w:val="28"/>
              </w:rPr>
            </w:pPr>
            <w:r>
              <w:rPr>
                <w:rFonts w:ascii="Times New Roman" w:hAnsi="Times New Roman" w:eastAsia="仿宋_GB2312" w:cs="Times New Roman"/>
                <w:color w:val="000000"/>
                <w:kern w:val="0"/>
                <w:sz w:val="28"/>
                <w:szCs w:val="28"/>
              </w:rPr>
              <w:t>10</w:t>
            </w:r>
          </w:p>
        </w:tc>
        <w:tc>
          <w:tcPr>
            <w:tcW w:w="2136" w:type="pct"/>
            <w:vAlign w:val="center"/>
          </w:tcPr>
          <w:p w14:paraId="2E6854CF">
            <w:pPr>
              <w:adjustRightInd w:val="0"/>
              <w:snapToGrid w:val="0"/>
              <w:rPr>
                <w:rFonts w:ascii="Times New Roman" w:hAnsi="Times New Roman" w:eastAsia="仿宋_GB2312" w:cs="Times New Roman"/>
                <w:bCs/>
                <w:color w:val="000000"/>
                <w:kern w:val="0"/>
                <w:sz w:val="28"/>
                <w:szCs w:val="28"/>
              </w:rPr>
            </w:pPr>
            <w:r>
              <w:rPr>
                <w:rFonts w:ascii="Times New Roman" w:hAnsi="Times New Roman" w:eastAsia="仿宋_GB2312" w:cs="Times New Roman"/>
                <w:bCs/>
                <w:color w:val="000000" w:themeColor="text1"/>
                <w:kern w:val="0"/>
                <w:sz w:val="28"/>
                <w:szCs w:val="28"/>
                <w14:textFill>
                  <w14:solidFill>
                    <w14:schemeClr w14:val="tx1"/>
                  </w14:solidFill>
                </w14:textFill>
              </w:rPr>
              <w:t>国际科技组织总部集聚区国际科技组织数量（家）</w:t>
            </w:r>
          </w:p>
        </w:tc>
        <w:tc>
          <w:tcPr>
            <w:tcW w:w="947" w:type="pct"/>
            <w:vAlign w:val="center"/>
          </w:tcPr>
          <w:p w14:paraId="738A4511">
            <w:pPr>
              <w:adjustRightInd w:val="0"/>
              <w:snapToGrid w:val="0"/>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15</w:t>
            </w:r>
          </w:p>
        </w:tc>
        <w:tc>
          <w:tcPr>
            <w:tcW w:w="663" w:type="pct"/>
            <w:vAlign w:val="center"/>
          </w:tcPr>
          <w:p w14:paraId="1A88930A">
            <w:pPr>
              <w:adjustRightInd w:val="0"/>
              <w:snapToGrid w:val="0"/>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20</w:t>
            </w:r>
          </w:p>
        </w:tc>
      </w:tr>
    </w:tbl>
    <w:p w14:paraId="65B585FE">
      <w:pPr>
        <w:rPr>
          <w:rFonts w:hint="eastAsia" w:ascii="黑体" w:hAnsi="黑体" w:eastAsia="黑体"/>
          <w:bCs/>
          <w:color w:val="000000"/>
          <w:kern w:val="0"/>
          <w:sz w:val="28"/>
          <w:szCs w:val="28"/>
        </w:rPr>
      </w:pPr>
      <w:r>
        <w:rPr>
          <w:rFonts w:hint="eastAsia" w:ascii="黑体" w:hAnsi="黑体" w:eastAsia="黑体"/>
          <w:bCs/>
          <w:color w:val="000000"/>
          <w:kern w:val="0"/>
          <w:sz w:val="28"/>
          <w:szCs w:val="28"/>
        </w:rPr>
        <w:br w:type="page"/>
      </w:r>
    </w:p>
    <w:p w14:paraId="7FE24466">
      <w:pPr>
        <w:keepNext/>
        <w:keepLines/>
        <w:widowControl/>
        <w:adjustRightInd w:val="0"/>
        <w:snapToGrid w:val="0"/>
        <w:spacing w:before="156" w:beforeLines="50" w:after="156" w:afterLines="50" w:line="560" w:lineRule="exact"/>
        <w:jc w:val="center"/>
        <w:outlineLvl w:val="0"/>
        <w:rPr>
          <w:rFonts w:eastAsia="黑体" w:cs="黑体"/>
          <w:color w:val="000000"/>
          <w:kern w:val="0"/>
          <w:sz w:val="32"/>
          <w:szCs w:val="32"/>
        </w:rPr>
      </w:pPr>
      <w:bookmarkStart w:id="48" w:name="_Toc23602"/>
      <w:bookmarkStart w:id="49" w:name="_Toc223937985"/>
      <w:bookmarkStart w:id="50" w:name="_Toc20020"/>
      <w:bookmarkStart w:id="51" w:name="_Toc31146"/>
      <w:bookmarkStart w:id="52" w:name="_Toc713"/>
      <w:bookmarkStart w:id="53" w:name="_Toc204021830"/>
      <w:r>
        <w:rPr>
          <w:rFonts w:hint="eastAsia" w:eastAsia="黑体" w:cs="黑体"/>
          <w:color w:val="000000"/>
          <w:kern w:val="0"/>
          <w:sz w:val="32"/>
          <w:szCs w:val="32"/>
        </w:rPr>
        <w:t>第三章 强化朝阳园创新引领</w:t>
      </w:r>
      <w:bookmarkEnd w:id="48"/>
      <w:bookmarkEnd w:id="49"/>
      <w:r>
        <w:rPr>
          <w:rFonts w:hint="eastAsia" w:eastAsia="黑体" w:cs="黑体"/>
          <w:color w:val="000000"/>
          <w:kern w:val="0"/>
          <w:sz w:val="32"/>
          <w:szCs w:val="32"/>
        </w:rPr>
        <w:t>辐射功能</w:t>
      </w:r>
      <w:bookmarkEnd w:id="50"/>
      <w:bookmarkEnd w:id="51"/>
      <w:bookmarkEnd w:id="52"/>
    </w:p>
    <w:p w14:paraId="2667092C">
      <w:pPr>
        <w:widowControl/>
        <w:overflowPunct w:val="0"/>
        <w:adjustRightInd w:val="0"/>
        <w:snapToGrid w:val="0"/>
        <w:spacing w:line="600" w:lineRule="exact"/>
        <w:ind w:firstLine="640" w:firstLineChars="200"/>
        <w:rPr>
          <w:rFonts w:ascii="仿宋_GB2312" w:hAnsi="仿宋_GB2312" w:eastAsia="仿宋_GB2312" w:cs="仿宋_GB2312"/>
          <w:color w:val="000000"/>
          <w:sz w:val="32"/>
          <w:szCs w:val="24"/>
        </w:rPr>
      </w:pPr>
      <w:bookmarkStart w:id="54" w:name="_Toc223937992"/>
      <w:bookmarkStart w:id="55" w:name="_Toc16284"/>
      <w:r>
        <w:rPr>
          <w:rFonts w:hint="eastAsia" w:ascii="仿宋_GB2312" w:hAnsi="仿宋_GB2312" w:eastAsia="仿宋_GB2312" w:cs="仿宋_GB2312"/>
          <w:color w:val="000000"/>
          <w:sz w:val="32"/>
          <w:szCs w:val="24"/>
          <w:lang w:bidi="ar"/>
        </w:rPr>
        <w:t>充分发挥中关村朝阳园科技创新主阵地作用，强化创新策源与科技成果转化功能，加强“</w:t>
      </w:r>
      <w:r>
        <w:rPr>
          <w:rFonts w:ascii="Times New Roman" w:hAnsi="Times New Roman" w:eastAsia="仿宋_GB2312" w:cs="Times New Roman"/>
          <w:color w:val="000000"/>
          <w:sz w:val="32"/>
          <w:szCs w:val="24"/>
          <w:lang w:bidi="ar"/>
        </w:rPr>
        <w:t>3+X+N</w:t>
      </w:r>
      <w:r>
        <w:rPr>
          <w:rFonts w:hint="eastAsia" w:ascii="仿宋_GB2312" w:hAnsi="仿宋_GB2312" w:eastAsia="仿宋_GB2312" w:cs="仿宋_GB2312"/>
          <w:color w:val="000000"/>
          <w:sz w:val="32"/>
          <w:szCs w:val="24"/>
          <w:lang w:bidi="ar"/>
        </w:rPr>
        <w:t>”产业集群承载能力，全力支撑“科技百园”建设，集聚科技创新企业和创新创业人才，为全区高质量发展注入创新动能。</w:t>
      </w:r>
    </w:p>
    <w:p w14:paraId="59D7AA3C">
      <w:pPr>
        <w:widowControl/>
        <w:overflowPunct w:val="0"/>
        <w:adjustRightInd w:val="0"/>
        <w:snapToGrid w:val="0"/>
        <w:spacing w:line="600" w:lineRule="exact"/>
        <w:ind w:firstLine="640" w:firstLineChars="200"/>
        <w:outlineLvl w:val="1"/>
        <w:rPr>
          <w:rFonts w:hint="eastAsia" w:ascii="楷体_GB2312" w:hAnsi="楷体_GB2312" w:eastAsia="楷体_GB2312" w:cs="楷体_GB2312"/>
          <w:bCs/>
          <w:color w:val="000000"/>
          <w:sz w:val="32"/>
          <w:szCs w:val="24"/>
        </w:rPr>
      </w:pPr>
      <w:bookmarkStart w:id="56" w:name="_Toc13542"/>
      <w:bookmarkStart w:id="57" w:name="_Toc24093"/>
      <w:bookmarkStart w:id="58" w:name="_Toc223937986"/>
      <w:r>
        <w:rPr>
          <w:rFonts w:hint="eastAsia" w:ascii="楷体_GB2312" w:hAnsi="楷体_GB2312" w:eastAsia="楷体_GB2312" w:cs="楷体_GB2312"/>
          <w:bCs/>
          <w:color w:val="000000"/>
          <w:sz w:val="32"/>
          <w:szCs w:val="32"/>
          <w:lang w:bidi="ar"/>
        </w:rPr>
        <w:t>一、强化园区创新策源</w:t>
      </w:r>
      <w:bookmarkEnd w:id="56"/>
      <w:bookmarkEnd w:id="57"/>
      <w:bookmarkEnd w:id="58"/>
      <w:r>
        <w:rPr>
          <w:rFonts w:hint="eastAsia" w:ascii="楷体_GB2312" w:hAnsi="楷体_GB2312" w:eastAsia="楷体_GB2312" w:cs="楷体_GB2312"/>
          <w:bCs/>
          <w:color w:val="000000"/>
          <w:sz w:val="32"/>
          <w:szCs w:val="32"/>
          <w:lang w:bidi="ar"/>
        </w:rPr>
        <w:t>作用</w:t>
      </w:r>
    </w:p>
    <w:p w14:paraId="41AAA40D">
      <w:pPr>
        <w:widowControl/>
        <w:overflowPunct w:val="0"/>
        <w:adjustRightInd w:val="0"/>
        <w:snapToGrid w:val="0"/>
        <w:spacing w:line="600" w:lineRule="exact"/>
        <w:ind w:firstLine="640" w:firstLineChars="200"/>
        <w:rPr>
          <w:rFonts w:ascii="仿宋_GB2312" w:hAnsi="仿宋_GB2312" w:eastAsia="仿宋_GB2312" w:cs="仿宋_GB2312"/>
          <w:color w:val="000000"/>
          <w:sz w:val="32"/>
          <w:szCs w:val="24"/>
        </w:rPr>
      </w:pPr>
      <w:r>
        <w:rPr>
          <w:rFonts w:hint="eastAsia" w:ascii="仿宋_GB2312" w:hAnsi="仿宋_GB2312" w:eastAsia="仿宋_GB2312" w:cs="仿宋_GB2312"/>
          <w:color w:val="000000"/>
          <w:sz w:val="32"/>
          <w:szCs w:val="24"/>
          <w:lang w:bidi="ar"/>
        </w:rPr>
        <w:t>以朝阳北部科创带、南部山河湾谷创新区为核心承载区域，积极对接国家战略科技力量，主动承接全国重点实验室等重大创新平台项目落地建设，加速工程研究中心、产业创新中心等高能级创新平台在园区布局发展。支持科技园区与国际科研机构、国家实验室等高能级平台协作联动，加快科技成果就地转化。推动科技领军企业联合高校院所、产业链上下游企业组建创新联合体，引导重点项目在园区落地培育。做实做深朝阳颠覆性技术创新中心、北京市自然科学基金—朝阳创新联合基金等平台，吸引和培育一批前沿技术和颠覆性技术项目，打造新赛道新动能。</w:t>
      </w:r>
    </w:p>
    <w:p w14:paraId="4A6461E9">
      <w:pPr>
        <w:widowControl/>
        <w:overflowPunct w:val="0"/>
        <w:adjustRightInd w:val="0"/>
        <w:snapToGrid w:val="0"/>
        <w:spacing w:line="600" w:lineRule="exact"/>
        <w:ind w:firstLine="640" w:firstLineChars="200"/>
        <w:outlineLvl w:val="1"/>
        <w:rPr>
          <w:rFonts w:hint="eastAsia" w:ascii="楷体_GB2312" w:hAnsi="楷体_GB2312" w:eastAsia="楷体_GB2312" w:cs="楷体_GB2312"/>
          <w:bCs/>
          <w:color w:val="000000"/>
          <w:sz w:val="32"/>
          <w:szCs w:val="32"/>
        </w:rPr>
      </w:pPr>
      <w:bookmarkStart w:id="59" w:name="_Toc11372"/>
      <w:bookmarkStart w:id="60" w:name="_Toc2965"/>
      <w:bookmarkStart w:id="61" w:name="_Toc223937987"/>
      <w:r>
        <w:rPr>
          <w:rFonts w:hint="eastAsia" w:ascii="楷体_GB2312" w:hAnsi="楷体_GB2312" w:eastAsia="楷体_GB2312" w:cs="楷体_GB2312"/>
          <w:bCs/>
          <w:color w:val="000000"/>
          <w:sz w:val="32"/>
          <w:szCs w:val="32"/>
          <w:lang w:bidi="ar"/>
        </w:rPr>
        <w:t>二、打造科技成果转化高地</w:t>
      </w:r>
      <w:bookmarkEnd w:id="59"/>
      <w:bookmarkEnd w:id="60"/>
      <w:bookmarkEnd w:id="61"/>
    </w:p>
    <w:p w14:paraId="080D03A9">
      <w:pPr>
        <w:widowControl/>
        <w:overflowPunct w:val="0"/>
        <w:adjustRightInd w:val="0"/>
        <w:snapToGrid w:val="0"/>
        <w:spacing w:line="600" w:lineRule="exact"/>
        <w:ind w:firstLine="640" w:firstLineChars="200"/>
        <w:rPr>
          <w:rFonts w:ascii="仿宋_GB2312" w:hAnsi="仿宋_GB2312" w:eastAsia="仿宋_GB2312" w:cs="仿宋_GB2312"/>
          <w:color w:val="000000"/>
          <w:sz w:val="32"/>
          <w:szCs w:val="24"/>
        </w:rPr>
      </w:pPr>
      <w:r>
        <w:rPr>
          <w:rFonts w:hint="eastAsia" w:ascii="仿宋_GB2312" w:hAnsi="仿宋_GB2312" w:eastAsia="仿宋_GB2312" w:cs="仿宋_GB2312"/>
          <w:color w:val="000000"/>
          <w:sz w:val="32"/>
          <w:szCs w:val="32"/>
          <w:lang w:bidi="ar"/>
        </w:rPr>
        <w:t>健全园区科技成果转化体系，完善全国重点实验室与特色产业园区对接服务机制，建立技术转移转化清单、对接服务台账，引进培育高水平技术经理人队伍、专业化技术转移机构，服务成果转化项目在园区承接落地。推动朝阳产业技术转化院建设，支持在特色园区布局概念验证、小试中试、共性技术、孵化加速等创新平台。支持政策区街乡盘活空间资源，联动专业化运营服务机构提升服务能级，打造标杆孵化器、特色产业加速器和细分领域科技园区。</w:t>
      </w:r>
    </w:p>
    <w:p w14:paraId="76521FF7">
      <w:pPr>
        <w:widowControl/>
        <w:overflowPunct w:val="0"/>
        <w:adjustRightInd w:val="0"/>
        <w:snapToGrid w:val="0"/>
        <w:spacing w:line="600" w:lineRule="exact"/>
        <w:ind w:firstLine="640" w:firstLineChars="200"/>
        <w:outlineLvl w:val="1"/>
        <w:rPr>
          <w:rFonts w:hint="eastAsia" w:ascii="楷体_GB2312" w:hAnsi="楷体_GB2312" w:eastAsia="楷体_GB2312" w:cs="楷体_GB2312"/>
          <w:bCs/>
          <w:color w:val="000000"/>
          <w:sz w:val="32"/>
          <w:szCs w:val="24"/>
        </w:rPr>
      </w:pPr>
      <w:bookmarkStart w:id="62" w:name="_Toc5734"/>
      <w:bookmarkStart w:id="63" w:name="_Toc28818"/>
      <w:bookmarkStart w:id="64" w:name="_Toc223937988"/>
      <w:r>
        <w:rPr>
          <w:rFonts w:hint="eastAsia" w:ascii="楷体_GB2312" w:hAnsi="楷体_GB2312" w:eastAsia="楷体_GB2312" w:cs="楷体_GB2312"/>
          <w:bCs/>
          <w:color w:val="000000"/>
          <w:sz w:val="32"/>
          <w:szCs w:val="32"/>
          <w:lang w:bidi="ar"/>
        </w:rPr>
        <w:t>三、做强科技产业集聚主阵地</w:t>
      </w:r>
      <w:bookmarkEnd w:id="62"/>
      <w:bookmarkEnd w:id="63"/>
      <w:bookmarkEnd w:id="64"/>
    </w:p>
    <w:p w14:paraId="47A14210">
      <w:pPr>
        <w:widowControl/>
        <w:overflowPunct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bidi="ar"/>
        </w:rPr>
        <w:t>围绕全区“</w:t>
      </w:r>
      <w:r>
        <w:rPr>
          <w:rFonts w:hint="eastAsia" w:ascii="Times New Roman" w:hAnsi="Times New Roman" w:eastAsia="仿宋_GB2312" w:cs="Times New Roman"/>
          <w:color w:val="000000"/>
          <w:sz w:val="32"/>
          <w:szCs w:val="24"/>
          <w:lang w:bidi="ar"/>
        </w:rPr>
        <w:t>3+X+N</w:t>
      </w:r>
      <w:r>
        <w:rPr>
          <w:rFonts w:hint="eastAsia" w:ascii="仿宋_GB2312" w:hAnsi="仿宋_GB2312" w:eastAsia="仿宋_GB2312" w:cs="仿宋_GB2312"/>
          <w:color w:val="000000"/>
          <w:sz w:val="32"/>
          <w:szCs w:val="32"/>
          <w:lang w:bidi="ar"/>
        </w:rPr>
        <w:t>”重点产业方向，做强做优人工智能、产业互联网、科技服务业三大主导产业，培育壮大</w:t>
      </w:r>
      <w:r>
        <w:rPr>
          <w:rFonts w:hint="eastAsia" w:ascii="Times New Roman" w:hAnsi="Times New Roman" w:eastAsia="仿宋_GB2312" w:cs="Times New Roman"/>
          <w:color w:val="000000"/>
          <w:sz w:val="32"/>
          <w:szCs w:val="24"/>
          <w:lang w:bidi="ar"/>
        </w:rPr>
        <w:t>AIGC</w:t>
      </w:r>
      <w:r>
        <w:rPr>
          <w:rFonts w:hint="eastAsia" w:ascii="仿宋_GB2312" w:hAnsi="仿宋_GB2312" w:eastAsia="仿宋_GB2312" w:cs="仿宋_GB2312"/>
          <w:color w:val="000000"/>
          <w:sz w:val="32"/>
          <w:szCs w:val="24"/>
          <w:lang w:bidi="ar"/>
        </w:rPr>
        <w:t>、数</w:t>
      </w:r>
      <w:r>
        <w:rPr>
          <w:rFonts w:hint="eastAsia" w:ascii="仿宋_GB2312" w:hAnsi="仿宋_GB2312" w:eastAsia="仿宋_GB2312" w:cs="仿宋_GB2312"/>
          <w:color w:val="000000"/>
          <w:sz w:val="32"/>
          <w:szCs w:val="32"/>
          <w:lang w:bidi="ar"/>
        </w:rPr>
        <w:t>字医疗、数字安全等特色优势产业集群，持续提升园区科技产业集聚度和竞争力。盘活老旧厂房、低效楼宇等空间资源，推进腾笼换鸟功能提升，增强对重大项目、优质企业的空间承载能力。支持重点园区布局知识产权公共服务站等集成式服务平台，引聚研发设计等高技术服务业企业。加大对企业研发创新、知识产权创造运营等政策支持，进一步提升企业创新能力。</w:t>
      </w:r>
    </w:p>
    <w:p w14:paraId="1070390E">
      <w:pPr>
        <w:pStyle w:val="18"/>
        <w:overflowPunct w:val="0"/>
        <w:adjustRightInd w:val="0"/>
        <w:snapToGrid w:val="0"/>
        <w:spacing w:line="600" w:lineRule="exact"/>
        <w:ind w:firstLine="640" w:firstLineChars="200"/>
        <w:outlineLvl w:val="1"/>
        <w:rPr>
          <w:rFonts w:hint="eastAsia" w:ascii="楷体_GB2312" w:hAnsi="楷体_GB2312" w:eastAsia="楷体_GB2312" w:cs="楷体_GB2312"/>
          <w:bCs/>
          <w:color w:val="000000"/>
          <w:sz w:val="32"/>
          <w:szCs w:val="32"/>
          <w:highlight w:val="yellow"/>
        </w:rPr>
      </w:pPr>
      <w:bookmarkStart w:id="65" w:name="_Toc9257"/>
      <w:bookmarkStart w:id="66" w:name="_Toc223937989"/>
      <w:bookmarkStart w:id="67" w:name="_Toc16436"/>
      <w:r>
        <w:rPr>
          <w:rFonts w:hint="eastAsia" w:ascii="楷体_GB2312" w:hAnsi="楷体_GB2312" w:eastAsia="楷体_GB2312" w:cs="楷体_GB2312"/>
          <w:bCs/>
          <w:color w:val="000000"/>
          <w:sz w:val="32"/>
          <w:szCs w:val="32"/>
          <w:lang w:bidi="ar"/>
        </w:rPr>
        <w:t>四、夯实“科技百园”创新载体</w:t>
      </w:r>
      <w:bookmarkEnd w:id="65"/>
      <w:bookmarkEnd w:id="66"/>
      <w:bookmarkEnd w:id="67"/>
    </w:p>
    <w:p w14:paraId="3C498E60">
      <w:pPr>
        <w:widowControl/>
        <w:overflowPunct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以产业需求定义空间供给，加强中关村朝阳园对全区“科技百园”建设空间保障，引导科技园区在政策区范围内片区集聚、集群布局。依托电子城片区产业基础，充分发挥应用场景开放作用，加速推进朝阳“光智空间”、</w:t>
      </w:r>
      <w:r>
        <w:rPr>
          <w:rFonts w:hint="eastAsia" w:ascii="Times New Roman" w:hAnsi="Times New Roman" w:eastAsia="仿宋_GB2312" w:cs="Times New Roman"/>
          <w:color w:val="000000"/>
          <w:sz w:val="32"/>
          <w:szCs w:val="24"/>
          <w:lang w:bidi="ar"/>
        </w:rPr>
        <w:t>AIGC</w:t>
      </w:r>
      <w:r>
        <w:rPr>
          <w:rFonts w:hint="eastAsia" w:ascii="仿宋_GB2312" w:hAnsi="仿宋_GB2312" w:eastAsia="仿宋_GB2312" w:cs="仿宋_GB2312"/>
          <w:color w:val="000000"/>
          <w:kern w:val="0"/>
          <w:sz w:val="32"/>
          <w:szCs w:val="32"/>
          <w:lang w:bidi="ar"/>
        </w:rPr>
        <w:t>科创走廊建设，推进数字医疗、智慧康养等产业集聚，承接符合区域产业导向的未来产业项目落地。</w:t>
      </w:r>
      <w:r>
        <w:rPr>
          <w:rFonts w:hint="eastAsia" w:ascii="仿宋_GB2312" w:hAnsi="仿宋_GB2312" w:eastAsia="仿宋_GB2312" w:cs="仿宋_GB2312"/>
          <w:color w:val="000000"/>
          <w:sz w:val="32"/>
          <w:szCs w:val="32"/>
          <w:lang w:bidi="ar"/>
        </w:rPr>
        <w:t>统筹朝阳园北区新增产业用地资源，聚焦重点项目服务保障，增强产业带动效能，吸引上下游配套企业集聚。以亚奥片区为核心承载，</w:t>
      </w:r>
      <w:r>
        <w:rPr>
          <w:rFonts w:hint="eastAsia" w:ascii="仿宋_GB2312" w:hAnsi="仿宋_GB2312" w:eastAsia="仿宋_GB2312" w:cs="仿宋_GB2312"/>
          <w:color w:val="000000"/>
          <w:kern w:val="0"/>
          <w:sz w:val="32"/>
          <w:szCs w:val="32"/>
          <w:lang w:bidi="ar"/>
        </w:rPr>
        <w:t>聚焦数据要素、智能机器人等前沿技术创新应用，</w:t>
      </w:r>
      <w:r>
        <w:rPr>
          <w:rFonts w:hint="eastAsia" w:ascii="仿宋_GB2312" w:hAnsi="仿宋_GB2312" w:eastAsia="仿宋_GB2312" w:cs="仿宋_GB2312"/>
          <w:color w:val="000000"/>
          <w:sz w:val="32"/>
          <w:szCs w:val="32"/>
          <w:lang w:bidi="ar"/>
        </w:rPr>
        <w:t>加快建</w:t>
      </w:r>
      <w:r>
        <w:rPr>
          <w:rFonts w:hint="eastAsia" w:ascii="仿宋_GB2312" w:hAnsi="仿宋_GB2312" w:eastAsia="仿宋_GB2312" w:cs="仿宋_GB2312"/>
          <w:color w:val="000000"/>
          <w:sz w:val="32"/>
          <w:szCs w:val="24"/>
          <w:lang w:bidi="ar"/>
        </w:rPr>
        <w:t>设</w:t>
      </w:r>
      <w:r>
        <w:rPr>
          <w:rFonts w:hint="eastAsia" w:ascii="Times New Roman" w:hAnsi="Times New Roman" w:eastAsia="仿宋_GB2312" w:cs="Times New Roman"/>
          <w:color w:val="000000"/>
          <w:sz w:val="32"/>
          <w:szCs w:val="24"/>
          <w:lang w:bidi="ar"/>
        </w:rPr>
        <w:t>AI</w:t>
      </w:r>
      <w:r>
        <w:rPr>
          <w:rFonts w:hint="eastAsia" w:ascii="仿宋_GB2312" w:hAnsi="仿宋_GB2312" w:eastAsia="仿宋_GB2312" w:cs="仿宋_GB2312"/>
          <w:color w:val="000000"/>
          <w:sz w:val="32"/>
          <w:szCs w:val="24"/>
          <w:lang w:bidi="ar"/>
        </w:rPr>
        <w:t>会展</w:t>
      </w:r>
      <w:r>
        <w:rPr>
          <w:rFonts w:hint="eastAsia" w:ascii="仿宋_GB2312" w:hAnsi="仿宋_GB2312" w:eastAsia="仿宋_GB2312" w:cs="仿宋_GB2312"/>
          <w:color w:val="000000"/>
          <w:sz w:val="32"/>
          <w:szCs w:val="32"/>
          <w:lang w:bidi="ar"/>
        </w:rPr>
        <w:t>产业园、中关村科服等特色园区。南部升级建设“山河湾谷科创策源功能区”，挖掘存量空间潜力，重点推进能源智控等一批特色科技园区建设。</w:t>
      </w:r>
    </w:p>
    <w:p w14:paraId="6CE7CCDE">
      <w:pPr>
        <w:widowControl/>
        <w:overflowPunct w:val="0"/>
        <w:adjustRightInd w:val="0"/>
        <w:snapToGrid w:val="0"/>
        <w:spacing w:line="600" w:lineRule="exact"/>
        <w:ind w:firstLine="640" w:firstLineChars="200"/>
        <w:outlineLvl w:val="1"/>
        <w:rPr>
          <w:rFonts w:hint="eastAsia" w:ascii="楷体_GB2312" w:hAnsi="楷体_GB2312" w:eastAsia="楷体_GB2312" w:cs="楷体_GB2312"/>
          <w:bCs/>
          <w:color w:val="000000"/>
          <w:sz w:val="32"/>
          <w:szCs w:val="24"/>
        </w:rPr>
      </w:pPr>
      <w:bookmarkStart w:id="68" w:name="_Toc6217"/>
      <w:bookmarkStart w:id="69" w:name="_Toc18607"/>
      <w:bookmarkStart w:id="70" w:name="_Toc223937990"/>
      <w:r>
        <w:rPr>
          <w:rFonts w:hint="eastAsia" w:ascii="楷体_GB2312" w:hAnsi="楷体_GB2312" w:eastAsia="楷体_GB2312" w:cs="楷体_GB2312"/>
          <w:bCs/>
          <w:color w:val="000000"/>
          <w:sz w:val="32"/>
          <w:szCs w:val="32"/>
          <w:lang w:bidi="ar"/>
        </w:rPr>
        <w:t>五、提升创新企业集聚</w:t>
      </w:r>
      <w:bookmarkEnd w:id="68"/>
      <w:bookmarkEnd w:id="69"/>
      <w:bookmarkEnd w:id="70"/>
      <w:r>
        <w:rPr>
          <w:rFonts w:hint="eastAsia" w:ascii="楷体_GB2312" w:hAnsi="楷体_GB2312" w:eastAsia="楷体_GB2312" w:cs="楷体_GB2312"/>
          <w:bCs/>
          <w:color w:val="000000"/>
          <w:sz w:val="32"/>
          <w:szCs w:val="32"/>
          <w:lang w:bidi="ar"/>
        </w:rPr>
        <w:t>水平</w:t>
      </w:r>
    </w:p>
    <w:p w14:paraId="13AB523E">
      <w:pPr>
        <w:widowControl/>
        <w:overflowPunct w:val="0"/>
        <w:adjustRightInd w:val="0"/>
        <w:snapToGrid w:val="0"/>
        <w:spacing w:line="600" w:lineRule="exact"/>
        <w:ind w:firstLine="640" w:firstLineChars="200"/>
        <w:rPr>
          <w:rFonts w:ascii="Times New Roman" w:hAnsi="Times New Roman" w:eastAsia="仿宋_GB2312" w:cs="Times New Roman"/>
          <w:color w:val="000000"/>
          <w:sz w:val="32"/>
          <w:szCs w:val="32"/>
          <w:lang w:bidi="ar"/>
        </w:rPr>
      </w:pPr>
      <w:r>
        <w:rPr>
          <w:rFonts w:hint="eastAsia" w:ascii="Times New Roman" w:hAnsi="Times New Roman" w:eastAsia="仿宋_GB2312" w:cs="Times New Roman"/>
          <w:color w:val="000000"/>
          <w:sz w:val="32"/>
          <w:szCs w:val="32"/>
          <w:lang w:bidi="ar"/>
        </w:rPr>
        <w:t>主动引导驻区央国企开放行业应用场景，发挥产业链引领带动作用，促进优质创新资源落地转化与价值释放。引导火炬六类企业向园区集聚，推动科技型企业</w:t>
      </w:r>
      <w:r>
        <w:rPr>
          <w:rFonts w:hint="eastAsia" w:ascii="Times New Roman" w:hAnsi="Times New Roman" w:eastAsia="仿宋_GB2312" w:cs="Times New Roman"/>
          <w:color w:val="000000"/>
          <w:sz w:val="32"/>
          <w:szCs w:val="32"/>
          <w:lang w:eastAsia="zh-CN" w:bidi="ar"/>
        </w:rPr>
        <w:t>健康成长，</w:t>
      </w:r>
      <w:r>
        <w:rPr>
          <w:rFonts w:hint="eastAsia" w:ascii="Times New Roman" w:hAnsi="Times New Roman" w:eastAsia="仿宋_GB2312" w:cs="Times New Roman"/>
          <w:color w:val="000000"/>
          <w:sz w:val="32"/>
          <w:szCs w:val="32"/>
          <w:lang w:bidi="ar"/>
        </w:rPr>
        <w:t>形成一批百亿级、千亿级企业。持续引聚跨国企业与外资研发中心，加大政策辅导和服务力度，鼓励跨国企业落地研发创新功能性总部，支持跨国企业与本地高校、科研机构与重点企业合作，共建跨国联合研发、成果转化、离岸创新等合作平台。</w:t>
      </w:r>
    </w:p>
    <w:p w14:paraId="2E7ED616">
      <w:pPr>
        <w:widowControl/>
        <w:overflowPunct w:val="0"/>
        <w:adjustRightInd w:val="0"/>
        <w:snapToGrid w:val="0"/>
        <w:spacing w:line="600" w:lineRule="exact"/>
        <w:ind w:firstLine="640" w:firstLineChars="200"/>
        <w:outlineLvl w:val="1"/>
        <w:rPr>
          <w:rFonts w:hint="eastAsia" w:ascii="楷体_GB2312" w:hAnsi="楷体_GB2312" w:eastAsia="楷体_GB2312" w:cs="楷体_GB2312"/>
          <w:bCs/>
          <w:color w:val="000000"/>
          <w:sz w:val="32"/>
          <w:szCs w:val="24"/>
        </w:rPr>
      </w:pPr>
      <w:bookmarkStart w:id="71" w:name="_Toc10353"/>
      <w:bookmarkStart w:id="72" w:name="_Toc10624"/>
      <w:bookmarkStart w:id="73" w:name="_Toc223937991"/>
      <w:r>
        <w:rPr>
          <w:rFonts w:hint="eastAsia" w:ascii="楷体_GB2312" w:hAnsi="楷体_GB2312" w:eastAsia="楷体_GB2312" w:cs="楷体_GB2312"/>
          <w:bCs/>
          <w:color w:val="000000"/>
          <w:sz w:val="32"/>
          <w:szCs w:val="32"/>
          <w:lang w:bidi="ar"/>
        </w:rPr>
        <w:t>六、建设创新创业人才首选地</w:t>
      </w:r>
      <w:bookmarkEnd w:id="71"/>
      <w:bookmarkEnd w:id="72"/>
      <w:bookmarkEnd w:id="73"/>
    </w:p>
    <w:p w14:paraId="52E7E15C">
      <w:pPr>
        <w:widowControl/>
        <w:overflowPunct w:val="0"/>
        <w:adjustRightInd w:val="0"/>
        <w:snapToGrid w:val="0"/>
        <w:spacing w:line="60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sz w:val="32"/>
          <w:szCs w:val="24"/>
          <w:lang w:bidi="ar"/>
        </w:rPr>
        <w:t>扩大朝阳国际人才创业大会</w:t>
      </w:r>
      <w:r>
        <w:rPr>
          <w:rFonts w:hint="eastAsia" w:ascii="Times New Roman" w:hAnsi="Times New Roman" w:eastAsia="仿宋_GB2312" w:cs="Times New Roman"/>
          <w:color w:val="000000"/>
          <w:sz w:val="32"/>
          <w:szCs w:val="24"/>
          <w:lang w:bidi="ar"/>
        </w:rPr>
        <w:t>（ITEC）</w:t>
      </w:r>
      <w:r>
        <w:rPr>
          <w:rFonts w:hint="eastAsia" w:ascii="仿宋_GB2312" w:hAnsi="仿宋_GB2312" w:eastAsia="仿宋_GB2312" w:cs="仿宋_GB2312"/>
          <w:color w:val="000000"/>
          <w:sz w:val="32"/>
          <w:szCs w:val="32"/>
          <w:lang w:bidi="ar"/>
        </w:rPr>
        <w:t>“双招双引”品牌</w:t>
      </w:r>
      <w:r>
        <w:rPr>
          <w:rFonts w:hint="eastAsia" w:ascii="仿宋_GB2312" w:hAnsi="仿宋_GB2312" w:eastAsia="仿宋_GB2312" w:cs="仿宋_GB2312"/>
          <w:color w:val="000000"/>
          <w:sz w:val="32"/>
          <w:szCs w:val="24"/>
          <w:lang w:bidi="ar"/>
        </w:rPr>
        <w:t>全球影响力，做强</w:t>
      </w:r>
      <w:r>
        <w:rPr>
          <w:rFonts w:hint="eastAsia" w:ascii="仿宋_GB2312" w:hAnsi="仿宋_GB2312" w:eastAsia="仿宋_GB2312" w:cs="仿宋_GB2312"/>
          <w:color w:val="000000"/>
          <w:sz w:val="32"/>
          <w:szCs w:val="40"/>
          <w:lang w:bidi="ar"/>
        </w:rPr>
        <w:t>中国北京（望京）留学人员创业园、</w:t>
      </w:r>
      <w:r>
        <w:rPr>
          <w:rFonts w:hint="eastAsia" w:ascii="仿宋_GB2312" w:hAnsi="仿宋_GB2312" w:eastAsia="仿宋_GB2312" w:cs="仿宋_GB2312"/>
          <w:color w:val="000000"/>
          <w:sz w:val="32"/>
          <w:szCs w:val="24"/>
          <w:lang w:bidi="ar"/>
        </w:rPr>
        <w:t>朝阳</w:t>
      </w:r>
      <w:r>
        <w:rPr>
          <w:rFonts w:hint="eastAsia" w:ascii="Times New Roman" w:hAnsi="Times New Roman" w:eastAsia="仿宋_GB2312" w:cs="Times New Roman"/>
          <w:color w:val="000000"/>
          <w:sz w:val="32"/>
          <w:szCs w:val="24"/>
          <w:lang w:bidi="ar"/>
        </w:rPr>
        <w:t>ITEC</w:t>
      </w:r>
      <w:r>
        <w:rPr>
          <w:rFonts w:hint="eastAsia" w:ascii="仿宋_GB2312" w:hAnsi="仿宋_GB2312" w:eastAsia="仿宋_GB2312" w:cs="仿宋_GB2312"/>
          <w:color w:val="000000"/>
          <w:sz w:val="32"/>
          <w:szCs w:val="24"/>
          <w:lang w:bidi="ar"/>
        </w:rPr>
        <w:t>创新创业园，打造国际人才创新创业首选地。用好市、区“高聚工程”“凤凰计划”等人才工程项目，</w:t>
      </w:r>
      <w:r>
        <w:rPr>
          <w:rFonts w:hint="eastAsia" w:ascii="仿宋_GB2312" w:hAnsi="仿宋_GB2312" w:eastAsia="仿宋_GB2312" w:cs="仿宋_GB2312"/>
          <w:color w:val="000000"/>
          <w:sz w:val="32"/>
          <w:szCs w:val="32"/>
          <w:lang w:bidi="ar"/>
        </w:rPr>
        <w:t>落实“朝阳青创十五条”，</w:t>
      </w:r>
      <w:r>
        <w:rPr>
          <w:rFonts w:hint="eastAsia" w:ascii="仿宋_GB2312" w:hAnsi="仿宋_GB2312" w:eastAsia="仿宋_GB2312" w:cs="仿宋_GB2312"/>
          <w:color w:val="000000"/>
          <w:sz w:val="32"/>
          <w:szCs w:val="24"/>
          <w:lang w:bidi="ar"/>
        </w:rPr>
        <w:t>创新多元化引才方式，加大对科技领军人才、产业技术人才、青年科技人才、创业人才等高层次人才引进培育力度。完善园区国际化生产生活配套与便利化服务，</w:t>
      </w:r>
      <w:r>
        <w:rPr>
          <w:rFonts w:hint="eastAsia" w:ascii="仿宋_GB2312" w:hAnsi="仿宋_GB2312" w:eastAsia="仿宋_GB2312" w:cs="仿宋_GB2312"/>
          <w:color w:val="000000"/>
          <w:sz w:val="32"/>
          <w:szCs w:val="32"/>
          <w:lang w:bidi="ar"/>
        </w:rPr>
        <w:t>推进北京国际人才公园、爱瑞国际化医疗综合体等重点项目建设，</w:t>
      </w:r>
      <w:r>
        <w:rPr>
          <w:rFonts w:hint="eastAsia" w:ascii="仿宋_GB2312" w:hAnsi="仿宋_GB2312" w:eastAsia="仿宋_GB2312" w:cs="仿宋_GB2312"/>
          <w:color w:val="000000"/>
          <w:sz w:val="32"/>
          <w:szCs w:val="24"/>
          <w:lang w:bidi="ar"/>
        </w:rPr>
        <w:t>优化望京国际人才社区环境，全面提升园区人才服务保障能力和</w:t>
      </w:r>
      <w:r>
        <w:rPr>
          <w:rFonts w:hint="eastAsia" w:ascii="仿宋_GB2312" w:hAnsi="仿宋_GB2312" w:eastAsia="仿宋_GB2312" w:cs="仿宋_GB2312"/>
          <w:color w:val="000000"/>
          <w:sz w:val="32"/>
          <w:szCs w:val="32"/>
          <w:lang w:bidi="ar"/>
        </w:rPr>
        <w:t>吸引力</w:t>
      </w:r>
      <w:r>
        <w:rPr>
          <w:rFonts w:hint="eastAsia" w:ascii="仿宋_GB2312" w:hAnsi="仿宋_GB2312" w:eastAsia="仿宋_GB2312" w:cs="仿宋_GB2312"/>
          <w:color w:val="000000" w:themeColor="text1"/>
          <w:sz w:val="32"/>
          <w:szCs w:val="32"/>
          <w14:textFill>
            <w14:solidFill>
              <w14:schemeClr w14:val="tx1"/>
            </w14:solidFill>
          </w14:textFill>
        </w:rPr>
        <w:t>。</w:t>
      </w:r>
    </w:p>
    <w:p w14:paraId="24BD5852">
      <w:pPr>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br w:type="page"/>
      </w:r>
    </w:p>
    <w:p w14:paraId="0EF209B9">
      <w:pPr>
        <w:keepNext/>
        <w:keepLines/>
        <w:widowControl/>
        <w:adjustRightInd w:val="0"/>
        <w:snapToGrid w:val="0"/>
        <w:spacing w:before="156" w:beforeLines="50" w:after="156" w:afterLines="50" w:line="560" w:lineRule="exact"/>
        <w:jc w:val="center"/>
        <w:outlineLvl w:val="0"/>
        <w:rPr>
          <w:rFonts w:eastAsia="黑体" w:cs="黑体"/>
          <w:color w:val="000000"/>
          <w:kern w:val="0"/>
          <w:sz w:val="32"/>
          <w:szCs w:val="32"/>
        </w:rPr>
      </w:pPr>
      <w:bookmarkStart w:id="74" w:name="_Toc19971"/>
      <w:bookmarkStart w:id="75" w:name="_Toc32319"/>
      <w:bookmarkStart w:id="76" w:name="_Toc25068"/>
      <w:r>
        <w:rPr>
          <w:rFonts w:hint="eastAsia" w:eastAsia="黑体" w:cs="黑体"/>
          <w:color w:val="000000"/>
          <w:kern w:val="0"/>
          <w:sz w:val="32"/>
          <w:szCs w:val="32"/>
        </w:rPr>
        <w:t>第四章 提升电子城片区</w:t>
      </w:r>
      <w:bookmarkEnd w:id="54"/>
      <w:bookmarkEnd w:id="55"/>
      <w:r>
        <w:rPr>
          <w:rFonts w:hint="eastAsia" w:eastAsia="黑体" w:cs="黑体"/>
          <w:color w:val="000000"/>
          <w:kern w:val="0"/>
          <w:sz w:val="32"/>
          <w:szCs w:val="32"/>
        </w:rPr>
        <w:t>产业集聚功能</w:t>
      </w:r>
      <w:bookmarkEnd w:id="74"/>
      <w:bookmarkEnd w:id="75"/>
      <w:bookmarkEnd w:id="76"/>
    </w:p>
    <w:p w14:paraId="766BC011">
      <w:pPr>
        <w:tabs>
          <w:tab w:val="left" w:pos="1440"/>
        </w:tabs>
        <w:overflowPunct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sz w:val="32"/>
          <w:szCs w:val="32"/>
          <w:lang w:bidi="ar"/>
        </w:rPr>
        <w:t>以酒仙桥、将台、望京、东湖等街乡为核心，以纳入中国（北京）自由贸易试验区联动发展区为契机，加速推进北京人工智能创新街区—朝阳“光智空间”建设，打造</w:t>
      </w:r>
      <w:r>
        <w:rPr>
          <w:rFonts w:hint="eastAsia" w:ascii="Times New Roman" w:hAnsi="Times New Roman" w:eastAsia="仿宋_GB2312" w:cs="Times New Roman"/>
          <w:color w:val="000000"/>
          <w:sz w:val="32"/>
          <w:szCs w:val="24"/>
          <w:lang w:bidi="ar"/>
        </w:rPr>
        <w:t>AIGC</w:t>
      </w:r>
      <w:r>
        <w:rPr>
          <w:rFonts w:hint="eastAsia" w:ascii="仿宋_GB2312" w:hAnsi="仿宋_GB2312" w:eastAsia="仿宋_GB2312" w:cs="仿宋_GB2312"/>
          <w:sz w:val="32"/>
          <w:szCs w:val="32"/>
          <w:lang w:bidi="ar"/>
        </w:rPr>
        <w:t>产业集聚区，数字医疗、医药健康</w:t>
      </w:r>
      <w:r>
        <w:rPr>
          <w:rFonts w:hint="eastAsia" w:ascii="仿宋_GB2312" w:hAnsi="仿宋_GB2312" w:eastAsia="仿宋_GB2312" w:cs="仿宋_GB2312"/>
          <w:sz w:val="32"/>
          <w:szCs w:val="32"/>
          <w:lang w:eastAsia="zh-CN" w:bidi="ar"/>
        </w:rPr>
        <w:t>、</w:t>
      </w:r>
      <w:r>
        <w:rPr>
          <w:rFonts w:hint="eastAsia" w:ascii="仿宋_GB2312" w:hAnsi="仿宋_GB2312" w:eastAsia="仿宋_GB2312" w:cs="仿宋_GB2312"/>
          <w:sz w:val="32"/>
          <w:szCs w:val="32"/>
          <w:lang w:bidi="ar"/>
        </w:rPr>
        <w:t>智慧康养等产业和未来产业孵化区，提升产业集聚度和空间承载力。</w:t>
      </w:r>
    </w:p>
    <w:p w14:paraId="1EB43F6B">
      <w:pPr>
        <w:tabs>
          <w:tab w:val="left" w:pos="1440"/>
        </w:tabs>
        <w:overflowPunct w:val="0"/>
        <w:adjustRightInd w:val="0"/>
        <w:snapToGrid w:val="0"/>
        <w:spacing w:line="600" w:lineRule="exact"/>
        <w:ind w:firstLine="640" w:firstLineChars="200"/>
        <w:outlineLvl w:val="1"/>
        <w:rPr>
          <w:rFonts w:hint="eastAsia" w:ascii="楷体_GB2312" w:hAnsi="楷体_GB2312" w:eastAsia="楷体_GB2312" w:cs="楷体_GB2312"/>
          <w:bCs/>
          <w:color w:val="000000"/>
          <w:sz w:val="32"/>
          <w:szCs w:val="32"/>
        </w:rPr>
      </w:pPr>
      <w:bookmarkStart w:id="77" w:name="_Toc15676"/>
      <w:bookmarkStart w:id="78" w:name="_Toc223937993"/>
      <w:bookmarkStart w:id="79" w:name="_Toc15223"/>
      <w:r>
        <w:rPr>
          <w:rFonts w:hint="eastAsia" w:ascii="楷体_GB2312" w:hAnsi="楷体_GB2312" w:eastAsia="楷体_GB2312" w:cs="楷体_GB2312"/>
          <w:bCs/>
          <w:color w:val="000000"/>
          <w:sz w:val="32"/>
          <w:szCs w:val="32"/>
          <w:lang w:bidi="ar"/>
        </w:rPr>
        <w:t>一、建设朝阳“</w:t>
      </w:r>
      <w:r>
        <w:rPr>
          <w:rFonts w:hint="eastAsia" w:ascii="楷体_GB2312" w:hAnsi="楷体_GB2312" w:eastAsia="楷体_GB2312" w:cs="楷体_GB2312"/>
          <w:bCs/>
          <w:sz w:val="32"/>
          <w:szCs w:val="32"/>
          <w:lang w:bidi="ar"/>
        </w:rPr>
        <w:t>光智空间</w:t>
      </w:r>
      <w:r>
        <w:rPr>
          <w:rFonts w:hint="eastAsia" w:ascii="楷体_GB2312" w:hAnsi="楷体_GB2312" w:eastAsia="楷体_GB2312" w:cs="楷体_GB2312"/>
          <w:bCs/>
          <w:color w:val="000000"/>
          <w:sz w:val="32"/>
          <w:szCs w:val="32"/>
          <w:lang w:bidi="ar"/>
        </w:rPr>
        <w:t>”</w:t>
      </w:r>
      <w:bookmarkEnd w:id="77"/>
      <w:bookmarkEnd w:id="78"/>
      <w:bookmarkEnd w:id="79"/>
    </w:p>
    <w:p w14:paraId="03F1AD70">
      <w:pPr>
        <w:tabs>
          <w:tab w:val="left" w:pos="1440"/>
        </w:tabs>
        <w:overflowPunct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sz w:val="32"/>
          <w:szCs w:val="32"/>
        </w:rPr>
        <w:t>依托酒仙桥、将台等街乡，以“光算融合、智启新境”为特色定位，建设“光智空间”人工智能创新街区，推动光子量子、未来显示等前沿技术与人工智能应用深度融合。聚焦光计算、光交换、量子算力等前沿赛道，布局算力算网基础设施，夯实街区科创核心引擎。围绕硅光芯片、集成电路、光电封装等领域，补齐光算力硬件全链条，实现技术从算法到硬件闭环落地。拓展多元创新场景，孵化工业</w:t>
      </w:r>
      <w:r>
        <w:rPr>
          <w:rFonts w:ascii="Times New Roman" w:hAnsi="Times New Roman" w:eastAsia="仿宋_GB2312" w:cs="Times New Roman"/>
          <w:sz w:val="32"/>
          <w:szCs w:val="32"/>
        </w:rPr>
        <w:t>AI、AIGC、</w:t>
      </w:r>
      <w:r>
        <w:rPr>
          <w:rFonts w:hint="eastAsia" w:ascii="仿宋_GB2312" w:hAnsi="仿宋_GB2312" w:eastAsia="仿宋_GB2312" w:cs="仿宋_GB2312"/>
          <w:sz w:val="32"/>
          <w:szCs w:val="32"/>
        </w:rPr>
        <w:t>数字医疗、数据安全等新兴业态，打造全球</w:t>
      </w:r>
      <w:r>
        <w:rPr>
          <w:rFonts w:hint="eastAsia" w:ascii="Times New Roman" w:hAnsi="Times New Roman" w:eastAsia="仿宋_GB2312" w:cs="Times New Roman"/>
          <w:sz w:val="32"/>
          <w:szCs w:val="32"/>
        </w:rPr>
        <w:t>AI</w:t>
      </w:r>
      <w:r>
        <w:rPr>
          <w:rFonts w:hint="eastAsia" w:ascii="仿宋_GB2312" w:hAnsi="仿宋_GB2312" w:eastAsia="仿宋_GB2312" w:cs="仿宋_GB2312"/>
          <w:sz w:val="32"/>
          <w:szCs w:val="32"/>
        </w:rPr>
        <w:t>场景驱动创新高地，建成未来智算的创新策源地、</w:t>
      </w:r>
      <w:r>
        <w:rPr>
          <w:rFonts w:hint="eastAsia" w:ascii="Times New Roman" w:hAnsi="Times New Roman" w:eastAsia="仿宋_GB2312" w:cs="Times New Roman"/>
          <w:sz w:val="32"/>
          <w:szCs w:val="32"/>
        </w:rPr>
        <w:t>AI</w:t>
      </w:r>
      <w:r>
        <w:rPr>
          <w:rFonts w:hint="eastAsia" w:ascii="仿宋_GB2312" w:hAnsi="仿宋_GB2312" w:eastAsia="仿宋_GB2312" w:cs="仿宋_GB2312"/>
          <w:sz w:val="32"/>
          <w:szCs w:val="32"/>
        </w:rPr>
        <w:t>场景的全域全时试验场</w:t>
      </w:r>
      <w:r>
        <w:rPr>
          <w:rFonts w:hint="eastAsia" w:ascii="仿宋_GB2312" w:hAnsi="仿宋_GB2312" w:eastAsia="仿宋_GB2312" w:cs="仿宋_GB2312"/>
          <w:sz w:val="32"/>
          <w:szCs w:val="32"/>
          <w:lang w:bidi="ar"/>
        </w:rPr>
        <w:t>。优化产业创新生态，发挥赛事活动、公共服务平台作用，做强“创客中国”创新创业大赛、</w:t>
      </w:r>
      <w:r>
        <w:rPr>
          <w:rFonts w:hint="eastAsia" w:ascii="Times New Roman" w:hAnsi="Times New Roman" w:eastAsia="仿宋_GB2312" w:cs="Times New Roman"/>
          <w:sz w:val="32"/>
          <w:szCs w:val="32"/>
        </w:rPr>
        <w:t>ITEC“光智空间”专场赛等品牌活动，建设创作者社区和OPC社</w:t>
      </w:r>
      <w:r>
        <w:rPr>
          <w:rFonts w:hint="eastAsia" w:ascii="仿宋_GB2312" w:hAnsi="仿宋_GB2312" w:eastAsia="仿宋_GB2312" w:cs="仿宋_GB2312"/>
          <w:sz w:val="32"/>
          <w:szCs w:val="32"/>
          <w:lang w:bidi="ar"/>
        </w:rPr>
        <w:t>区，加速创新人才集聚发展。发挥“光智空间”共建联盟协同作用，支持各类创新主体开展项目拓展、企业招引、场景落地、专业服务、活动组织。</w:t>
      </w:r>
      <w:r>
        <w:rPr>
          <w:rFonts w:hint="eastAsia" w:ascii="仿宋_GB2312" w:hAnsi="仿宋_GB2312" w:eastAsia="仿宋_GB2312" w:cs="仿宋_GB2312"/>
          <w:sz w:val="32"/>
          <w:szCs w:val="32"/>
        </w:rPr>
        <w:t>推动区域面貌焕新，支持酒仙桥、将台推进“光智空间”全域公共空间改造提升，围绕酒仙桥北路、驼房营路等核心道路集中打造科技赋能的复合空间。将“光智空间”建设成为世界级的人工智能创新应用集聚区</w:t>
      </w:r>
      <w:r>
        <w:rPr>
          <w:rFonts w:hint="eastAsia" w:ascii="仿宋_GB2312" w:hAnsi="仿宋_GB2312" w:eastAsia="仿宋_GB2312" w:cs="仿宋_GB2312"/>
          <w:sz w:val="32"/>
          <w:szCs w:val="32"/>
          <w:lang w:bidi="ar"/>
        </w:rPr>
        <w:t>。</w:t>
      </w:r>
    </w:p>
    <w:p w14:paraId="699752B0">
      <w:pPr>
        <w:tabs>
          <w:tab w:val="left" w:pos="1440"/>
        </w:tabs>
        <w:overflowPunct w:val="0"/>
        <w:adjustRightInd w:val="0"/>
        <w:snapToGrid w:val="0"/>
        <w:spacing w:line="600" w:lineRule="exact"/>
        <w:ind w:firstLine="640" w:firstLineChars="200"/>
        <w:outlineLvl w:val="1"/>
        <w:rPr>
          <w:rFonts w:hint="eastAsia" w:ascii="楷体_GB2312" w:hAnsi="楷体_GB2312" w:eastAsia="楷体_GB2312" w:cs="楷体_GB2312"/>
          <w:bCs/>
          <w:color w:val="000000"/>
          <w:sz w:val="32"/>
          <w:szCs w:val="32"/>
          <w:lang w:bidi="ar"/>
        </w:rPr>
      </w:pPr>
      <w:bookmarkStart w:id="80" w:name="_Toc5570"/>
      <w:bookmarkStart w:id="81" w:name="_Toc223937994"/>
      <w:bookmarkStart w:id="82" w:name="_Toc29705"/>
      <w:r>
        <w:rPr>
          <w:rFonts w:hint="eastAsia" w:ascii="楷体_GB2312" w:hAnsi="楷体_GB2312" w:eastAsia="楷体_GB2312" w:cs="楷体_GB2312"/>
          <w:bCs/>
          <w:color w:val="000000"/>
          <w:sz w:val="32"/>
          <w:szCs w:val="32"/>
          <w:lang w:bidi="ar"/>
        </w:rPr>
        <w:t>二、构筑</w:t>
      </w:r>
      <w:r>
        <w:rPr>
          <w:rFonts w:hint="eastAsia" w:ascii="Times New Roman" w:hAnsi="Times New Roman" w:eastAsia="仿宋_GB2312" w:cs="Times New Roman"/>
          <w:color w:val="000000"/>
          <w:sz w:val="32"/>
          <w:szCs w:val="24"/>
          <w:lang w:bidi="ar"/>
        </w:rPr>
        <w:t>AIGC</w:t>
      </w:r>
      <w:r>
        <w:rPr>
          <w:rFonts w:hint="eastAsia" w:ascii="楷体_GB2312" w:hAnsi="楷体_GB2312" w:eastAsia="楷体_GB2312" w:cs="楷体_GB2312"/>
          <w:bCs/>
          <w:color w:val="000000"/>
          <w:sz w:val="32"/>
          <w:szCs w:val="32"/>
          <w:lang w:bidi="ar"/>
        </w:rPr>
        <w:t>产业集聚区</w:t>
      </w:r>
      <w:bookmarkEnd w:id="80"/>
      <w:bookmarkEnd w:id="81"/>
      <w:bookmarkEnd w:id="82"/>
    </w:p>
    <w:p w14:paraId="6D4C2232">
      <w:pPr>
        <w:tabs>
          <w:tab w:val="left" w:pos="1440"/>
        </w:tabs>
        <w:overflowPunct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sz w:val="32"/>
          <w:szCs w:val="32"/>
        </w:rPr>
        <w:t>发挥酒仙桥、将台、望京、东湖等街乡作用，依托中关村（朝阳）互联网</w:t>
      </w:r>
      <w:r>
        <w:rPr>
          <w:rFonts w:hint="eastAsia" w:ascii="Times New Roman" w:hAnsi="Times New Roman" w:eastAsia="仿宋_GB2312" w:cs="Times New Roman"/>
          <w:color w:val="000000"/>
          <w:sz w:val="32"/>
          <w:szCs w:val="24"/>
          <w:lang w:bidi="ar"/>
        </w:rPr>
        <w:t>3.0</w:t>
      </w:r>
      <w:r>
        <w:rPr>
          <w:rFonts w:hint="eastAsia" w:ascii="仿宋_GB2312" w:hAnsi="仿宋_GB2312" w:eastAsia="仿宋_GB2312" w:cs="仿宋_GB2312"/>
          <w:sz w:val="32"/>
          <w:szCs w:val="32"/>
        </w:rPr>
        <w:t>产业园、北京数字人基地、中关村（朝阳）未来显示产业园等特色园区，聚焦广告营销、影视制作、短剧短视频、动漫动画、游戏电竞、工业设计等重点优势领域，精准打造</w:t>
      </w:r>
      <w:r>
        <w:rPr>
          <w:rFonts w:hint="eastAsia" w:ascii="Times New Roman" w:hAnsi="Times New Roman" w:eastAsia="仿宋_GB2312" w:cs="Times New Roman"/>
          <w:color w:val="000000"/>
          <w:sz w:val="32"/>
          <w:szCs w:val="24"/>
          <w:lang w:bidi="ar"/>
        </w:rPr>
        <w:t>AIGC</w:t>
      </w:r>
      <w:r>
        <w:rPr>
          <w:rFonts w:hint="eastAsia" w:ascii="仿宋_GB2312" w:hAnsi="仿宋_GB2312" w:eastAsia="仿宋_GB2312" w:cs="仿宋_GB2312"/>
          <w:sz w:val="32"/>
          <w:szCs w:val="32"/>
        </w:rPr>
        <w:t>产业赛道，引育重点企业、重大项目和创新平台落地发展。系统性布局算力基础设施、高质量数据集、多模态模型、智能体平台等共性技术底座与核心工具链，重点推进</w:t>
      </w:r>
      <w:r>
        <w:rPr>
          <w:rFonts w:hint="eastAsia" w:ascii="Times New Roman" w:hAnsi="Times New Roman" w:eastAsia="仿宋_GB2312" w:cs="Times New Roman"/>
          <w:color w:val="000000"/>
          <w:sz w:val="32"/>
          <w:szCs w:val="24"/>
          <w:lang w:bidi="ar"/>
        </w:rPr>
        <w:t>AIGC</w:t>
      </w:r>
      <w:r>
        <w:rPr>
          <w:rFonts w:hint="eastAsia" w:ascii="仿宋_GB2312" w:hAnsi="仿宋_GB2312" w:eastAsia="仿宋_GB2312" w:cs="仿宋_GB2312"/>
          <w:sz w:val="32"/>
          <w:szCs w:val="32"/>
        </w:rPr>
        <w:t>产品研发和技术转化落地，构建覆盖技术研发、创新孵化、场景应用、内容生产的</w:t>
      </w:r>
      <w:r>
        <w:rPr>
          <w:rFonts w:hint="eastAsia" w:ascii="Times New Roman" w:hAnsi="Times New Roman" w:eastAsia="仿宋_GB2312" w:cs="Times New Roman"/>
          <w:color w:val="000000"/>
          <w:sz w:val="32"/>
          <w:szCs w:val="24"/>
          <w:lang w:bidi="ar"/>
        </w:rPr>
        <w:t>AIGC</w:t>
      </w:r>
      <w:r>
        <w:rPr>
          <w:rFonts w:hint="eastAsia" w:ascii="仿宋_GB2312" w:hAnsi="仿宋_GB2312" w:eastAsia="仿宋_GB2312" w:cs="仿宋_GB2312"/>
          <w:sz w:val="32"/>
          <w:szCs w:val="32"/>
        </w:rPr>
        <w:t>全产业链生态体系。辐射东坝、平房等街乡，依托</w:t>
      </w:r>
      <w:r>
        <w:rPr>
          <w:rFonts w:hint="eastAsia" w:ascii="Times New Roman" w:hAnsi="Times New Roman" w:eastAsia="仿宋_GB2312" w:cs="Times New Roman"/>
          <w:color w:val="000000"/>
          <w:sz w:val="32"/>
          <w:szCs w:val="24"/>
          <w:lang w:bidi="ar"/>
        </w:rPr>
        <w:t>AIGC</w:t>
      </w:r>
      <w:r>
        <w:rPr>
          <w:rFonts w:hint="eastAsia" w:ascii="仿宋_GB2312" w:hAnsi="仿宋_GB2312" w:eastAsia="仿宋_GB2312" w:cs="仿宋_GB2312"/>
          <w:sz w:val="32"/>
          <w:szCs w:val="32"/>
        </w:rPr>
        <w:t>视听产业创新中心</w:t>
      </w:r>
      <w:r>
        <w:rPr>
          <w:rFonts w:hint="eastAsia" w:ascii="仿宋_GB2312" w:hAnsi="仿宋_GB2312" w:eastAsia="仿宋_GB2312" w:cs="仿宋_GB2312"/>
          <w:color w:val="000000"/>
          <w:sz w:val="32"/>
          <w:szCs w:val="32"/>
        </w:rPr>
        <w:t>、虎鲸文娱数字影棚等重点项目，</w:t>
      </w:r>
      <w:r>
        <w:rPr>
          <w:rFonts w:hint="eastAsia" w:ascii="仿宋_GB2312" w:hAnsi="仿宋_GB2312" w:eastAsia="仿宋_GB2312" w:cs="仿宋_GB2312"/>
          <w:sz w:val="32"/>
          <w:szCs w:val="32"/>
        </w:rPr>
        <w:t>推动</w:t>
      </w:r>
      <w:r>
        <w:rPr>
          <w:rFonts w:hint="eastAsia" w:ascii="Times New Roman" w:hAnsi="Times New Roman" w:eastAsia="仿宋_GB2312" w:cs="Times New Roman"/>
          <w:color w:val="000000"/>
          <w:sz w:val="32"/>
          <w:szCs w:val="24"/>
          <w:lang w:bidi="ar"/>
        </w:rPr>
        <w:t>AIGC</w:t>
      </w:r>
      <w:r>
        <w:rPr>
          <w:rFonts w:hint="eastAsia" w:ascii="仿宋_GB2312" w:hAnsi="仿宋_GB2312" w:eastAsia="仿宋_GB2312" w:cs="仿宋_GB2312"/>
          <w:sz w:val="32"/>
          <w:szCs w:val="32"/>
        </w:rPr>
        <w:t>生产示范基地建设，打造高价值影像</w:t>
      </w:r>
      <w:r>
        <w:rPr>
          <w:rFonts w:hint="eastAsia" w:ascii="Times New Roman" w:hAnsi="Times New Roman" w:eastAsia="仿宋_GB2312" w:cs="Times New Roman"/>
          <w:color w:val="000000"/>
          <w:sz w:val="32"/>
          <w:szCs w:val="24"/>
          <w:lang w:bidi="ar"/>
        </w:rPr>
        <w:t>AIGC</w:t>
      </w:r>
      <w:r>
        <w:rPr>
          <w:rFonts w:hint="eastAsia" w:ascii="仿宋_GB2312" w:hAnsi="仿宋_GB2312" w:eastAsia="仿宋_GB2312" w:cs="仿宋_GB2312"/>
          <w:sz w:val="32"/>
          <w:szCs w:val="32"/>
        </w:rPr>
        <w:t>技术服务平台等产业服务平台，壮大</w:t>
      </w:r>
      <w:r>
        <w:rPr>
          <w:rFonts w:hint="eastAsia" w:ascii="Times New Roman" w:hAnsi="Times New Roman" w:eastAsia="仿宋_GB2312" w:cs="Times New Roman"/>
          <w:color w:val="000000"/>
          <w:sz w:val="32"/>
          <w:szCs w:val="24"/>
          <w:lang w:bidi="ar"/>
        </w:rPr>
        <w:t>AIGC</w:t>
      </w:r>
      <w:r>
        <w:rPr>
          <w:rFonts w:hint="eastAsia" w:ascii="仿宋_GB2312" w:hAnsi="仿宋_GB2312" w:eastAsia="仿宋_GB2312" w:cs="仿宋_GB2312"/>
          <w:sz w:val="32"/>
          <w:szCs w:val="32"/>
        </w:rPr>
        <w:t>产业集群规模</w:t>
      </w:r>
      <w:r>
        <w:rPr>
          <w:rFonts w:hint="eastAsia" w:ascii="仿宋_GB2312" w:hAnsi="仿宋_GB2312" w:eastAsia="仿宋_GB2312" w:cs="仿宋_GB2312"/>
          <w:sz w:val="32"/>
          <w:szCs w:val="32"/>
          <w:lang w:bidi="ar"/>
        </w:rPr>
        <w:t>。</w:t>
      </w:r>
    </w:p>
    <w:p w14:paraId="1CC8C676">
      <w:pPr>
        <w:tabs>
          <w:tab w:val="left" w:pos="1440"/>
        </w:tabs>
        <w:overflowPunct w:val="0"/>
        <w:adjustRightInd w:val="0"/>
        <w:snapToGrid w:val="0"/>
        <w:spacing w:line="600" w:lineRule="exact"/>
        <w:ind w:firstLine="640" w:firstLineChars="200"/>
        <w:outlineLvl w:val="1"/>
        <w:rPr>
          <w:rFonts w:hint="eastAsia" w:ascii="楷体_GB2312" w:hAnsi="楷体_GB2312" w:eastAsia="楷体_GB2312" w:cs="楷体_GB2312"/>
          <w:bCs/>
          <w:color w:val="000000"/>
          <w:sz w:val="32"/>
          <w:szCs w:val="32"/>
        </w:rPr>
      </w:pPr>
      <w:bookmarkStart w:id="83" w:name="_Toc10107"/>
      <w:bookmarkStart w:id="84" w:name="_Toc12793"/>
      <w:bookmarkStart w:id="85" w:name="_Toc223937995"/>
      <w:r>
        <w:rPr>
          <w:rFonts w:hint="eastAsia" w:ascii="楷体_GB2312" w:hAnsi="楷体_GB2312" w:eastAsia="楷体_GB2312" w:cs="楷体_GB2312"/>
          <w:bCs/>
          <w:color w:val="000000"/>
          <w:sz w:val="32"/>
          <w:szCs w:val="32"/>
          <w:lang w:bidi="ar"/>
        </w:rPr>
        <w:t>三、打造</w:t>
      </w:r>
      <w:r>
        <w:rPr>
          <w:rFonts w:hint="eastAsia" w:ascii="楷体_GB2312" w:hAnsi="楷体_GB2312" w:eastAsia="楷体_GB2312" w:cs="楷体_GB2312"/>
          <w:bCs/>
          <w:color w:val="000000"/>
          <w:sz w:val="32"/>
          <w:lang w:bidi="ar"/>
        </w:rPr>
        <w:t>数字医疗产业集聚区</w:t>
      </w:r>
      <w:bookmarkEnd w:id="83"/>
      <w:bookmarkEnd w:id="84"/>
      <w:bookmarkEnd w:id="85"/>
    </w:p>
    <w:p w14:paraId="5D725EBA">
      <w:pPr>
        <w:tabs>
          <w:tab w:val="left" w:pos="1440"/>
        </w:tabs>
        <w:overflowPunct w:val="0"/>
        <w:adjustRightInd w:val="0"/>
        <w:snapToGrid w:val="0"/>
        <w:spacing w:line="600" w:lineRule="exact"/>
        <w:ind w:firstLine="640" w:firstLineChars="200"/>
        <w:rPr>
          <w:rFonts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加强电子城片区与亚奥片区联动发展，建设中关村（朝阳）数字医疗产业园拓展区，围绕智能化医疗器械、</w:t>
      </w:r>
      <w:r>
        <w:rPr>
          <w:rFonts w:hint="eastAsia" w:ascii="Times New Roman" w:hAnsi="Times New Roman" w:eastAsia="仿宋_GB2312" w:cs="Times New Roman"/>
          <w:color w:val="000000"/>
          <w:sz w:val="32"/>
          <w:szCs w:val="24"/>
          <w:lang w:bidi="ar"/>
        </w:rPr>
        <w:t>AI</w:t>
      </w:r>
      <w:r>
        <w:rPr>
          <w:rFonts w:hint="eastAsia" w:ascii="仿宋_GB2312" w:hAnsi="仿宋_GB2312" w:eastAsia="仿宋_GB2312" w:cs="仿宋_GB2312"/>
          <w:sz w:val="32"/>
          <w:szCs w:val="32"/>
          <w:lang w:bidi="ar"/>
        </w:rPr>
        <w:t>辅助诊疗和前沿医学等赛道，承载数字医疗领域重大项目及优质企业落地，形成与先导区协同发展格局，做大数字医疗产业规模。推动数字医疗概念验证中心建设，聚焦专科专病，推动“优促计划”朝阳专项产品技术在区域医疗卫生机构落地应用。发挥数智中医产业研究院等重大项目引领功能，推进建设“</w:t>
      </w:r>
      <w:r>
        <w:rPr>
          <w:rFonts w:hint="eastAsia" w:ascii="Times New Roman" w:hAnsi="Times New Roman" w:eastAsia="仿宋_GB2312" w:cs="Times New Roman"/>
          <w:color w:val="000000"/>
          <w:sz w:val="32"/>
          <w:szCs w:val="24"/>
          <w:lang w:bidi="ar"/>
        </w:rPr>
        <w:t>AI+</w:t>
      </w:r>
      <w:r>
        <w:rPr>
          <w:rFonts w:hint="eastAsia" w:ascii="仿宋_GB2312" w:hAnsi="仿宋_GB2312" w:eastAsia="仿宋_GB2312" w:cs="仿宋_GB2312"/>
          <w:sz w:val="32"/>
          <w:szCs w:val="32"/>
          <w:lang w:bidi="ar"/>
        </w:rPr>
        <w:t>中医”多场景应用示范中心、“</w:t>
      </w:r>
      <w:r>
        <w:rPr>
          <w:rFonts w:hint="eastAsia" w:ascii="Times New Roman" w:hAnsi="Times New Roman" w:eastAsia="仿宋_GB2312" w:cs="Times New Roman"/>
          <w:color w:val="000000"/>
          <w:sz w:val="32"/>
          <w:szCs w:val="24"/>
          <w:lang w:bidi="ar"/>
        </w:rPr>
        <w:t>AI+</w:t>
      </w:r>
      <w:r>
        <w:rPr>
          <w:rFonts w:hint="eastAsia" w:ascii="仿宋_GB2312" w:hAnsi="仿宋_GB2312" w:eastAsia="仿宋_GB2312" w:cs="仿宋_GB2312"/>
          <w:sz w:val="32"/>
          <w:szCs w:val="32"/>
          <w:lang w:bidi="ar"/>
        </w:rPr>
        <w:t>中医”</w:t>
      </w:r>
      <w:r>
        <w:rPr>
          <w:rFonts w:hint="eastAsia" w:ascii="Times New Roman" w:hAnsi="Times New Roman" w:eastAsia="仿宋_GB2312" w:cs="Times New Roman"/>
          <w:color w:val="000000"/>
          <w:sz w:val="32"/>
          <w:szCs w:val="24"/>
          <w:lang w:bidi="ar"/>
        </w:rPr>
        <w:t>CDMO</w:t>
      </w:r>
      <w:r>
        <w:rPr>
          <w:rFonts w:hint="eastAsia" w:ascii="仿宋_GB2312" w:hAnsi="仿宋_GB2312" w:eastAsia="仿宋_GB2312" w:cs="仿宋_GB2312"/>
          <w:sz w:val="32"/>
          <w:szCs w:val="32"/>
          <w:lang w:bidi="ar"/>
        </w:rPr>
        <w:t>工程平台，构建数字中医药产业生态体系。推进中日友好医院科创中心（科技园）、国家医疗大数据标准化与集成应用重点实验室、清华大学-垂杨柳医院医学转化平台落地，推动医药健康领域成果转化与产业孵化。聚焦</w:t>
      </w:r>
      <w:r>
        <w:rPr>
          <w:rFonts w:hint="eastAsia" w:ascii="Times New Roman" w:hAnsi="Times New Roman" w:eastAsia="仿宋_GB2312" w:cs="Times New Roman"/>
          <w:color w:val="000000"/>
          <w:sz w:val="32"/>
          <w:szCs w:val="24"/>
          <w:lang w:bidi="ar"/>
        </w:rPr>
        <w:t>AI+</w:t>
      </w:r>
      <w:r>
        <w:rPr>
          <w:rFonts w:hint="eastAsia" w:ascii="仿宋_GB2312" w:hAnsi="仿宋_GB2312" w:eastAsia="仿宋_GB2312" w:cs="仿宋_GB2312"/>
          <w:sz w:val="32"/>
          <w:szCs w:val="32"/>
          <w:lang w:bidi="ar"/>
        </w:rPr>
        <w:t>精准诊疗专科专病等方向，助力北京市国家人工智能（医疗）中试基地建设，加速北京中瑞时尚健康国际创新中心国际化资源集聚，全力打造具有国内外影响力的数字医疗产业集聚区和创新策源地。聚焦</w:t>
      </w:r>
      <w:r>
        <w:rPr>
          <w:rFonts w:hint="eastAsia" w:eastAsia="仿宋_GB2312"/>
          <w:sz w:val="32"/>
          <w:szCs w:val="32"/>
          <w:highlight w:val="none"/>
        </w:rPr>
        <w:t>生物医药、器械装备、数智诊疗</w:t>
      </w:r>
      <w:r>
        <w:rPr>
          <w:rFonts w:hint="eastAsia" w:eastAsia="仿宋_GB2312"/>
          <w:sz w:val="32"/>
          <w:szCs w:val="32"/>
          <w:highlight w:val="none"/>
          <w:lang w:eastAsia="zh-CN"/>
        </w:rPr>
        <w:t>等</w:t>
      </w:r>
      <w:r>
        <w:rPr>
          <w:rFonts w:hint="eastAsia" w:ascii="仿宋_GB2312" w:hAnsi="仿宋_GB2312" w:eastAsia="仿宋_GB2312" w:cs="仿宋_GB2312"/>
          <w:sz w:val="32"/>
          <w:szCs w:val="32"/>
          <w:lang w:bidi="ar"/>
        </w:rPr>
        <w:t>赛道，加强医药外资主体培育升级与本土化发展，实现医药健康产业能级提升。</w:t>
      </w:r>
    </w:p>
    <w:p w14:paraId="07A8F8D0">
      <w:pPr>
        <w:tabs>
          <w:tab w:val="left" w:pos="1440"/>
        </w:tabs>
        <w:overflowPunct w:val="0"/>
        <w:adjustRightInd w:val="0"/>
        <w:snapToGrid w:val="0"/>
        <w:spacing w:line="600" w:lineRule="exact"/>
        <w:ind w:firstLine="640" w:firstLineChars="200"/>
        <w:outlineLvl w:val="1"/>
        <w:rPr>
          <w:rFonts w:hint="eastAsia" w:ascii="楷体_GB2312" w:hAnsi="楷体_GB2312" w:eastAsia="楷体_GB2312" w:cs="楷体_GB2312"/>
          <w:bCs/>
          <w:color w:val="000000"/>
          <w:sz w:val="32"/>
          <w:szCs w:val="32"/>
        </w:rPr>
      </w:pPr>
      <w:bookmarkStart w:id="86" w:name="_Toc223937996"/>
      <w:bookmarkStart w:id="87" w:name="_Toc29268"/>
      <w:bookmarkStart w:id="88" w:name="_Toc12786"/>
      <w:r>
        <w:rPr>
          <w:rFonts w:hint="eastAsia" w:ascii="楷体_GB2312" w:hAnsi="楷体_GB2312" w:eastAsia="楷体_GB2312" w:cs="楷体_GB2312"/>
          <w:bCs/>
          <w:color w:val="000000"/>
          <w:sz w:val="32"/>
          <w:szCs w:val="32"/>
          <w:lang w:bidi="ar"/>
        </w:rPr>
        <w:t>四、培育智慧康养产业集聚区</w:t>
      </w:r>
      <w:bookmarkEnd w:id="86"/>
      <w:bookmarkEnd w:id="87"/>
      <w:bookmarkEnd w:id="88"/>
    </w:p>
    <w:p w14:paraId="785E04F9">
      <w:pPr>
        <w:tabs>
          <w:tab w:val="left" w:pos="1440"/>
        </w:tabs>
        <w:overflowPunct w:val="0"/>
        <w:adjustRightInd w:val="0"/>
        <w:snapToGrid w:val="0"/>
        <w:spacing w:line="600" w:lineRule="exact"/>
        <w:ind w:firstLine="640" w:firstLineChars="200"/>
        <w:rPr>
          <w:rFonts w:ascii="Times New Roman" w:hAnsi="Times New Roman" w:eastAsia="仿宋_GB2312" w:cs="Times New Roman"/>
          <w:color w:val="000000"/>
          <w:sz w:val="32"/>
        </w:rPr>
      </w:pPr>
      <w:r>
        <w:rPr>
          <w:rFonts w:hint="eastAsia" w:ascii="Times New Roman" w:hAnsi="Times New Roman" w:eastAsia="仿宋_GB2312" w:cs="Times New Roman"/>
          <w:color w:val="000000"/>
          <w:sz w:val="32"/>
        </w:rPr>
        <w:t>推动在崔各庄乡大望京中心加速建设全市首个智慧康养产业园，聚焦康复医疗与智能照护领域，加强智能感知、人机交互与控制、类脑与脑机接口等关键技术攻关，推动智慧康养平台服务、智慧康养监测、智慧康养数据要素、康养机器人、智能辅具等核心细分赛道企业集聚发展。聚焦智慧康养产业发展需求，布局概念验证、研发验证、检验检测等共性技术服务平台，分层分类搭建场景验证与应用平台，构建“产学研医用”协同的创新联合体、联合实验室</w:t>
      </w:r>
      <w:r>
        <w:rPr>
          <w:rFonts w:hint="eastAsia" w:ascii="仿宋_GB2312" w:hAnsi="仿宋_GB2312" w:eastAsia="仿宋_GB2312" w:cs="仿宋_GB2312"/>
          <w:color w:val="000000"/>
          <w:sz w:val="32"/>
        </w:rPr>
        <w:t>和</w:t>
      </w:r>
      <w:r>
        <w:rPr>
          <w:rFonts w:hint="eastAsia" w:ascii="Times New Roman" w:hAnsi="Times New Roman" w:eastAsia="仿宋_GB2312" w:cs="Times New Roman"/>
          <w:color w:val="000000"/>
          <w:sz w:val="32"/>
        </w:rPr>
        <w:t>协同创新中心。围绕失能失智老年人、高龄老年人多元化需求，推动一批智能化适老产品技术研发升级迭代，实现在医疗机构、养老机构、社区、居家等场景应用落地。</w:t>
      </w:r>
    </w:p>
    <w:p w14:paraId="49F1B440">
      <w:pPr>
        <w:tabs>
          <w:tab w:val="left" w:pos="1440"/>
        </w:tabs>
        <w:overflowPunct w:val="0"/>
        <w:adjustRightInd w:val="0"/>
        <w:snapToGrid w:val="0"/>
        <w:spacing w:line="600" w:lineRule="exact"/>
        <w:ind w:firstLine="640" w:firstLineChars="200"/>
        <w:outlineLvl w:val="1"/>
        <w:rPr>
          <w:rFonts w:ascii="Times New Roman" w:hAnsi="Times New Roman" w:eastAsia="仿宋_GB2312" w:cs="Times New Roman"/>
          <w:sz w:val="32"/>
          <w:szCs w:val="32"/>
          <w:lang w:bidi="ar"/>
        </w:rPr>
      </w:pPr>
      <w:r>
        <w:rPr>
          <w:rFonts w:hint="eastAsia" w:ascii="楷体_GB2312" w:hAnsi="楷体_GB2312" w:eastAsia="楷体_GB2312" w:cs="楷体_GB2312"/>
          <w:bCs/>
          <w:color w:val="000000"/>
          <w:sz w:val="32"/>
          <w:szCs w:val="32"/>
          <w:lang w:bidi="ar"/>
        </w:rPr>
        <w:t>五、构建</w:t>
      </w:r>
      <w:r>
        <w:rPr>
          <w:rFonts w:hint="eastAsia" w:ascii="楷体_GB2312" w:hAnsi="楷体_GB2312" w:eastAsia="楷体_GB2312" w:cs="楷体_GB2312"/>
          <w:bCs/>
          <w:color w:val="000000"/>
          <w:sz w:val="32"/>
          <w:lang w:bidi="ar"/>
        </w:rPr>
        <w:t>能源智控产业集聚区</w:t>
      </w:r>
    </w:p>
    <w:p w14:paraId="589CD563">
      <w:pPr>
        <w:widowControl/>
        <w:overflowPunct w:val="0"/>
        <w:adjustRightInd w:val="0"/>
        <w:snapToGrid w:val="0"/>
        <w:spacing w:line="600" w:lineRule="exact"/>
        <w:ind w:firstLine="640" w:firstLineChars="200"/>
        <w:rPr>
          <w:rFonts w:ascii="Times New Roman" w:hAnsi="Times New Roman" w:eastAsia="仿宋_GB2312" w:cs="Times New Roman"/>
          <w:color w:val="000000"/>
          <w:sz w:val="32"/>
          <w:lang w:bidi="ar"/>
        </w:rPr>
      </w:pPr>
      <w:r>
        <w:rPr>
          <w:rFonts w:hint="eastAsia" w:ascii="仿宋_GB2312" w:hAnsi="仿宋_GB2312" w:eastAsia="仿宋_GB2312" w:cs="仿宋_GB2312"/>
          <w:sz w:val="32"/>
          <w:szCs w:val="32"/>
          <w:lang w:bidi="ar"/>
        </w:rPr>
        <w:t>围绕能源领域智能创新应用技术方向，支持链主企业开展产业链生态合作，打造能源智控领域特色园区，建立“央国企引领－跨国企业联动－中小企业支撑”发展布局。加强数字能源、新型储能、光伏光热等特色产业赛道引领，优化能源材料、能源装备等关键支撑，优化综合服务体系，完善能源智控产业体系。推动人工智能、数字技术与能源产业深度融合，打造“技术引领、场景丰富、生态完善”的能源智控产业创新发展高地。</w:t>
      </w:r>
    </w:p>
    <w:p w14:paraId="13B32483">
      <w:pPr>
        <w:tabs>
          <w:tab w:val="left" w:pos="1440"/>
        </w:tabs>
        <w:overflowPunct w:val="0"/>
        <w:adjustRightInd w:val="0"/>
        <w:snapToGrid w:val="0"/>
        <w:spacing w:line="600" w:lineRule="exact"/>
        <w:ind w:firstLine="640" w:firstLineChars="200"/>
        <w:outlineLvl w:val="1"/>
        <w:rPr>
          <w:rFonts w:hint="eastAsia" w:ascii="楷体_GB2312" w:hAnsi="楷体_GB2312" w:eastAsia="楷体_GB2312" w:cs="楷体_GB2312"/>
          <w:bCs/>
          <w:color w:val="000000"/>
          <w:sz w:val="32"/>
          <w:szCs w:val="32"/>
        </w:rPr>
      </w:pPr>
      <w:bookmarkStart w:id="89" w:name="_Toc223937997"/>
      <w:bookmarkStart w:id="90" w:name="_Toc12115"/>
      <w:bookmarkStart w:id="91" w:name="_Toc7982"/>
      <w:r>
        <w:rPr>
          <w:rFonts w:hint="eastAsia" w:ascii="楷体_GB2312" w:hAnsi="楷体_GB2312" w:eastAsia="楷体_GB2312" w:cs="楷体_GB2312"/>
          <w:bCs/>
          <w:color w:val="000000"/>
          <w:sz w:val="32"/>
          <w:szCs w:val="32"/>
          <w:lang w:bidi="ar"/>
        </w:rPr>
        <w:t>六、布局未来产业孵化园区</w:t>
      </w:r>
      <w:bookmarkEnd w:id="89"/>
      <w:bookmarkEnd w:id="90"/>
      <w:bookmarkEnd w:id="91"/>
    </w:p>
    <w:p w14:paraId="5A8C7E7E">
      <w:pPr>
        <w:widowControl/>
        <w:overflowPunct w:val="0"/>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发挥园区产业空间资源优势，加强与各类创新主体协同联动，强化新赛道培育与承载，打造未来产业细分赛道集聚发展平台载体。做强电子城</w:t>
      </w:r>
      <w:r>
        <w:rPr>
          <w:rFonts w:hint="eastAsia" w:ascii="Times New Roman" w:hAnsi="Times New Roman" w:eastAsia="仿宋_GB2312" w:cs="Times New Roman"/>
          <w:color w:val="000000"/>
          <w:sz w:val="32"/>
          <w:szCs w:val="24"/>
          <w:lang w:bidi="ar"/>
        </w:rPr>
        <w:t>IC/PIC</w:t>
      </w:r>
      <w:r>
        <w:rPr>
          <w:rFonts w:hint="eastAsia" w:ascii="仿宋_GB2312" w:hAnsi="仿宋_GB2312" w:eastAsia="仿宋_GB2312" w:cs="仿宋_GB2312"/>
          <w:sz w:val="32"/>
          <w:szCs w:val="32"/>
        </w:rPr>
        <w:t>创新中心能级，提升集成电路研发设计与光芯片封装验证平台的测试功能和技术服务能力，支持光芯片、量子信息、高端集成电路设计、硅光集成、光电封测验证等核心技术产品攻关。加快中关村（朝阳）国际空天产业园建设，完善创新创业、研发设计、产业链接、投融资对接、产学研融合等产业服务能力，设立空天产业投资基金，支持天地一体化信息网络、卫星在轨服务、卫星应用服务、反无人机技术、航空模拟飞控系统等核心技术产品攻关，构建“技术创新+成果转化+产业集聚+基金配套”的发展模式。加强脑机接口、合成生物制造等领域前沿技术研发储备和潜力企业识别培育，促进未来产业集群化发展。</w:t>
      </w:r>
    </w:p>
    <w:p w14:paraId="5ADD9DDC">
      <w:pPr>
        <w:rPr>
          <w:rFonts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02FDE4F5">
      <w:pPr>
        <w:keepNext/>
        <w:keepLines/>
        <w:widowControl/>
        <w:adjustRightInd w:val="0"/>
        <w:snapToGrid w:val="0"/>
        <w:spacing w:before="156" w:beforeLines="50" w:after="156" w:afterLines="50" w:line="560" w:lineRule="exact"/>
        <w:jc w:val="center"/>
        <w:outlineLvl w:val="0"/>
        <w:rPr>
          <w:rFonts w:eastAsia="黑体" w:cs="黑体"/>
          <w:color w:val="000000"/>
          <w:kern w:val="0"/>
          <w:sz w:val="32"/>
          <w:szCs w:val="32"/>
        </w:rPr>
      </w:pPr>
      <w:bookmarkStart w:id="92" w:name="_Toc223937998"/>
      <w:bookmarkStart w:id="93" w:name="_Toc3533"/>
      <w:bookmarkStart w:id="94" w:name="_Toc29078"/>
      <w:bookmarkStart w:id="95" w:name="_Toc25151"/>
      <w:bookmarkStart w:id="96" w:name="_Toc1268"/>
      <w:bookmarkStart w:id="97" w:name="_Toc206358668"/>
      <w:bookmarkStart w:id="98" w:name="_Hlk218522905"/>
      <w:bookmarkStart w:id="99" w:name="_Hlk208056198"/>
      <w:bookmarkStart w:id="100" w:name="_Toc216460229"/>
      <w:bookmarkStart w:id="101" w:name="_Toc206179990"/>
      <w:bookmarkStart w:id="102" w:name="_Toc209624011"/>
      <w:bookmarkStart w:id="103" w:name="_Toc208937111"/>
      <w:r>
        <w:rPr>
          <w:rFonts w:hint="eastAsia" w:eastAsia="黑体" w:cs="黑体"/>
          <w:color w:val="000000"/>
          <w:kern w:val="0"/>
          <w:sz w:val="32"/>
          <w:szCs w:val="32"/>
        </w:rPr>
        <w:t>第五章 加快朝阳园北区</w:t>
      </w:r>
      <w:bookmarkEnd w:id="92"/>
      <w:bookmarkEnd w:id="93"/>
      <w:r>
        <w:rPr>
          <w:rFonts w:hint="eastAsia" w:eastAsia="黑体" w:cs="黑体"/>
          <w:color w:val="000000"/>
          <w:kern w:val="0"/>
          <w:sz w:val="32"/>
          <w:szCs w:val="32"/>
        </w:rPr>
        <w:t>规划建设发展</w:t>
      </w:r>
      <w:bookmarkEnd w:id="94"/>
      <w:bookmarkEnd w:id="95"/>
      <w:bookmarkEnd w:id="96"/>
    </w:p>
    <w:p w14:paraId="61452AEC">
      <w:pPr>
        <w:widowControl/>
        <w:tabs>
          <w:tab w:val="left" w:pos="1440"/>
        </w:tabs>
        <w:overflowPunct w:val="0"/>
        <w:adjustRightInd w:val="0"/>
        <w:snapToGrid w:val="0"/>
        <w:spacing w:line="600" w:lineRule="exact"/>
        <w:ind w:firstLine="640" w:firstLineChars="200"/>
        <w:rPr>
          <w:rFonts w:ascii="Times New Roman" w:hAnsi="Times New Roman" w:eastAsia="仿宋_GB2312" w:cs="Times New Roman"/>
          <w:b/>
          <w:bCs/>
          <w:color w:val="000000"/>
          <w:kern w:val="44"/>
          <w:sz w:val="32"/>
          <w:szCs w:val="32"/>
        </w:rPr>
      </w:pPr>
      <w:r>
        <w:rPr>
          <w:rFonts w:hint="eastAsia" w:ascii="Times New Roman" w:hAnsi="Times New Roman" w:eastAsia="仿宋_GB2312" w:cs="Times New Roman"/>
          <w:color w:val="000000"/>
          <w:sz w:val="32"/>
          <w:szCs w:val="32"/>
          <w:lang w:bidi="ar"/>
        </w:rPr>
        <w:t>发挥国际高端创新资源优势，强化科技产业空间供给保障，织补区域道路网络，完善配套设施建设，加速重大产业项目招引培育和落地投产，提升崔各庄、来广营等地区承载能力，全面建设环境品质优良、绿道系统完善、宜居宜业的高品质朝阳园北区。</w:t>
      </w:r>
    </w:p>
    <w:p w14:paraId="358C881D">
      <w:pPr>
        <w:widowControl/>
        <w:tabs>
          <w:tab w:val="left" w:pos="1440"/>
        </w:tabs>
        <w:overflowPunct w:val="0"/>
        <w:adjustRightInd w:val="0"/>
        <w:snapToGrid w:val="0"/>
        <w:spacing w:line="600" w:lineRule="exact"/>
        <w:ind w:firstLine="640" w:firstLineChars="200"/>
        <w:outlineLvl w:val="1"/>
        <w:rPr>
          <w:rFonts w:hint="eastAsia" w:ascii="楷体_GB2312" w:hAnsi="楷体_GB2312" w:eastAsia="楷体_GB2312" w:cs="楷体_GB2312"/>
          <w:color w:val="000000"/>
          <w:kern w:val="44"/>
          <w:sz w:val="32"/>
          <w:szCs w:val="32"/>
        </w:rPr>
      </w:pPr>
      <w:bookmarkStart w:id="104" w:name="_Toc1938"/>
      <w:bookmarkStart w:id="105" w:name="_Toc223937999"/>
      <w:bookmarkStart w:id="106" w:name="_Toc10171"/>
      <w:r>
        <w:rPr>
          <w:rFonts w:hint="eastAsia" w:ascii="楷体_GB2312" w:hAnsi="楷体_GB2312" w:eastAsia="楷体_GB2312" w:cs="楷体_GB2312"/>
          <w:sz w:val="32"/>
          <w:szCs w:val="32"/>
          <w:lang w:bidi="ar"/>
        </w:rPr>
        <w:t>一、</w:t>
      </w:r>
      <w:bookmarkEnd w:id="104"/>
      <w:bookmarkEnd w:id="105"/>
      <w:bookmarkEnd w:id="106"/>
      <w:r>
        <w:rPr>
          <w:rFonts w:hint="eastAsia" w:ascii="楷体_GB2312" w:hAnsi="楷体_GB2312" w:eastAsia="楷体_GB2312" w:cs="楷体_GB2312"/>
          <w:sz w:val="32"/>
          <w:szCs w:val="32"/>
        </w:rPr>
        <w:t>深化落实北区规划</w:t>
      </w:r>
    </w:p>
    <w:p w14:paraId="6B4E8BFC">
      <w:pPr>
        <w:widowControl/>
        <w:tabs>
          <w:tab w:val="left" w:pos="1440"/>
        </w:tabs>
        <w:overflowPunct w:val="0"/>
        <w:adjustRightInd w:val="0"/>
        <w:snapToGrid w:val="0"/>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cs="仿宋_GB2312"/>
          <w:sz w:val="32"/>
          <w:szCs w:val="32"/>
          <w:lang w:bidi="ar"/>
        </w:rPr>
        <w:t>发挥中关村朝阳园建设朝阳区科技创新主阵地与新兴产业增长极的承载作用，积极推进北区街区控制性详细规划报批和落地实施。探索科技创新与城市建设融合发展、互促互进的发展模式，以规划引导统筹新增科技产业空间资源市场化配置，强化产业资源对总部企业、科技企业、平台企业供给能力。</w:t>
      </w:r>
      <w:r>
        <w:rPr>
          <w:rFonts w:hint="eastAsia" w:ascii="仿宋_GB2312" w:hAnsi="仿宋_GB2312" w:eastAsia="仿宋_GB2312" w:cs="仿宋_GB2312"/>
          <w:sz w:val="32"/>
          <w:szCs w:val="32"/>
          <w:lang w:bidi="ar"/>
        </w:rPr>
        <w:t>推动朝阳园北区与朝阳园建成区域联动发展，持续提升产业承载能力</w:t>
      </w:r>
      <w:r>
        <w:rPr>
          <w:rFonts w:hint="eastAsia" w:ascii="Times New Roman" w:hAnsi="Times New Roman" w:eastAsia="仿宋_GB2312" w:cs="仿宋_GB2312"/>
          <w:sz w:val="32"/>
          <w:szCs w:val="32"/>
          <w:lang w:bidi="ar"/>
        </w:rPr>
        <w:t>。</w:t>
      </w:r>
    </w:p>
    <w:p w14:paraId="3F5D3F61">
      <w:pPr>
        <w:widowControl/>
        <w:tabs>
          <w:tab w:val="left" w:pos="1440"/>
        </w:tabs>
        <w:overflowPunct w:val="0"/>
        <w:adjustRightInd w:val="0"/>
        <w:snapToGrid w:val="0"/>
        <w:spacing w:line="600" w:lineRule="exact"/>
        <w:ind w:firstLine="640" w:firstLineChars="200"/>
        <w:outlineLvl w:val="1"/>
        <w:rPr>
          <w:rFonts w:hint="eastAsia" w:ascii="楷体_GB2312" w:hAnsi="楷体_GB2312" w:eastAsia="楷体_GB2312" w:cs="楷体_GB2312"/>
          <w:color w:val="000000"/>
          <w:kern w:val="44"/>
          <w:sz w:val="32"/>
          <w:szCs w:val="32"/>
        </w:rPr>
      </w:pPr>
      <w:bookmarkStart w:id="107" w:name="_Toc1615"/>
      <w:bookmarkStart w:id="108" w:name="_Toc223938000"/>
      <w:bookmarkStart w:id="109" w:name="_Toc20050"/>
      <w:r>
        <w:rPr>
          <w:rFonts w:hint="eastAsia" w:ascii="楷体_GB2312" w:hAnsi="楷体_GB2312" w:eastAsia="楷体_GB2312" w:cs="楷体_GB2312"/>
          <w:sz w:val="32"/>
          <w:szCs w:val="32"/>
          <w:lang w:bidi="ar"/>
        </w:rPr>
        <w:t>二、</w:t>
      </w:r>
      <w:bookmarkEnd w:id="107"/>
      <w:bookmarkEnd w:id="108"/>
      <w:bookmarkEnd w:id="109"/>
      <w:r>
        <w:rPr>
          <w:rFonts w:hint="eastAsia" w:ascii="楷体_GB2312" w:hAnsi="楷体_GB2312" w:eastAsia="楷体_GB2312" w:cs="楷体_GB2312"/>
          <w:sz w:val="32"/>
          <w:szCs w:val="32"/>
          <w:lang w:bidi="ar"/>
        </w:rPr>
        <w:t>织补区域道路网络</w:t>
      </w:r>
    </w:p>
    <w:p w14:paraId="77553763">
      <w:pPr>
        <w:widowControl/>
        <w:tabs>
          <w:tab w:val="left" w:pos="1440"/>
        </w:tabs>
        <w:overflowPunct w:val="0"/>
        <w:adjustRightInd w:val="0"/>
        <w:snapToGrid w:val="0"/>
        <w:spacing w:line="600" w:lineRule="exact"/>
        <w:ind w:firstLine="640" w:firstLineChars="200"/>
        <w:rPr>
          <w:rFonts w:ascii="Times New Roman" w:hAnsi="Times New Roman" w:eastAsia="仿宋_GB2312" w:cs="Times New Roman"/>
          <w:bCs/>
          <w:color w:val="000000"/>
          <w:kern w:val="44"/>
          <w:sz w:val="32"/>
          <w:szCs w:val="32"/>
        </w:rPr>
      </w:pPr>
      <w:r>
        <w:rPr>
          <w:rFonts w:hint="eastAsia" w:ascii="Times New Roman" w:hAnsi="Times New Roman" w:eastAsia="仿宋_GB2312" w:cs="仿宋_GB2312"/>
          <w:sz w:val="32"/>
          <w:szCs w:val="32"/>
          <w:lang w:bidi="ar"/>
        </w:rPr>
        <w:t>有序完善北区主次干道路网结构，加快来广营东路全段建设，打通北区东西联通主要通路，完善北区城市综合服务廊一体化建设。提高城市支路建设速度，提升已落地重点项目交通承载能力，强化阿里巴巴北京总部、北京爱瑞国际化医疗体项目周边交通保障，加速推进广善路、广善东路、创远西路等道路建设，进一步提升落地企业交通可达性。依托</w:t>
      </w:r>
      <w:r>
        <w:rPr>
          <w:rFonts w:hint="eastAsia" w:ascii="仿宋_GB2312" w:hAnsi="仿宋_GB2312" w:eastAsia="仿宋_GB2312" w:cs="仿宋_GB2312"/>
          <w:sz w:val="32"/>
          <w:szCs w:val="32"/>
          <w:lang w:bidi="ar"/>
        </w:rPr>
        <w:t>市郊铁路</w:t>
      </w:r>
      <w:r>
        <w:rPr>
          <w:rFonts w:hint="eastAsia" w:ascii="Times New Roman" w:hAnsi="Times New Roman" w:eastAsia="仿宋_GB2312" w:cs="仿宋_GB2312"/>
          <w:sz w:val="32"/>
          <w:szCs w:val="32"/>
          <w:lang w:bidi="ar"/>
        </w:rPr>
        <w:t>东北环线建设契机，实现电子城大街南延工程开工建设，进一步织补北区与西区道路交通网络，促进北区与西区交通一体化发展。</w:t>
      </w:r>
    </w:p>
    <w:p w14:paraId="1B3AD84A">
      <w:pPr>
        <w:widowControl/>
        <w:tabs>
          <w:tab w:val="left" w:pos="1440"/>
        </w:tabs>
        <w:overflowPunct w:val="0"/>
        <w:adjustRightInd w:val="0"/>
        <w:snapToGrid w:val="0"/>
        <w:spacing w:line="600" w:lineRule="exact"/>
        <w:ind w:firstLine="640" w:firstLineChars="200"/>
        <w:outlineLvl w:val="1"/>
        <w:rPr>
          <w:rFonts w:hint="eastAsia" w:ascii="楷体_GB2312" w:hAnsi="楷体_GB2312" w:eastAsia="楷体_GB2312" w:cs="楷体_GB2312"/>
          <w:color w:val="000000"/>
          <w:kern w:val="44"/>
          <w:sz w:val="32"/>
          <w:szCs w:val="32"/>
        </w:rPr>
      </w:pPr>
      <w:bookmarkStart w:id="110" w:name="_Toc20269"/>
      <w:bookmarkStart w:id="111" w:name="_Toc26"/>
      <w:bookmarkStart w:id="112" w:name="_Toc223938001"/>
      <w:r>
        <w:rPr>
          <w:rFonts w:hint="eastAsia" w:ascii="楷体_GB2312" w:hAnsi="楷体_GB2312" w:eastAsia="楷体_GB2312" w:cs="楷体_GB2312"/>
          <w:sz w:val="32"/>
          <w:szCs w:val="32"/>
          <w:lang w:bidi="ar"/>
        </w:rPr>
        <w:t>三、</w:t>
      </w:r>
      <w:bookmarkEnd w:id="110"/>
      <w:bookmarkEnd w:id="111"/>
      <w:bookmarkEnd w:id="112"/>
      <w:r>
        <w:rPr>
          <w:rFonts w:hint="eastAsia" w:ascii="楷体_GB2312" w:hAnsi="楷体_GB2312" w:eastAsia="楷体_GB2312" w:cs="楷体_GB2312"/>
          <w:sz w:val="32"/>
          <w:szCs w:val="32"/>
          <w:lang w:bidi="ar"/>
        </w:rPr>
        <w:t>营造良好人居环境</w:t>
      </w:r>
    </w:p>
    <w:p w14:paraId="3B884428">
      <w:pPr>
        <w:widowControl/>
        <w:overflowPunct w:val="0"/>
        <w:adjustRightInd w:val="0"/>
        <w:snapToGrid w:val="0"/>
        <w:spacing w:line="6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坚持国际化、</w:t>
      </w:r>
      <w:r>
        <w:rPr>
          <w:rFonts w:hint="eastAsia" w:ascii="Times New Roman" w:hAnsi="Times New Roman" w:eastAsia="仿宋_GB2312" w:cs="Times New Roman"/>
          <w:color w:val="000000"/>
          <w:sz w:val="32"/>
          <w:szCs w:val="24"/>
          <w:lang w:bidi="ar"/>
        </w:rPr>
        <w:t>AI</w:t>
      </w:r>
      <w:r>
        <w:rPr>
          <w:rFonts w:hint="eastAsia" w:ascii="仿宋_GB2312" w:hAnsi="仿宋_GB2312" w:eastAsia="仿宋_GB2312" w:cs="仿宋_GB2312"/>
          <w:bCs/>
          <w:sz w:val="32"/>
          <w:szCs w:val="32"/>
        </w:rPr>
        <w:t>智慧驱动和创新转化等理念，建设以火山云平台为基座的</w:t>
      </w:r>
      <w:r>
        <w:rPr>
          <w:rFonts w:hint="eastAsia" w:ascii="Times New Roman" w:hAnsi="Times New Roman" w:eastAsia="仿宋_GB2312" w:cs="Times New Roman"/>
          <w:color w:val="000000"/>
          <w:sz w:val="32"/>
          <w:szCs w:val="24"/>
          <w:lang w:bidi="ar"/>
        </w:rPr>
        <w:t>AI</w:t>
      </w:r>
      <w:r>
        <w:rPr>
          <w:rFonts w:hint="eastAsia" w:ascii="仿宋_GB2312" w:hAnsi="仿宋_GB2312" w:eastAsia="仿宋_GB2312" w:cs="仿宋_GB2312"/>
          <w:bCs/>
          <w:sz w:val="32"/>
          <w:szCs w:val="32"/>
        </w:rPr>
        <w:t>医疗平台，打造集三级综合国际化医院和精准医学临床转化中心于一体的国际化医疗综合体，增补朝阳北部区域国际化医疗资源。优化望京国际人才公寓配租工作，完善人才居住服务环境，促进各类专业人才向园区集聚。加快北京国际人才公园建设，丰富体育、文化等配套生活设施，构建“一个花园心、一个森林环、一条人才道”的蓝绿空间结构，打造居民生活、企业办公与产业发展相融合的生态纽带，为产业发展与人才集聚提供坚实保障。</w:t>
      </w:r>
    </w:p>
    <w:p w14:paraId="75AB91FD">
      <w:pPr>
        <w:widowControl/>
        <w:tabs>
          <w:tab w:val="left" w:pos="1440"/>
        </w:tabs>
        <w:overflowPunct w:val="0"/>
        <w:adjustRightInd w:val="0"/>
        <w:snapToGrid w:val="0"/>
        <w:spacing w:line="600" w:lineRule="exact"/>
        <w:ind w:firstLine="640" w:firstLineChars="200"/>
        <w:outlineLvl w:val="1"/>
        <w:rPr>
          <w:rFonts w:hint="eastAsia" w:ascii="楷体_GB2312" w:hAnsi="楷体_GB2312" w:eastAsia="楷体_GB2312" w:cs="楷体_GB2312"/>
          <w:color w:val="000000"/>
          <w:kern w:val="44"/>
          <w:sz w:val="32"/>
          <w:szCs w:val="32"/>
        </w:rPr>
      </w:pPr>
      <w:r>
        <w:rPr>
          <w:rFonts w:hint="eastAsia" w:ascii="楷体_GB2312" w:hAnsi="楷体_GB2312" w:eastAsia="楷体_GB2312" w:cs="楷体_GB2312"/>
          <w:sz w:val="32"/>
          <w:szCs w:val="32"/>
          <w:lang w:bidi="ar"/>
        </w:rPr>
        <w:t>四、优化区域配套环境</w:t>
      </w:r>
    </w:p>
    <w:p w14:paraId="520C807C">
      <w:pPr>
        <w:widowControl/>
        <w:tabs>
          <w:tab w:val="left" w:pos="1440"/>
        </w:tabs>
        <w:overflowPunct w:val="0"/>
        <w:adjustRightInd w:val="0"/>
        <w:snapToGrid w:val="0"/>
        <w:spacing w:line="6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科学合理有序建设园区基础设施，适度超前布局新型基础设施，提升园区基础设施保障水平。结合土地一级开发建设及重点企业实际需求，有序推进已落地项目</w:t>
      </w:r>
      <w:r>
        <w:rPr>
          <w:rFonts w:hint="eastAsia" w:ascii="仿宋_GB2312" w:hAnsi="仿宋_GB2312" w:eastAsia="仿宋_GB2312" w:cs="仿宋_GB2312"/>
          <w:sz w:val="32"/>
          <w:szCs w:val="32"/>
          <w:shd w:val="clear" w:color="auto" w:fill="FFFFFF"/>
          <w:lang w:bidi="ar"/>
        </w:rPr>
        <w:t>道路交通、供水供电、燃气热力等市政基础设施建设，提升企业落地服务体验。探索建设算力基础设施，提升园区就近算力供给能力，完善模型、数据、智能体等服务体系。深化第五代移动通信</w:t>
      </w:r>
      <w:r>
        <w:rPr>
          <w:rFonts w:hint="eastAsia" w:ascii="Times New Roman" w:hAnsi="Times New Roman" w:eastAsia="仿宋_GB2312" w:cs="Times New Roman"/>
          <w:color w:val="000000"/>
          <w:sz w:val="32"/>
          <w:szCs w:val="24"/>
          <w:lang w:bidi="ar"/>
        </w:rPr>
        <w:t>（5G）</w:t>
      </w:r>
      <w:r>
        <w:rPr>
          <w:rFonts w:hint="eastAsia" w:ascii="仿宋_GB2312" w:hAnsi="仿宋_GB2312" w:eastAsia="仿宋_GB2312" w:cs="仿宋_GB2312"/>
          <w:sz w:val="32"/>
          <w:szCs w:val="32"/>
          <w:shd w:val="clear" w:color="auto" w:fill="FFFFFF"/>
          <w:lang w:bidi="ar"/>
        </w:rPr>
        <w:t>、千兆光网规模部署，探索第六代移动通信</w:t>
      </w:r>
      <w:r>
        <w:rPr>
          <w:rFonts w:hint="eastAsia" w:ascii="Times New Roman" w:hAnsi="Times New Roman" w:eastAsia="仿宋_GB2312" w:cs="Times New Roman"/>
          <w:color w:val="000000"/>
          <w:sz w:val="32"/>
          <w:szCs w:val="24"/>
          <w:lang w:bidi="ar"/>
        </w:rPr>
        <w:t>（6G）</w:t>
      </w:r>
      <w:r>
        <w:rPr>
          <w:rFonts w:hint="eastAsia" w:ascii="仿宋_GB2312" w:hAnsi="仿宋_GB2312" w:eastAsia="仿宋_GB2312" w:cs="仿宋_GB2312"/>
          <w:sz w:val="32"/>
          <w:szCs w:val="32"/>
          <w:shd w:val="clear" w:color="auto" w:fill="FFFFFF"/>
          <w:lang w:bidi="ar"/>
        </w:rPr>
        <w:t>布局，实现移动物联网络全覆盖。</w:t>
      </w:r>
    </w:p>
    <w:p w14:paraId="44A9EC57">
      <w:pPr>
        <w:widowControl/>
        <w:tabs>
          <w:tab w:val="left" w:pos="1440"/>
        </w:tabs>
        <w:overflowPunct w:val="0"/>
        <w:adjustRightInd w:val="0"/>
        <w:snapToGrid w:val="0"/>
        <w:spacing w:line="600" w:lineRule="exact"/>
        <w:ind w:firstLine="640" w:firstLineChars="200"/>
        <w:outlineLvl w:val="1"/>
        <w:rPr>
          <w:rFonts w:hint="eastAsia" w:ascii="楷体_GB2312" w:hAnsi="楷体_GB2312" w:eastAsia="楷体_GB2312" w:cs="楷体_GB2312"/>
          <w:sz w:val="32"/>
          <w:szCs w:val="32"/>
          <w:lang w:bidi="ar"/>
        </w:rPr>
      </w:pPr>
      <w:r>
        <w:rPr>
          <w:rFonts w:hint="eastAsia" w:ascii="楷体_GB2312" w:hAnsi="楷体_GB2312" w:eastAsia="楷体_GB2312" w:cs="楷体_GB2312"/>
          <w:sz w:val="32"/>
          <w:szCs w:val="32"/>
          <w:lang w:bidi="ar"/>
        </w:rPr>
        <w:t>五、提升产业招商效能</w:t>
      </w:r>
    </w:p>
    <w:p w14:paraId="45DC9089">
      <w:pPr>
        <w:adjustRightInd w:val="0"/>
        <w:snapToGrid w:val="0"/>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sz w:val="32"/>
          <w:szCs w:val="32"/>
        </w:rPr>
        <w:t>采用土地</w:t>
      </w:r>
      <w:r>
        <w:rPr>
          <w:rFonts w:hint="eastAsia" w:ascii="仿宋_GB2312" w:hAnsi="仿宋_GB2312" w:eastAsia="仿宋_GB2312" w:cs="仿宋_GB2312"/>
          <w:sz w:val="32"/>
          <w:szCs w:val="32"/>
        </w:rPr>
        <w:t>推介、沙龙</w:t>
      </w:r>
      <w:r>
        <w:rPr>
          <w:rFonts w:hint="eastAsia" w:ascii="Times New Roman" w:hAnsi="Times New Roman" w:eastAsia="仿宋_GB2312"/>
          <w:sz w:val="32"/>
          <w:szCs w:val="32"/>
        </w:rPr>
        <w:t>活动等多种形式，系统性宣传北区科技产业用地优势，增强意向选址企业信心，密切跟踪企业需求，促进项目落地。联动街乡加大重点产业空间、</w:t>
      </w:r>
      <w:r>
        <w:rPr>
          <w:rFonts w:ascii="Times New Roman" w:hAnsi="Times New Roman" w:eastAsia="仿宋_GB2312"/>
          <w:sz w:val="32"/>
          <w:szCs w:val="32"/>
        </w:rPr>
        <w:t>优质科技企业</w:t>
      </w:r>
      <w:r>
        <w:rPr>
          <w:rFonts w:hint="eastAsia" w:ascii="Times New Roman" w:hAnsi="Times New Roman" w:eastAsia="仿宋_GB2312"/>
          <w:sz w:val="32"/>
          <w:szCs w:val="32"/>
        </w:rPr>
        <w:t>招商引资力度</w:t>
      </w:r>
      <w:r>
        <w:rPr>
          <w:rFonts w:ascii="Times New Roman" w:hAnsi="Times New Roman" w:eastAsia="仿宋_GB2312"/>
          <w:sz w:val="32"/>
          <w:szCs w:val="32"/>
        </w:rPr>
        <w:t>，引导企业优先将总部、科技研发等核心关键环节落户北区，</w:t>
      </w:r>
      <w:r>
        <w:rPr>
          <w:rFonts w:hint="eastAsia" w:ascii="Times New Roman" w:hAnsi="Times New Roman" w:eastAsia="仿宋_GB2312"/>
          <w:sz w:val="32"/>
          <w:szCs w:val="32"/>
        </w:rPr>
        <w:t>壮大朝阳园北区</w:t>
      </w:r>
      <w:r>
        <w:rPr>
          <w:rFonts w:ascii="Times New Roman" w:hAnsi="Times New Roman" w:eastAsia="仿宋_GB2312"/>
          <w:sz w:val="32"/>
          <w:szCs w:val="32"/>
        </w:rPr>
        <w:t>产业发展动能</w:t>
      </w:r>
      <w:r>
        <w:rPr>
          <w:rFonts w:hint="eastAsia" w:ascii="Times New Roman" w:hAnsi="Times New Roman" w:eastAsia="仿宋_GB2312"/>
          <w:sz w:val="32"/>
          <w:szCs w:val="32"/>
        </w:rPr>
        <w:t>。</w:t>
      </w:r>
      <w:r>
        <w:rPr>
          <w:rFonts w:hint="eastAsia" w:ascii="Times New Roman" w:hAnsi="Times New Roman" w:eastAsia="仿宋_GB2312"/>
          <w:bCs/>
          <w:sz w:val="32"/>
          <w:szCs w:val="32"/>
        </w:rPr>
        <w:t>挖掘整合创新主体国际合作资源，搭建国际化合作平台，打造品牌国际交流活动，提升北区国际科技创新展示、交流与合作影响力。</w:t>
      </w:r>
    </w:p>
    <w:p w14:paraId="39A1A3D3">
      <w:pPr>
        <w:widowControl/>
        <w:tabs>
          <w:tab w:val="left" w:pos="1440"/>
        </w:tabs>
        <w:overflowPunct w:val="0"/>
        <w:adjustRightInd w:val="0"/>
        <w:snapToGrid w:val="0"/>
        <w:spacing w:line="600" w:lineRule="exact"/>
        <w:ind w:firstLine="640" w:firstLineChars="200"/>
        <w:outlineLvl w:val="1"/>
        <w:rPr>
          <w:rFonts w:hint="eastAsia" w:ascii="楷体_GB2312" w:hAnsi="楷体_GB2312" w:eastAsia="楷体_GB2312" w:cs="楷体_GB2312"/>
          <w:sz w:val="32"/>
          <w:szCs w:val="32"/>
          <w:lang w:bidi="ar"/>
        </w:rPr>
      </w:pPr>
      <w:r>
        <w:rPr>
          <w:rFonts w:hint="eastAsia" w:ascii="楷体_GB2312" w:hAnsi="楷体_GB2312" w:eastAsia="楷体_GB2312" w:cs="楷体_GB2312"/>
          <w:sz w:val="32"/>
          <w:szCs w:val="32"/>
          <w:lang w:bidi="ar"/>
        </w:rPr>
        <w:t>六、构建链主企业引领的开放创新生态</w:t>
      </w:r>
    </w:p>
    <w:p w14:paraId="09169725">
      <w:pPr>
        <w:adjustRightInd w:val="0"/>
        <w:snapToGrid w:val="0"/>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充分发挥链主企业示范引领与辐射带动效能，结合产业组团化布局特点，围绕人工智能、数字医疗、国际化等重点领域，</w:t>
      </w:r>
      <w:r>
        <w:rPr>
          <w:rFonts w:hint="eastAsia" w:eastAsia="仿宋_GB2312" w:cs="Times New Roman"/>
          <w:sz w:val="32"/>
          <w:szCs w:val="32"/>
        </w:rPr>
        <w:t>布局一批专业化、开放性的科技服务平台。</w:t>
      </w:r>
      <w:r>
        <w:rPr>
          <w:rFonts w:hint="eastAsia" w:ascii="仿宋_GB2312" w:hAnsi="仿宋_GB2312" w:eastAsia="仿宋_GB2312" w:cs="仿宋_GB2312"/>
          <w:sz w:val="32"/>
          <w:szCs w:val="32"/>
        </w:rPr>
        <w:t>加快链</w:t>
      </w:r>
      <w:r>
        <w:rPr>
          <w:rFonts w:hint="eastAsia" w:eastAsia="仿宋_GB2312" w:cs="Times New Roman"/>
          <w:sz w:val="32"/>
          <w:szCs w:val="32"/>
        </w:rPr>
        <w:t>主企业为牵引的科技园区建设，</w:t>
      </w:r>
      <w:r>
        <w:rPr>
          <w:rFonts w:hint="eastAsia" w:ascii="Times New Roman" w:hAnsi="Times New Roman" w:eastAsia="仿宋_GB2312" w:cs="Times New Roman"/>
          <w:sz w:val="32"/>
          <w:szCs w:val="32"/>
        </w:rPr>
        <w:t>精准推动产业链上下游企业协同布局、联动发展，加速形成特色鲜明、优势互补的区域产业链集聚生态。</w:t>
      </w:r>
    </w:p>
    <w:bookmarkEnd w:id="97"/>
    <w:bookmarkEnd w:id="98"/>
    <w:bookmarkEnd w:id="99"/>
    <w:bookmarkEnd w:id="100"/>
    <w:bookmarkEnd w:id="101"/>
    <w:bookmarkEnd w:id="102"/>
    <w:bookmarkEnd w:id="103"/>
    <w:p w14:paraId="42B1107A">
      <w:pPr>
        <w:jc w:val="center"/>
        <w:rPr>
          <w:rFonts w:eastAsia="黑体" w:cs="黑体"/>
          <w:color w:val="000000"/>
          <w:kern w:val="0"/>
          <w:sz w:val="32"/>
          <w:szCs w:val="32"/>
        </w:rPr>
        <w:sectPr>
          <w:footerReference r:id="rId6" w:type="default"/>
          <w:pgSz w:w="11906" w:h="16838"/>
          <w:pgMar w:top="2098" w:right="1474" w:bottom="1984" w:left="1587" w:header="851" w:footer="992" w:gutter="0"/>
          <w:pgNumType w:fmt="numberInDash"/>
          <w:cols w:space="0" w:num="1"/>
          <w:docGrid w:type="lines" w:linePitch="312" w:charSpace="0"/>
        </w:sectPr>
      </w:pPr>
      <w:bookmarkStart w:id="113" w:name="_Toc208937116"/>
      <w:bookmarkStart w:id="114" w:name="_Toc223938002"/>
      <w:bookmarkStart w:id="115" w:name="_Toc12811"/>
      <w:bookmarkStart w:id="116" w:name="_Toc206179988"/>
      <w:bookmarkStart w:id="117" w:name="_Toc209624016"/>
      <w:bookmarkStart w:id="118" w:name="_Toc216460234"/>
      <w:bookmarkStart w:id="119" w:name="_Toc203655436"/>
      <w:bookmarkStart w:id="120" w:name="_Toc206358666"/>
      <w:bookmarkStart w:id="121" w:name="_Toc204021818"/>
      <w:bookmarkStart w:id="122" w:name="_Hlk208056611"/>
      <w:bookmarkStart w:id="123" w:name="_Toc17023"/>
    </w:p>
    <w:p w14:paraId="1DD1EE57">
      <w:pPr>
        <w:keepNext/>
        <w:keepLines/>
        <w:widowControl/>
        <w:adjustRightInd w:val="0"/>
        <w:snapToGrid w:val="0"/>
        <w:spacing w:before="156" w:beforeLines="50" w:after="156" w:afterLines="50" w:line="560" w:lineRule="exact"/>
        <w:jc w:val="center"/>
        <w:outlineLvl w:val="0"/>
        <w:rPr>
          <w:rFonts w:eastAsia="黑体" w:cs="黑体"/>
          <w:color w:val="000000"/>
          <w:kern w:val="0"/>
          <w:sz w:val="32"/>
          <w:szCs w:val="32"/>
        </w:rPr>
      </w:pPr>
      <w:bookmarkStart w:id="124" w:name="_Toc7874"/>
      <w:bookmarkStart w:id="125" w:name="_Toc29748"/>
      <w:r>
        <w:rPr>
          <w:rFonts w:hint="eastAsia" w:eastAsia="黑体" w:cs="黑体"/>
          <w:color w:val="000000"/>
          <w:kern w:val="0"/>
          <w:sz w:val="32"/>
          <w:szCs w:val="32"/>
        </w:rPr>
        <w:t>第六章 打造朝阳北部科技创新发展带</w:t>
      </w:r>
      <w:bookmarkEnd w:id="113"/>
      <w:bookmarkEnd w:id="114"/>
      <w:bookmarkEnd w:id="115"/>
      <w:bookmarkEnd w:id="116"/>
      <w:bookmarkEnd w:id="117"/>
      <w:bookmarkEnd w:id="118"/>
      <w:bookmarkEnd w:id="119"/>
      <w:bookmarkEnd w:id="120"/>
      <w:bookmarkEnd w:id="121"/>
      <w:bookmarkEnd w:id="122"/>
      <w:bookmarkEnd w:id="123"/>
      <w:bookmarkEnd w:id="124"/>
      <w:bookmarkEnd w:id="125"/>
    </w:p>
    <w:p w14:paraId="19B1472A">
      <w:pPr>
        <w:tabs>
          <w:tab w:val="left" w:pos="1440"/>
        </w:tabs>
        <w:overflowPunct w:val="0"/>
        <w:adjustRightInd w:val="0"/>
        <w:snapToGrid w:val="0"/>
        <w:spacing w:line="600" w:lineRule="exact"/>
        <w:ind w:firstLine="640" w:firstLineChars="200"/>
        <w:rPr>
          <w:rFonts w:hint="eastAsia" w:ascii="仿宋" w:hAnsi="仿宋" w:eastAsia="仿宋" w:cs="仿宋"/>
          <w:sz w:val="32"/>
          <w:szCs w:val="32"/>
          <w:lang w:bidi="ar"/>
        </w:rPr>
      </w:pPr>
      <w:bookmarkStart w:id="126" w:name="_Toc209624017"/>
      <w:bookmarkStart w:id="127" w:name="_Toc216460235"/>
      <w:bookmarkStart w:id="128" w:name="_Toc208937117"/>
      <w:bookmarkStart w:id="129" w:name="_Hlk207629688"/>
      <w:r>
        <w:rPr>
          <w:rFonts w:hint="eastAsia" w:ascii="Times New Roman" w:hAnsi="Times New Roman" w:eastAsia="仿宋_GB2312" w:cs="仿宋_GB2312"/>
          <w:sz w:val="32"/>
          <w:szCs w:val="32"/>
          <w:lang w:bidi="ar"/>
        </w:rPr>
        <w:t>以亚奥片区为核心，加强与奥林匹克中心区、电子城片区联动，强化与中国科学院等科研院所协同，提升科技成果转化能力，推动人工智能、智能机器人、数据要素等前沿技术创新应用</w:t>
      </w:r>
      <w:bookmarkEnd w:id="126"/>
      <w:bookmarkEnd w:id="127"/>
      <w:bookmarkEnd w:id="128"/>
      <w:r>
        <w:rPr>
          <w:rFonts w:hint="eastAsia" w:ascii="Times New Roman" w:hAnsi="Times New Roman" w:eastAsia="仿宋_GB2312" w:cs="仿宋_GB2312"/>
          <w:sz w:val="32"/>
          <w:szCs w:val="32"/>
          <w:lang w:bidi="ar"/>
        </w:rPr>
        <w:t>，推进朝阳北部科技创新发展带建设。</w:t>
      </w:r>
    </w:p>
    <w:p w14:paraId="4103DBA4">
      <w:pPr>
        <w:tabs>
          <w:tab w:val="left" w:pos="1440"/>
        </w:tabs>
        <w:overflowPunct w:val="0"/>
        <w:adjustRightInd w:val="0"/>
        <w:snapToGrid w:val="0"/>
        <w:spacing w:line="600" w:lineRule="exact"/>
        <w:ind w:firstLine="640" w:firstLineChars="200"/>
        <w:outlineLvl w:val="1"/>
        <w:rPr>
          <w:rFonts w:hint="eastAsia" w:ascii="楷体_GB2312" w:hAnsi="楷体_GB2312" w:eastAsia="楷体_GB2312" w:cs="楷体_GB2312"/>
          <w:sz w:val="32"/>
          <w:szCs w:val="32"/>
          <w:lang w:bidi="ar"/>
        </w:rPr>
      </w:pPr>
      <w:bookmarkStart w:id="130" w:name="_Toc24207"/>
      <w:bookmarkStart w:id="131" w:name="_Toc17172"/>
      <w:bookmarkStart w:id="132" w:name="_Toc223938003"/>
      <w:r>
        <w:rPr>
          <w:rFonts w:hint="eastAsia" w:ascii="楷体_GB2312" w:hAnsi="楷体_GB2312" w:eastAsia="楷体_GB2312" w:cs="楷体_GB2312"/>
          <w:sz w:val="32"/>
          <w:szCs w:val="32"/>
          <w:lang w:bidi="ar"/>
        </w:rPr>
        <w:t>一、打造前沿科技成果转化</w:t>
      </w:r>
      <w:bookmarkEnd w:id="130"/>
      <w:bookmarkEnd w:id="131"/>
      <w:bookmarkEnd w:id="132"/>
      <w:r>
        <w:rPr>
          <w:rFonts w:hint="eastAsia" w:ascii="楷体_GB2312" w:hAnsi="楷体_GB2312" w:eastAsia="楷体_GB2312" w:cs="楷体_GB2312"/>
          <w:sz w:val="32"/>
          <w:szCs w:val="32"/>
          <w:lang w:bidi="ar"/>
        </w:rPr>
        <w:t>承载地</w:t>
      </w:r>
    </w:p>
    <w:p w14:paraId="4C0E040F">
      <w:pPr>
        <w:tabs>
          <w:tab w:val="left" w:pos="1440"/>
        </w:tabs>
        <w:overflowPunct w:val="0"/>
        <w:adjustRightInd w:val="0"/>
        <w:snapToGrid w:val="0"/>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s="仿宋_GB2312"/>
          <w:kern w:val="0"/>
          <w:sz w:val="32"/>
          <w:szCs w:val="32"/>
          <w:lang w:bidi="ar"/>
        </w:rPr>
        <w:t>发挥亚奥片区与中关村科学城、未来科学城区位相邻优势，强化与中国科学院、北京化工大学、学院路高校群等对接联动，探索建设联合实验室、工程技术中心、前沿技术孵化中心等创新平台，提升院地协同发展效能。</w:t>
      </w:r>
      <w:r>
        <w:rPr>
          <w:rFonts w:hint="eastAsia" w:ascii="仿宋_GB2312" w:hAnsi="仿宋_GB2312" w:eastAsia="仿宋_GB2312" w:cs="仿宋_GB2312"/>
          <w:kern w:val="0"/>
          <w:sz w:val="32"/>
          <w:szCs w:val="32"/>
          <w:lang w:bidi="ar"/>
        </w:rPr>
        <w:t>提升朝</w:t>
      </w:r>
      <w:r>
        <w:rPr>
          <w:rFonts w:hint="eastAsia" w:ascii="Times New Roman" w:hAnsi="Times New Roman" w:eastAsia="仿宋_GB2312" w:cs="仿宋_GB2312"/>
          <w:kern w:val="0"/>
          <w:sz w:val="32"/>
          <w:szCs w:val="32"/>
          <w:lang w:bidi="ar"/>
        </w:rPr>
        <w:t>阳北部科创带运营中心功能，</w:t>
      </w:r>
      <w:bookmarkStart w:id="133" w:name="_Hlk208056725"/>
      <w:r>
        <w:rPr>
          <w:rFonts w:hint="eastAsia" w:ascii="Times New Roman" w:hAnsi="Times New Roman" w:eastAsia="仿宋_GB2312" w:cs="仿宋_GB2312"/>
          <w:kern w:val="0"/>
          <w:sz w:val="32"/>
          <w:szCs w:val="32"/>
          <w:lang w:bidi="ar"/>
        </w:rPr>
        <w:t>加大专业化技术转移机构和技术经理人</w:t>
      </w:r>
      <w:bookmarkEnd w:id="133"/>
      <w:r>
        <w:rPr>
          <w:rFonts w:hint="eastAsia" w:ascii="Times New Roman" w:hAnsi="Times New Roman" w:eastAsia="仿宋_GB2312" w:cs="仿宋_GB2312"/>
          <w:kern w:val="0"/>
          <w:sz w:val="32"/>
          <w:szCs w:val="32"/>
          <w:lang w:bidi="ar"/>
        </w:rPr>
        <w:t>引进培育力度，推进</w:t>
      </w:r>
      <w:r>
        <w:rPr>
          <w:rFonts w:hint="eastAsia" w:ascii="Times New Roman" w:hAnsi="Times New Roman" w:eastAsia="仿宋_GB2312" w:cs="仿宋"/>
          <w:sz w:val="32"/>
          <w:szCs w:val="32"/>
          <w:lang w:bidi="ar"/>
        </w:rPr>
        <w:t>建设数智生命融合创新中心</w:t>
      </w:r>
      <w:r>
        <w:rPr>
          <w:rFonts w:hint="eastAsia" w:ascii="Times New Roman" w:hAnsi="Times New Roman" w:eastAsia="仿宋_GB2312" w:cs="仿宋_GB2312"/>
          <w:kern w:val="0"/>
          <w:sz w:val="32"/>
          <w:szCs w:val="32"/>
          <w:lang w:bidi="ar"/>
        </w:rPr>
        <w:t>等一批重大</w:t>
      </w:r>
      <w:r>
        <w:rPr>
          <w:rFonts w:hint="eastAsia" w:ascii="Times New Roman" w:hAnsi="Times New Roman" w:eastAsia="仿宋_GB2312" w:cs="仿宋"/>
          <w:sz w:val="32"/>
          <w:szCs w:val="32"/>
          <w:lang w:bidi="ar"/>
        </w:rPr>
        <w:t>项目</w:t>
      </w:r>
      <w:r>
        <w:rPr>
          <w:rFonts w:hint="eastAsia" w:ascii="Times New Roman" w:hAnsi="Times New Roman" w:eastAsia="仿宋_GB2312" w:cs="仿宋_GB2312"/>
          <w:kern w:val="0"/>
          <w:sz w:val="32"/>
          <w:szCs w:val="32"/>
          <w:lang w:bidi="ar"/>
        </w:rPr>
        <w:t>。</w:t>
      </w:r>
      <w:bookmarkStart w:id="134" w:name="_Hlk208056754"/>
      <w:r>
        <w:rPr>
          <w:rFonts w:hint="eastAsia" w:ascii="Times New Roman" w:hAnsi="Times New Roman" w:eastAsia="仿宋_GB2312" w:cs="仿宋_GB2312"/>
          <w:kern w:val="0"/>
          <w:sz w:val="32"/>
          <w:szCs w:val="32"/>
          <w:lang w:bidi="ar"/>
        </w:rPr>
        <w:t>提升医工创谷标杆孵化器</w:t>
      </w:r>
      <w:bookmarkEnd w:id="134"/>
      <w:r>
        <w:rPr>
          <w:rFonts w:hint="eastAsia" w:ascii="Times New Roman" w:hAnsi="Times New Roman" w:eastAsia="仿宋_GB2312" w:cs="仿宋_GB2312"/>
          <w:kern w:val="0"/>
          <w:sz w:val="32"/>
          <w:szCs w:val="32"/>
          <w:lang w:bidi="ar"/>
        </w:rPr>
        <w:t>等创新平台生态功能，为项目孵化落地提供专业化服务</w:t>
      </w:r>
      <w:r>
        <w:rPr>
          <w:rFonts w:hint="eastAsia" w:ascii="Times New Roman" w:hAnsi="Times New Roman" w:eastAsia="仿宋_GB2312" w:cs="仿宋_GB2312"/>
          <w:color w:val="000000"/>
          <w:kern w:val="0"/>
          <w:sz w:val="32"/>
          <w:szCs w:val="32"/>
          <w:lang w:bidi="ar"/>
        </w:rPr>
        <w:t>。推动大屯数字未来城建设，以中关村创新社区·数字产业中心等园区为核心载体，加快布局产业共性技术平台与专业加速器，培育数字经济、数字文创、消费科技等细分领域产业生态。</w:t>
      </w:r>
    </w:p>
    <w:p w14:paraId="50BE995A">
      <w:pPr>
        <w:tabs>
          <w:tab w:val="left" w:pos="1440"/>
        </w:tabs>
        <w:overflowPunct w:val="0"/>
        <w:adjustRightInd w:val="0"/>
        <w:snapToGrid w:val="0"/>
        <w:spacing w:line="600" w:lineRule="exact"/>
        <w:ind w:firstLine="640" w:firstLineChars="200"/>
        <w:outlineLvl w:val="1"/>
        <w:rPr>
          <w:rFonts w:hint="eastAsia" w:ascii="楷体_GB2312" w:hAnsi="楷体_GB2312" w:eastAsia="楷体_GB2312" w:cs="楷体_GB2312"/>
          <w:sz w:val="32"/>
          <w:szCs w:val="32"/>
          <w:lang w:bidi="ar"/>
        </w:rPr>
      </w:pPr>
      <w:bookmarkStart w:id="135" w:name="_Toc2414"/>
      <w:bookmarkStart w:id="136" w:name="_Toc223938004"/>
      <w:bookmarkStart w:id="137" w:name="_Toc4938"/>
      <w:r>
        <w:rPr>
          <w:rFonts w:hint="eastAsia" w:ascii="楷体_GB2312" w:hAnsi="楷体_GB2312" w:eastAsia="楷体_GB2312" w:cs="楷体_GB2312"/>
          <w:kern w:val="0"/>
          <w:sz w:val="32"/>
          <w:szCs w:val="32"/>
          <w:lang w:bidi="ar"/>
        </w:rPr>
        <w:t>二、做强机器人产业集聚区</w:t>
      </w:r>
      <w:bookmarkEnd w:id="135"/>
      <w:bookmarkEnd w:id="136"/>
      <w:bookmarkEnd w:id="137"/>
    </w:p>
    <w:p w14:paraId="3B0DECBC">
      <w:pPr>
        <w:tabs>
          <w:tab w:val="left" w:pos="1440"/>
        </w:tabs>
        <w:overflowPunct w:val="0"/>
        <w:adjustRightInd w:val="0"/>
        <w:snapToGrid w:val="0"/>
        <w:spacing w:line="600" w:lineRule="exact"/>
        <w:ind w:firstLine="640" w:firstLineChars="200"/>
        <w:rPr>
          <w:rFonts w:ascii="仿宋_GB2312" w:hAnsi="仿宋_GB2312" w:eastAsia="仿宋_GB2312" w:cs="仿宋_GB2312"/>
          <w:sz w:val="32"/>
          <w:szCs w:val="32"/>
          <w:lang w:bidi="ar"/>
        </w:rPr>
      </w:pPr>
      <w:r>
        <w:rPr>
          <w:rFonts w:hint="eastAsia" w:ascii="仿宋_GB2312" w:hAnsi="仿宋_GB2312" w:eastAsia="仿宋_GB2312" w:cs="仿宋_GB2312"/>
          <w:kern w:val="0"/>
          <w:sz w:val="32"/>
          <w:szCs w:val="32"/>
        </w:rPr>
        <w:t>着力建设奥林匹克中心区机器人创新公园，构建“一核引领、多点协同”的空间发展格局，打造机器人创新研发应用高地。以国家速滑馆及周边区域为核心空间载体，打造年度世界级机器人赛事，完善常态化赛事活动体系，吸引全球机器人领域团队、技术、资本集聚，持续提升赛事</w:t>
      </w:r>
      <w:r>
        <w:rPr>
          <w:rFonts w:hint="eastAsia" w:ascii="仿宋_GB2312" w:hAnsi="仿宋_GB2312" w:eastAsia="仿宋_GB2312" w:cs="仿宋_GB2312"/>
          <w:sz w:val="32"/>
          <w:szCs w:val="32"/>
        </w:rPr>
        <w:t>国际影响力。</w:t>
      </w:r>
      <w:r>
        <w:rPr>
          <w:rFonts w:hint="eastAsia" w:ascii="仿宋_GB2312" w:hAnsi="仿宋_GB2312" w:eastAsia="仿宋_GB2312" w:cs="仿宋_GB2312"/>
          <w:kern w:val="0"/>
          <w:sz w:val="32"/>
          <w:szCs w:val="32"/>
        </w:rPr>
        <w:t>加快全球人形机器人产业生态训练和测评基地建设，完善全链条技术与公共服务体系。搭建</w:t>
      </w:r>
      <w:r>
        <w:rPr>
          <w:rFonts w:hint="eastAsia" w:ascii="仿宋_GB2312" w:hAnsi="仿宋_GB2312" w:eastAsia="仿宋_GB2312" w:cs="仿宋_GB2312"/>
          <w:sz w:val="32"/>
          <w:szCs w:val="32"/>
        </w:rPr>
        <w:t>多模态信息机器人数据采集平台</w:t>
      </w:r>
      <w:r>
        <w:rPr>
          <w:rFonts w:hint="eastAsia" w:ascii="仿宋_GB2312" w:hAnsi="仿宋_GB2312" w:eastAsia="仿宋_GB2312" w:cs="仿宋_GB2312"/>
          <w:kern w:val="0"/>
          <w:sz w:val="32"/>
          <w:szCs w:val="32"/>
        </w:rPr>
        <w:t>，构建具有竞技特色的高质量数据集。搭建检测检验平台，为智能机器人整机及核心部组件</w:t>
      </w:r>
      <w:r>
        <w:rPr>
          <w:rFonts w:hint="eastAsia" w:ascii="仿宋_GB2312" w:hAnsi="仿宋_GB2312" w:eastAsia="仿宋_GB2312" w:cs="仿宋_GB2312"/>
          <w:sz w:val="32"/>
          <w:szCs w:val="32"/>
        </w:rPr>
        <w:t>提供一站式检测认证服务</w:t>
      </w:r>
      <w:r>
        <w:rPr>
          <w:rFonts w:hint="eastAsia" w:ascii="仿宋_GB2312" w:hAnsi="仿宋_GB2312" w:eastAsia="仿宋_GB2312" w:cs="仿宋_GB2312"/>
          <w:kern w:val="0"/>
          <w:sz w:val="32"/>
          <w:szCs w:val="32"/>
        </w:rPr>
        <w:t>，为工艺改进、算法迭代优化等提供真实场景测试验证支撑。搭建综合保障平台，</w:t>
      </w:r>
      <w:r>
        <w:rPr>
          <w:rFonts w:hint="eastAsia" w:ascii="仿宋_GB2312" w:hAnsi="仿宋_GB2312" w:eastAsia="仿宋_GB2312" w:cs="仿宋_GB2312"/>
          <w:sz w:val="32"/>
          <w:szCs w:val="32"/>
        </w:rPr>
        <w:t>满足人形机器人毫秒级响应以及海量数据实时传输等技术需求。搭建公共服务平台，为机器人用户提供“租赁</w:t>
      </w:r>
      <w:r>
        <w:rPr>
          <w:rFonts w:hint="eastAsia" w:ascii="Times New Roman" w:hAnsi="Times New Roman" w:eastAsia="仿宋_GB2312" w:cs="Times New Roman"/>
          <w:color w:val="000000"/>
          <w:sz w:val="32"/>
          <w:szCs w:val="24"/>
          <w:lang w:bidi="ar"/>
        </w:rPr>
        <w:t>+</w:t>
      </w:r>
      <w:r>
        <w:rPr>
          <w:rFonts w:hint="eastAsia" w:ascii="仿宋_GB2312" w:hAnsi="仿宋_GB2312" w:eastAsia="仿宋_GB2312" w:cs="仿宋_GB2312"/>
          <w:sz w:val="32"/>
          <w:szCs w:val="32"/>
        </w:rPr>
        <w:t>二次开发”一体化服务。搭建孵化加速平台，</w:t>
      </w:r>
      <w:r>
        <w:rPr>
          <w:rFonts w:hint="eastAsia" w:ascii="仿宋_GB2312" w:hAnsi="仿宋_GB2312" w:eastAsia="仿宋_GB2312" w:cs="仿宋_GB2312"/>
          <w:kern w:val="0"/>
          <w:sz w:val="32"/>
          <w:szCs w:val="32"/>
        </w:rPr>
        <w:t>吸引企业技术成果转化应用。加强奥林匹克中心区机器人技术应用示范，围绕</w:t>
      </w:r>
      <w:r>
        <w:rPr>
          <w:rFonts w:hint="eastAsia" w:ascii="仿宋_GB2312" w:hAnsi="仿宋_GB2312" w:eastAsia="仿宋_GB2312" w:cs="仿宋_GB2312"/>
          <w:sz w:val="32"/>
          <w:szCs w:val="32"/>
        </w:rPr>
        <w:t>文旅、消费、商务、城市管理、科普体验等场景资源，打造机器人“首发首秀首用”平台。</w:t>
      </w:r>
      <w:r>
        <w:rPr>
          <w:rFonts w:hint="eastAsia" w:ascii="仿宋_GB2312" w:hAnsi="仿宋_GB2312" w:eastAsia="仿宋_GB2312" w:cs="仿宋_GB2312"/>
          <w:kern w:val="0"/>
          <w:sz w:val="32"/>
          <w:szCs w:val="32"/>
        </w:rPr>
        <w:t>推进国家体育场等场馆部署导览、展演类机器人，打造机器人科技体验店等消费载体。鼓励亚洲金融大厦等商务楼宇配置引导类机器人，支持组建机器人清洁、安防作业队伍，示范性推出机器人酒店、机器人商场、机器人公园等一批标杆场景应用。引育机器人领域国际组织，推动成立世界人形机器人运动联合会，提升区域机器人产业国际影响力与全球资源配置能力</w:t>
      </w:r>
      <w:r>
        <w:rPr>
          <w:rFonts w:hint="eastAsia" w:ascii="仿宋_GB2312" w:hAnsi="仿宋_GB2312" w:eastAsia="仿宋_GB2312" w:cs="仿宋_GB2312"/>
          <w:kern w:val="0"/>
          <w:sz w:val="32"/>
          <w:szCs w:val="32"/>
          <w:lang w:bidi="ar"/>
        </w:rPr>
        <w:t>。</w:t>
      </w:r>
    </w:p>
    <w:p w14:paraId="203FB660">
      <w:pPr>
        <w:tabs>
          <w:tab w:val="left" w:pos="1440"/>
        </w:tabs>
        <w:overflowPunct w:val="0"/>
        <w:adjustRightInd w:val="0"/>
        <w:snapToGrid w:val="0"/>
        <w:spacing w:line="600" w:lineRule="exact"/>
        <w:ind w:firstLine="640" w:firstLineChars="200"/>
        <w:outlineLvl w:val="1"/>
        <w:rPr>
          <w:rFonts w:hint="eastAsia" w:ascii="楷体_GB2312" w:hAnsi="楷体_GB2312" w:eastAsia="楷体_GB2312" w:cs="楷体_GB2312"/>
          <w:sz w:val="32"/>
          <w:szCs w:val="32"/>
          <w:lang w:bidi="ar"/>
        </w:rPr>
      </w:pPr>
      <w:bookmarkStart w:id="138" w:name="_Toc18419"/>
      <w:bookmarkStart w:id="139" w:name="_Toc223938005"/>
      <w:bookmarkStart w:id="140" w:name="_Toc20801"/>
      <w:r>
        <w:rPr>
          <w:rFonts w:hint="eastAsia" w:ascii="楷体_GB2312" w:hAnsi="楷体_GB2312" w:eastAsia="楷体_GB2312" w:cs="楷体_GB2312"/>
          <w:kern w:val="0"/>
          <w:sz w:val="32"/>
          <w:szCs w:val="32"/>
          <w:lang w:bidi="ar"/>
        </w:rPr>
        <w:t>三、做优数据要素产业</w:t>
      </w:r>
      <w:bookmarkEnd w:id="138"/>
      <w:bookmarkEnd w:id="139"/>
      <w:bookmarkEnd w:id="140"/>
      <w:r>
        <w:rPr>
          <w:rFonts w:hint="eastAsia" w:ascii="楷体_GB2312" w:hAnsi="楷体_GB2312" w:eastAsia="楷体_GB2312" w:cs="楷体_GB2312"/>
          <w:kern w:val="0"/>
          <w:sz w:val="32"/>
          <w:szCs w:val="32"/>
          <w:lang w:bidi="ar"/>
        </w:rPr>
        <w:t>集聚区</w:t>
      </w:r>
    </w:p>
    <w:p w14:paraId="47443EB1">
      <w:pPr>
        <w:widowControl/>
        <w:overflowPunct w:val="0"/>
        <w:adjustRightInd w:val="0"/>
        <w:snapToGrid w:val="0"/>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sz w:val="32"/>
          <w:szCs w:val="32"/>
          <w:lang w:bidi="ar"/>
        </w:rPr>
        <w:t>发挥朝阳数据要素产业园、北京国际大数据交易所等载体平台作用，联动奥运村街道与奥林匹克中心区，重点吸引数据要素产业上下游企业、专业服务机构落地，打造覆盖数据要素全产业链的生态中心。高标准建设数据商务区</w:t>
      </w:r>
      <w:r>
        <w:rPr>
          <w:rFonts w:ascii="Times New Roman" w:hAnsi="Times New Roman" w:eastAsia="仿宋_GB2312" w:cs="Times New Roman"/>
          <w:sz w:val="32"/>
          <w:szCs w:val="32"/>
          <w:lang w:bidi="ar"/>
        </w:rPr>
        <w:t>（DBD）</w:t>
      </w:r>
      <w:r>
        <w:rPr>
          <w:rFonts w:hint="eastAsia" w:ascii="仿宋_GB2312" w:hAnsi="仿宋_GB2312" w:eastAsia="仿宋_GB2312" w:cs="仿宋_GB2312"/>
          <w:sz w:val="32"/>
          <w:szCs w:val="32"/>
          <w:lang w:bidi="ar"/>
        </w:rPr>
        <w:t>，以数据要素产业园为核心载体，协同北京商务中心区</w:t>
      </w:r>
      <w:r>
        <w:rPr>
          <w:rFonts w:hint="eastAsia" w:ascii="Times New Roman" w:hAnsi="Times New Roman" w:eastAsia="仿宋_GB2312" w:cs="Times New Roman"/>
          <w:sz w:val="32"/>
          <w:szCs w:val="32"/>
          <w:lang w:bidi="ar"/>
        </w:rPr>
        <w:t>（CBD）</w:t>
      </w:r>
      <w:r>
        <w:rPr>
          <w:rFonts w:hint="eastAsia" w:ascii="仿宋_GB2312" w:hAnsi="仿宋_GB2312" w:eastAsia="仿宋_GB2312" w:cs="仿宋_GB2312"/>
          <w:sz w:val="32"/>
          <w:szCs w:val="32"/>
          <w:lang w:bidi="ar"/>
        </w:rPr>
        <w:t>、奥林匹克中心区，布局全球数据要素融合谷、数智北京·数据要素生态产业园等特色产业园区。加强与国际数据组织联动对接，探索建立数据要素产业研究院，建设数商培育服务平台，加大对数据产业企业的吸引服务力度，加强数据商务应用赛道培育</w:t>
      </w:r>
      <w:r>
        <w:rPr>
          <w:rFonts w:hint="eastAsia" w:ascii="仿宋_GB2312" w:hAnsi="仿宋_GB2312" w:eastAsia="仿宋_GB2312" w:cs="仿宋_GB2312"/>
          <w:kern w:val="0"/>
          <w:sz w:val="32"/>
          <w:szCs w:val="32"/>
        </w:rPr>
        <w:t>。</w:t>
      </w:r>
    </w:p>
    <w:p w14:paraId="2025E086">
      <w:pPr>
        <w:tabs>
          <w:tab w:val="left" w:pos="1440"/>
        </w:tabs>
        <w:overflowPunct w:val="0"/>
        <w:adjustRightInd w:val="0"/>
        <w:snapToGrid w:val="0"/>
        <w:spacing w:line="600" w:lineRule="exact"/>
        <w:ind w:firstLine="640" w:firstLineChars="200"/>
        <w:outlineLvl w:val="1"/>
        <w:rPr>
          <w:rFonts w:hint="eastAsia" w:ascii="楷体_GB2312" w:hAnsi="楷体_GB2312" w:eastAsia="楷体_GB2312" w:cs="楷体_GB2312"/>
          <w:kern w:val="0"/>
          <w:sz w:val="32"/>
          <w:szCs w:val="32"/>
          <w:lang w:bidi="ar"/>
        </w:rPr>
      </w:pPr>
      <w:r>
        <w:rPr>
          <w:rFonts w:hint="eastAsia" w:ascii="楷体_GB2312" w:hAnsi="楷体_GB2312" w:eastAsia="楷体_GB2312" w:cs="楷体_GB2312"/>
          <w:kern w:val="0"/>
          <w:sz w:val="32"/>
          <w:szCs w:val="32"/>
          <w:lang w:bidi="ar"/>
        </w:rPr>
        <w:t>四、构建奥南智慧商业中心</w:t>
      </w:r>
    </w:p>
    <w:p w14:paraId="68232E73">
      <w:pPr>
        <w:widowControl/>
        <w:overflowPunct w:val="0"/>
        <w:adjustRightInd w:val="0"/>
        <w:snapToGrid w:val="0"/>
        <w:spacing w:line="600" w:lineRule="exact"/>
        <w:ind w:firstLine="640" w:firstLineChars="200"/>
        <w:rPr>
          <w:rFonts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以奥南</w:t>
      </w:r>
      <w:r>
        <w:rPr>
          <w:rFonts w:hint="eastAsia" w:ascii="Times New Roman" w:hAnsi="Times New Roman" w:eastAsia="仿宋_GB2312" w:cs="Times New Roman"/>
          <w:sz w:val="32"/>
          <w:szCs w:val="32"/>
          <w:lang w:bidi="ar"/>
        </w:rPr>
        <w:t>15</w:t>
      </w:r>
      <w:r>
        <w:rPr>
          <w:rFonts w:hint="eastAsia" w:ascii="仿宋_GB2312" w:hAnsi="仿宋_GB2312" w:eastAsia="仿宋_GB2312" w:cs="仿宋_GB2312"/>
          <w:sz w:val="32"/>
          <w:szCs w:val="32"/>
          <w:lang w:bidi="ar"/>
        </w:rPr>
        <w:t>号地等重点地块出让为契机，支持在亚奥片区建设“商业化中心+创新业务孵化基地”。充分发挥龙头企业在场景驱动、技术赋能、生态聚合的核心优势，引导企业布局经营管理、商业产品技术创新、电商研发结算等核心业务板块与骨干团队，打造集技术研发、成果转化、场景应用于一体的综合性功能载体。推动基地与周边高端商业载体、跨国企业区域总部、国家级文化场馆深度联动，构建产业协同、功能互补、空间相融的区域一体化发展格局，全面提升区域科技产业生态能级和综合竞争力。</w:t>
      </w:r>
    </w:p>
    <w:p w14:paraId="28B9CD57">
      <w:pPr>
        <w:tabs>
          <w:tab w:val="left" w:pos="1440"/>
        </w:tabs>
        <w:overflowPunct w:val="0"/>
        <w:adjustRightInd w:val="0"/>
        <w:snapToGrid w:val="0"/>
        <w:spacing w:line="600" w:lineRule="exact"/>
        <w:ind w:firstLine="640" w:firstLineChars="200"/>
        <w:outlineLvl w:val="1"/>
        <w:rPr>
          <w:rFonts w:hint="eastAsia" w:ascii="楷体_GB2312" w:hAnsi="楷体_GB2312" w:eastAsia="楷体_GB2312" w:cs="楷体_GB2312"/>
          <w:kern w:val="0"/>
          <w:sz w:val="32"/>
          <w:szCs w:val="32"/>
          <w:lang w:bidi="ar"/>
        </w:rPr>
      </w:pPr>
      <w:r>
        <w:rPr>
          <w:rFonts w:hint="eastAsia" w:ascii="楷体_GB2312" w:hAnsi="楷体_GB2312" w:eastAsia="楷体_GB2312" w:cs="楷体_GB2312"/>
          <w:kern w:val="0"/>
          <w:sz w:val="32"/>
          <w:szCs w:val="32"/>
          <w:lang w:bidi="ar"/>
        </w:rPr>
        <w:t>五、建设大屯数字未来城</w:t>
      </w:r>
    </w:p>
    <w:p w14:paraId="7B075B18">
      <w:pPr>
        <w:pStyle w:val="4"/>
        <w:overflowPunct w:val="0"/>
        <w:adjustRightInd w:val="0"/>
        <w:snapToGrid w:val="0"/>
        <w:spacing w:after="0" w:line="600" w:lineRule="exact"/>
        <w:ind w:firstLine="640" w:firstLineChars="200"/>
        <w:jc w:val="both"/>
        <w:rPr>
          <w:rFonts w:ascii="仿宋_GB2312" w:hAnsi="仿宋_GB2312" w:eastAsia="仿宋_GB2312" w:cs="仿宋_GB2312"/>
          <w:lang w:bidi="ar"/>
        </w:rPr>
      </w:pPr>
      <w:r>
        <w:rPr>
          <w:rFonts w:hint="eastAsia" w:ascii="仿宋_GB2312" w:hAnsi="仿宋_GB2312" w:eastAsia="仿宋_GB2312" w:cs="仿宋_GB2312"/>
          <w:lang w:bidi="ar"/>
        </w:rPr>
        <w:t>以中关村创新社区·数字产业中心等园区为核心载体，聚焦大信息、大健康、智能制造等前沿产业领域，发挥头部企业的引领示范作用，加快布局集成电路全产业链服务平台、高性能芯片测试验证平台、医药临床试验</w:t>
      </w:r>
      <w:r>
        <w:rPr>
          <w:rFonts w:hint="eastAsia" w:ascii="Times New Roman" w:hAnsi="Times New Roman" w:eastAsia="仿宋_GB2312" w:cs="Times New Roman"/>
          <w:lang w:bidi="ar"/>
        </w:rPr>
        <w:t>CRO</w:t>
      </w:r>
      <w:r>
        <w:rPr>
          <w:rFonts w:hint="eastAsia" w:ascii="仿宋_GB2312" w:hAnsi="仿宋_GB2312" w:eastAsia="仿宋_GB2312" w:cs="仿宋_GB2312"/>
          <w:lang w:bidi="ar"/>
        </w:rPr>
        <w:t>服务平台等共性技术服务平台，吸引培育数字经济、消费科技等细分领域产业集聚发展。做强特色文创产业体系，充分依托文娱领域头部企业</w:t>
      </w:r>
      <w:r>
        <w:rPr>
          <w:rFonts w:hint="eastAsia" w:ascii="Times New Roman" w:hAnsi="Times New Roman" w:eastAsia="仿宋_GB2312" w:cs="Times New Roman"/>
          <w:lang w:bidi="ar"/>
        </w:rPr>
        <w:t>IP</w:t>
      </w:r>
      <w:r>
        <w:rPr>
          <w:rFonts w:hint="eastAsia" w:ascii="仿宋_GB2312" w:hAnsi="仿宋_GB2312" w:eastAsia="仿宋_GB2312" w:cs="仿宋_GB2312"/>
          <w:lang w:bidi="ar"/>
        </w:rPr>
        <w:t>孵化、内容创作、票务宣发及大数据运营等核心优势，构建“内容制作—全域发行—长效运营”的影视文创全产业链条。持续优化子拓国际广场空间功能布局，稳步推进楼宇智能化升级改造，打造专业化、特色化、高品质的数字经济产业承载空间。</w:t>
      </w:r>
    </w:p>
    <w:p w14:paraId="643E9569">
      <w:pPr>
        <w:tabs>
          <w:tab w:val="left" w:pos="1440"/>
        </w:tabs>
        <w:overflowPunct w:val="0"/>
        <w:adjustRightInd w:val="0"/>
        <w:snapToGrid w:val="0"/>
        <w:spacing w:line="560" w:lineRule="exact"/>
        <w:ind w:firstLine="640" w:firstLineChars="200"/>
        <w:rPr>
          <w:rFonts w:eastAsia="仿宋_GB2312"/>
          <w:kern w:val="0"/>
          <w:sz w:val="32"/>
          <w:szCs w:val="32"/>
        </w:rPr>
      </w:pPr>
    </w:p>
    <w:bookmarkEnd w:id="129"/>
    <w:p w14:paraId="4FF6DA59">
      <w:pPr>
        <w:jc w:val="center"/>
        <w:rPr>
          <w:rFonts w:eastAsia="黑体" w:cs="黑体"/>
          <w:color w:val="000000"/>
          <w:kern w:val="0"/>
          <w:sz w:val="32"/>
          <w:szCs w:val="32"/>
        </w:rPr>
        <w:sectPr>
          <w:pgSz w:w="11906" w:h="16838"/>
          <w:pgMar w:top="2098" w:right="1474" w:bottom="1984" w:left="1587" w:header="851" w:footer="992" w:gutter="0"/>
          <w:pgNumType w:fmt="numberInDash"/>
          <w:cols w:space="0" w:num="1"/>
          <w:docGrid w:type="lines" w:linePitch="312" w:charSpace="0"/>
        </w:sectPr>
      </w:pPr>
      <w:bookmarkStart w:id="141" w:name="_Toc204021819"/>
      <w:bookmarkStart w:id="142" w:name="_Toc206179994"/>
      <w:bookmarkStart w:id="143" w:name="_Toc206358673"/>
      <w:bookmarkStart w:id="144" w:name="_Toc223938006"/>
      <w:bookmarkStart w:id="145" w:name="_Toc216460238"/>
      <w:bookmarkStart w:id="146" w:name="_Toc203655439"/>
      <w:bookmarkStart w:id="147" w:name="_Toc21352"/>
      <w:bookmarkStart w:id="148" w:name="_Toc1129"/>
    </w:p>
    <w:p w14:paraId="4C23762D">
      <w:pPr>
        <w:keepNext/>
        <w:keepLines/>
        <w:widowControl/>
        <w:adjustRightInd w:val="0"/>
        <w:snapToGrid w:val="0"/>
        <w:spacing w:before="156" w:beforeLines="50" w:after="156" w:afterLines="50" w:line="560" w:lineRule="exact"/>
        <w:jc w:val="center"/>
        <w:outlineLvl w:val="0"/>
        <w:rPr>
          <w:rFonts w:eastAsia="黑体" w:cs="黑体"/>
          <w:color w:val="000000"/>
          <w:kern w:val="0"/>
          <w:sz w:val="32"/>
          <w:szCs w:val="32"/>
        </w:rPr>
      </w:pPr>
      <w:bookmarkStart w:id="149" w:name="_Toc8431"/>
      <w:bookmarkStart w:id="150" w:name="_Toc4202"/>
      <w:r>
        <w:rPr>
          <w:rFonts w:hint="eastAsia" w:eastAsia="黑体" w:cs="黑体"/>
          <w:color w:val="000000"/>
          <w:kern w:val="0"/>
          <w:sz w:val="32"/>
          <w:szCs w:val="32"/>
        </w:rPr>
        <w:t>第七章 推动山河湾谷科创策源功能区能级</w:t>
      </w:r>
      <w:bookmarkEnd w:id="141"/>
      <w:bookmarkEnd w:id="142"/>
      <w:bookmarkEnd w:id="143"/>
      <w:bookmarkEnd w:id="144"/>
      <w:bookmarkEnd w:id="145"/>
      <w:bookmarkEnd w:id="146"/>
      <w:bookmarkEnd w:id="147"/>
      <w:r>
        <w:rPr>
          <w:rFonts w:hint="eastAsia" w:eastAsia="黑体" w:cs="黑体"/>
          <w:color w:val="000000"/>
          <w:kern w:val="0"/>
          <w:sz w:val="32"/>
          <w:szCs w:val="32"/>
        </w:rPr>
        <w:t>跃升</w:t>
      </w:r>
      <w:bookmarkEnd w:id="148"/>
      <w:bookmarkEnd w:id="149"/>
      <w:bookmarkEnd w:id="150"/>
    </w:p>
    <w:p w14:paraId="07798121">
      <w:pPr>
        <w:widowControl/>
        <w:tabs>
          <w:tab w:val="left" w:pos="1440"/>
        </w:tabs>
        <w:overflowPunct w:val="0"/>
        <w:adjustRightInd w:val="0"/>
        <w:snapToGrid w:val="0"/>
        <w:spacing w:line="560" w:lineRule="exact"/>
        <w:ind w:firstLine="640" w:firstLineChars="200"/>
        <w:rPr>
          <w:rFonts w:ascii="Times New Roman" w:hAnsi="Times New Roman" w:eastAsia="仿宋_GB2312" w:cs="Times New Roman"/>
          <w:color w:val="000000"/>
          <w:sz w:val="32"/>
          <w:szCs w:val="32"/>
        </w:rPr>
      </w:pPr>
      <w:bookmarkStart w:id="151" w:name="_Toc216460243"/>
      <w:r>
        <w:rPr>
          <w:rFonts w:ascii="Times New Roman" w:hAnsi="Times New Roman" w:eastAsia="仿宋_GB2312"/>
          <w:sz w:val="32"/>
          <w:szCs w:val="32"/>
        </w:rPr>
        <w:t>发挥以北京工业大学为核心的高校院所作用，</w:t>
      </w:r>
      <w:r>
        <w:rPr>
          <w:rFonts w:hint="eastAsia" w:ascii="Times New Roman" w:hAnsi="Times New Roman" w:eastAsia="仿宋_GB2312"/>
          <w:sz w:val="32"/>
          <w:szCs w:val="32"/>
        </w:rPr>
        <w:t>激活朝阳南部</w:t>
      </w:r>
      <w:r>
        <w:rPr>
          <w:rFonts w:ascii="Times New Roman" w:hAnsi="Times New Roman" w:eastAsia="仿宋_GB2312"/>
          <w:sz w:val="32"/>
          <w:szCs w:val="32"/>
        </w:rPr>
        <w:t>存量空间</w:t>
      </w:r>
      <w:r>
        <w:rPr>
          <w:rFonts w:hint="eastAsia" w:ascii="Times New Roman" w:hAnsi="Times New Roman" w:eastAsia="仿宋_GB2312"/>
          <w:sz w:val="32"/>
          <w:szCs w:val="32"/>
        </w:rPr>
        <w:t>资源</w:t>
      </w:r>
      <w:r>
        <w:rPr>
          <w:rFonts w:ascii="Times New Roman" w:hAnsi="Times New Roman" w:eastAsia="仿宋_GB2312"/>
          <w:sz w:val="32"/>
          <w:szCs w:val="32"/>
        </w:rPr>
        <w:t>，</w:t>
      </w:r>
      <w:r>
        <w:rPr>
          <w:rFonts w:hint="eastAsia" w:ascii="Times New Roman" w:hAnsi="Times New Roman" w:eastAsia="仿宋_GB2312"/>
          <w:sz w:val="32"/>
          <w:szCs w:val="32"/>
        </w:rPr>
        <w:t>构建“核心区－先导区－产业拓展区”联动发展格局，提升科技成果转化全链条服务能力。深化区校企协同联动，全力打造集原始创新、成果熟化和落地转化于一体的科技创新策源高地</w:t>
      </w:r>
      <w:r>
        <w:rPr>
          <w:rFonts w:hint="eastAsia" w:ascii="Times New Roman" w:hAnsi="Times New Roman" w:eastAsia="仿宋_GB2312" w:cs="仿宋_GB2312"/>
          <w:sz w:val="32"/>
          <w:szCs w:val="32"/>
          <w:lang w:bidi="ar"/>
        </w:rPr>
        <w:t>。</w:t>
      </w:r>
    </w:p>
    <w:p w14:paraId="5B5B8E3A">
      <w:pPr>
        <w:widowControl/>
        <w:tabs>
          <w:tab w:val="left" w:pos="1440"/>
        </w:tabs>
        <w:overflowPunct w:val="0"/>
        <w:adjustRightInd w:val="0"/>
        <w:snapToGrid w:val="0"/>
        <w:spacing w:line="560" w:lineRule="exact"/>
        <w:ind w:firstLine="640" w:firstLineChars="200"/>
        <w:outlineLvl w:val="1"/>
        <w:rPr>
          <w:rFonts w:hint="eastAsia" w:ascii="楷体_GB2312" w:hAnsi="楷体_GB2312" w:eastAsia="楷体_GB2312" w:cs="楷体_GB2312"/>
          <w:color w:val="000000"/>
          <w:sz w:val="32"/>
          <w:szCs w:val="32"/>
        </w:rPr>
      </w:pPr>
      <w:bookmarkStart w:id="152" w:name="_Toc26434"/>
      <w:bookmarkStart w:id="153" w:name="_Toc223938007"/>
      <w:bookmarkStart w:id="154" w:name="_Toc11712"/>
      <w:r>
        <w:rPr>
          <w:rFonts w:hint="eastAsia" w:ascii="楷体_GB2312" w:hAnsi="楷体_GB2312" w:eastAsia="楷体_GB2312" w:cs="楷体_GB2312"/>
          <w:sz w:val="32"/>
          <w:szCs w:val="32"/>
          <w:lang w:bidi="ar"/>
        </w:rPr>
        <w:t>一、强化核心区创新策源功能</w:t>
      </w:r>
      <w:bookmarkEnd w:id="152"/>
      <w:bookmarkEnd w:id="153"/>
      <w:bookmarkEnd w:id="154"/>
    </w:p>
    <w:p w14:paraId="626C2C99">
      <w:pPr>
        <w:widowControl/>
        <w:tabs>
          <w:tab w:val="left" w:pos="1440"/>
        </w:tabs>
        <w:overflowPunct w:val="0"/>
        <w:adjustRightInd w:val="0"/>
        <w:snapToGrid w:val="0"/>
        <w:spacing w:line="560" w:lineRule="exact"/>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sz w:val="32"/>
          <w:szCs w:val="32"/>
        </w:rPr>
        <w:t>聚焦创新策源“最先一公里”，深度链接全球顶尖创新资源，发挥北京工业大学在地科教优势，扩大与“双一流”高校及国家级科研院所的深度战略合作，建立“需求导向、动态优选、滚动管理”的项目评审机制，持续充盈“创新资源池”。加快集聚一批具备前沿技术判断力和市场转化能力的复合型技术经理人，构建高效协同的创新网络。前瞻布局新型研发机构、概念验证中心等高水平创新平台，夯实从0到1的原始创新底座，提升原创技术供给密度，将核心区打造为孕育新质生产力、引领区域高质量发展的原创技术策源高地</w:t>
      </w:r>
      <w:r>
        <w:rPr>
          <w:rFonts w:hint="eastAsia" w:ascii="Times New Roman" w:hAnsi="Times New Roman" w:eastAsia="仿宋_GB2312" w:cs="仿宋_GB2312"/>
          <w:sz w:val="32"/>
          <w:szCs w:val="32"/>
          <w:lang w:bidi="ar"/>
        </w:rPr>
        <w:t>。</w:t>
      </w:r>
    </w:p>
    <w:p w14:paraId="6AF7C824">
      <w:pPr>
        <w:widowControl/>
        <w:tabs>
          <w:tab w:val="left" w:pos="1440"/>
        </w:tabs>
        <w:overflowPunct w:val="0"/>
        <w:adjustRightInd w:val="0"/>
        <w:snapToGrid w:val="0"/>
        <w:spacing w:line="560" w:lineRule="exact"/>
        <w:ind w:firstLine="640" w:firstLineChars="200"/>
        <w:outlineLvl w:val="1"/>
        <w:rPr>
          <w:rFonts w:hint="eastAsia" w:ascii="楷体_GB2312" w:hAnsi="楷体_GB2312" w:eastAsia="楷体_GB2312" w:cs="楷体_GB2312"/>
          <w:color w:val="000000"/>
          <w:sz w:val="32"/>
          <w:szCs w:val="32"/>
        </w:rPr>
      </w:pPr>
      <w:bookmarkStart w:id="155" w:name="_Toc10392"/>
      <w:bookmarkStart w:id="156" w:name="_Toc223938008"/>
      <w:bookmarkStart w:id="157" w:name="_Toc10036"/>
      <w:r>
        <w:rPr>
          <w:rFonts w:hint="eastAsia" w:ascii="楷体_GB2312" w:hAnsi="楷体_GB2312" w:eastAsia="楷体_GB2312" w:cs="楷体_GB2312"/>
          <w:sz w:val="32"/>
          <w:szCs w:val="32"/>
          <w:lang w:bidi="ar"/>
        </w:rPr>
        <w:t>二、创新先导区科技成果转化机制</w:t>
      </w:r>
      <w:bookmarkEnd w:id="155"/>
      <w:bookmarkEnd w:id="156"/>
      <w:bookmarkEnd w:id="157"/>
    </w:p>
    <w:p w14:paraId="3EC5EFC2">
      <w:pPr>
        <w:widowControl/>
        <w:tabs>
          <w:tab w:val="left" w:pos="1440"/>
        </w:tabs>
        <w:overflowPunct w:val="0"/>
        <w:adjustRightInd w:val="0"/>
        <w:snapToGrid w:val="0"/>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sz w:val="32"/>
          <w:szCs w:val="32"/>
        </w:rPr>
        <w:t>聚焦科技成果熟化“关键一公里”，打通从实验室到生产线的衔接断点，构建高效闭环的科技成果转化体系，打造具有全国影响力的科技成果转化最佳实践区。持续优化“区校合作”共建专班机制，以专班化推进、清单化管理、节点化考核推动校地协同走深走实，扩大与高校院所的技术转移合作范围。依托北控科创园等高品质承接载体，支持高标准建设孵化器、概念验证中心、技术转移机构、公共服务平台及师生创业空间等多元孵化载体。全面推行“低成本孵化空间+高质量加速服务+节点式考核”模式，建立入孵项目全生命周期跟踪服务与动态评估退出机制，贯通小试、中试到产业化落地全流程。深化先进制造业与现代服务业融合发展，联动百余家专业机构，为孵化项目精准提供涵盖技术验证、知识产权、投融资对接、市场拓展等专项服务，推动科技成果高效转化为现实生产力</w:t>
      </w:r>
      <w:r>
        <w:rPr>
          <w:rFonts w:hint="eastAsia" w:ascii="仿宋_GB2312" w:hAnsi="仿宋_GB2312" w:eastAsia="仿宋_GB2312" w:cs="仿宋_GB2312"/>
          <w:sz w:val="32"/>
          <w:szCs w:val="32"/>
          <w:lang w:bidi="ar"/>
        </w:rPr>
        <w:t>。</w:t>
      </w:r>
    </w:p>
    <w:p w14:paraId="4A8BC7DB">
      <w:pPr>
        <w:widowControl/>
        <w:tabs>
          <w:tab w:val="left" w:pos="1440"/>
        </w:tabs>
        <w:overflowPunct w:val="0"/>
        <w:adjustRightInd w:val="0"/>
        <w:snapToGrid w:val="0"/>
        <w:spacing w:line="560" w:lineRule="exact"/>
        <w:ind w:firstLine="640" w:firstLineChars="200"/>
        <w:outlineLvl w:val="1"/>
        <w:rPr>
          <w:rFonts w:hint="eastAsia" w:ascii="楷体_GB2312" w:hAnsi="楷体_GB2312" w:eastAsia="楷体_GB2312" w:cs="楷体_GB2312"/>
          <w:color w:val="000000"/>
          <w:sz w:val="32"/>
          <w:szCs w:val="32"/>
        </w:rPr>
      </w:pPr>
      <w:bookmarkStart w:id="158" w:name="_Toc223938009"/>
      <w:bookmarkStart w:id="159" w:name="_Toc21901"/>
      <w:bookmarkStart w:id="160" w:name="_Toc23132"/>
      <w:r>
        <w:rPr>
          <w:rFonts w:hint="eastAsia" w:ascii="楷体_GB2312" w:hAnsi="楷体_GB2312" w:eastAsia="楷体_GB2312" w:cs="楷体_GB2312"/>
          <w:sz w:val="32"/>
          <w:szCs w:val="32"/>
          <w:lang w:bidi="ar"/>
        </w:rPr>
        <w:t>三、提升产业拓展区产业培育效能</w:t>
      </w:r>
      <w:bookmarkEnd w:id="158"/>
      <w:bookmarkEnd w:id="159"/>
      <w:bookmarkEnd w:id="160"/>
    </w:p>
    <w:p w14:paraId="6F7F095A">
      <w:pPr>
        <w:widowControl/>
        <w:overflowPunct w:val="0"/>
        <w:adjustRightInd w:val="0"/>
        <w:snapToGrid w:val="0"/>
        <w:spacing w:line="560" w:lineRule="exact"/>
        <w:ind w:firstLine="640" w:firstLineChars="200"/>
        <w:rPr>
          <w:rFonts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聚焦产业培育“最后一公里”，构建“地标性产业集群+高品质产业空间”双向促进格局，全面提升区域产业承载力，打造支撑南部崛起和首都东南区域产业创新地标。紧扣“</w:t>
      </w:r>
      <w:r>
        <w:rPr>
          <w:rFonts w:hint="eastAsia" w:ascii="Times New Roman" w:hAnsi="Times New Roman" w:eastAsia="仿宋_GB2312" w:cs="Times New Roman"/>
          <w:color w:val="000000"/>
          <w:sz w:val="32"/>
          <w:szCs w:val="24"/>
          <w:lang w:bidi="ar"/>
        </w:rPr>
        <w:t>3+X+N</w:t>
      </w:r>
      <w:r>
        <w:rPr>
          <w:rFonts w:hint="eastAsia" w:ascii="仿宋_GB2312" w:hAnsi="仿宋_GB2312" w:eastAsia="仿宋_GB2312" w:cs="仿宋_GB2312"/>
          <w:color w:val="000000"/>
          <w:kern w:val="0"/>
          <w:sz w:val="32"/>
          <w:szCs w:val="32"/>
          <w:lang w:bidi="ar"/>
        </w:rPr>
        <w:t>”产业集群方向，在新一代信息技术、人工智能、智能制造装备、智能仪器仪表、智能机器人、数字医疗、医工交叉等细分领域，靶向引育一批具有行业影响力和生态主导力的头部企业与领军企业，加快壮大产业集群规模。坚持以园聚链、以链集群，以“一校（院）一园一产”特色产业园区建设为抓手，有序引导孵化成熟企业入驻，推动校区、园区、街区深度融合联动，加快朝阳南部九个街乡存量产业空间提质增效。引入或共建创新平台或重大科技基础设施，培育专业服务力量与技术转移人才，打造特色产业园区，培育创新型产业集群，成为首都东南部的科创新高地。</w:t>
      </w:r>
    </w:p>
    <w:p w14:paraId="7796B801">
      <w:pPr>
        <w:widowControl/>
        <w:tabs>
          <w:tab w:val="left" w:pos="1440"/>
        </w:tabs>
        <w:overflowPunct w:val="0"/>
        <w:adjustRightInd w:val="0"/>
        <w:snapToGrid w:val="0"/>
        <w:spacing w:line="560" w:lineRule="exact"/>
        <w:ind w:firstLine="640" w:firstLineChars="200"/>
        <w:outlineLvl w:val="1"/>
        <w:rPr>
          <w:rFonts w:hint="eastAsia" w:ascii="楷体_GB2312" w:hAnsi="楷体_GB2312" w:eastAsia="楷体_GB2312" w:cs="楷体_GB2312"/>
          <w:sz w:val="32"/>
          <w:szCs w:val="32"/>
          <w:lang w:bidi="ar"/>
        </w:rPr>
      </w:pPr>
      <w:r>
        <w:rPr>
          <w:rFonts w:hint="eastAsia" w:ascii="楷体_GB2312" w:hAnsi="楷体_GB2312" w:eastAsia="楷体_GB2312" w:cs="楷体_GB2312"/>
          <w:sz w:val="32"/>
          <w:szCs w:val="32"/>
          <w:lang w:bidi="ar"/>
        </w:rPr>
        <w:t>四、构建全流程成果转化服务体系</w:t>
      </w:r>
    </w:p>
    <w:p w14:paraId="6C1DF75F">
      <w:pPr>
        <w:pStyle w:val="18"/>
        <w:widowControl/>
        <w:overflowPunct w:val="0"/>
        <w:adjustRightInd w:val="0"/>
        <w:snapToGrid w:val="0"/>
        <w:spacing w:line="560" w:lineRule="exact"/>
        <w:ind w:firstLine="640" w:firstLineChars="200"/>
        <w:textAlignment w:val="center"/>
        <w:rPr>
          <w:rFonts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加强“创新端—转化端—产业端”三端贯通，着力构建“研发—小试—中试—产业化”全流程服务链条，将山河湾谷科创策源功能区打造为全市高校科技成果转化样板。加快孵化载体建设，依托北控科创园等空间资源，吸引多元主体建设专业化孵化器、加速器和师生创业空间，为早期项目和科研团队提供低成本、高品质的科创承载空间。联合高校院所、科技企业共建概念验证中心、中试基地和共性技术服务平台，提供技术转移、检验检测、知识产权等一站式专业服务。</w:t>
      </w:r>
    </w:p>
    <w:p w14:paraId="54A7DED6">
      <w:pPr>
        <w:widowControl/>
        <w:tabs>
          <w:tab w:val="left" w:pos="1440"/>
        </w:tabs>
        <w:overflowPunct w:val="0"/>
        <w:adjustRightInd w:val="0"/>
        <w:snapToGrid w:val="0"/>
        <w:spacing w:line="560" w:lineRule="exact"/>
        <w:ind w:firstLine="640" w:firstLineChars="200"/>
        <w:outlineLvl w:val="1"/>
        <w:rPr>
          <w:rFonts w:hint="eastAsia" w:ascii="楷体_GB2312" w:hAnsi="楷体_GB2312" w:eastAsia="楷体_GB2312" w:cs="楷体_GB2312"/>
          <w:sz w:val="32"/>
          <w:szCs w:val="32"/>
          <w:lang w:bidi="ar"/>
        </w:rPr>
      </w:pPr>
      <w:r>
        <w:rPr>
          <w:rFonts w:hint="eastAsia" w:ascii="楷体_GB2312" w:hAnsi="楷体_GB2312" w:eastAsia="楷体_GB2312" w:cs="楷体_GB2312"/>
          <w:sz w:val="32"/>
          <w:szCs w:val="32"/>
          <w:lang w:bidi="ar"/>
        </w:rPr>
        <w:t>五、深化多元主体协同联动机制</w:t>
      </w:r>
    </w:p>
    <w:p w14:paraId="471CA42A">
      <w:pPr>
        <w:pStyle w:val="18"/>
        <w:widowControl/>
        <w:overflowPunct w:val="0"/>
        <w:adjustRightInd w:val="0"/>
        <w:snapToGrid w:val="0"/>
        <w:spacing w:line="560" w:lineRule="exact"/>
        <w:ind w:firstLine="640" w:firstLineChars="200"/>
        <w:textAlignment w:val="center"/>
        <w:rPr>
          <w:rFonts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坚持“政府统筹、高校带动、企业主导、社会参与”，深化区校企合作，健全联合专班运行机制，强化定期会商与常态化调度模式，在人才培养、技术研发、成果转化等重点领域推动资源共享与优势互补。发挥龙头企业引领作用，支持北控集团、中能建等链主企业开放应用场景和研发需求，联合上下游主体共建产业创新平台，带动产业链大中小企业融通创新。强化人才队伍支撑，引育一批懂技术、通市场、善转化的复合型技术经理人队伍，依托国家技术转移人才培养基地，建立分层分类的技术转移人才培育与认证体系，全面夯实成果转化人才底座。拓展全域生态合作网络，扩容创新区生态联盟，广泛吸纳专业服务机构、金融机构、行业协会等各类市场主体加入，为科创企业提供全生命周期专业服务。积极链接全球创新资源，加强国际产学研合作，常态化举办全球高校科技成果转化促进大会等高端活动，打造国际化科创交流窗口，提升创新区的全球辨识度与资源聚合能力。</w:t>
      </w:r>
    </w:p>
    <w:p w14:paraId="30D2B2BB">
      <w:pPr>
        <w:jc w:val="center"/>
        <w:rPr>
          <w:rFonts w:eastAsia="黑体" w:cs="黑体"/>
          <w:color w:val="000000"/>
          <w:kern w:val="0"/>
          <w:sz w:val="32"/>
          <w:szCs w:val="32"/>
        </w:rPr>
        <w:sectPr>
          <w:pgSz w:w="11906" w:h="16838"/>
          <w:pgMar w:top="2098" w:right="1474" w:bottom="1984" w:left="1587" w:header="851" w:footer="992" w:gutter="0"/>
          <w:pgNumType w:fmt="numberInDash"/>
          <w:cols w:space="0" w:num="1"/>
          <w:docGrid w:type="lines" w:linePitch="312" w:charSpace="0"/>
        </w:sectPr>
      </w:pPr>
      <w:bookmarkStart w:id="161" w:name="_Toc16494"/>
      <w:bookmarkStart w:id="162" w:name="_Toc7654"/>
      <w:bookmarkStart w:id="163" w:name="_Toc223938010"/>
    </w:p>
    <w:p w14:paraId="1E1F70C0">
      <w:pPr>
        <w:keepNext/>
        <w:keepLines/>
        <w:widowControl/>
        <w:adjustRightInd w:val="0"/>
        <w:snapToGrid w:val="0"/>
        <w:spacing w:before="156" w:beforeLines="50" w:after="156" w:afterLines="50" w:line="560" w:lineRule="exact"/>
        <w:jc w:val="center"/>
        <w:outlineLvl w:val="0"/>
        <w:rPr>
          <w:rFonts w:eastAsia="黑体" w:cs="黑体"/>
          <w:color w:val="000000"/>
          <w:kern w:val="0"/>
          <w:sz w:val="32"/>
          <w:szCs w:val="32"/>
        </w:rPr>
      </w:pPr>
      <w:bookmarkStart w:id="164" w:name="_Toc19289"/>
      <w:bookmarkStart w:id="165" w:name="_Toc25274"/>
      <w:r>
        <w:rPr>
          <w:rFonts w:hint="eastAsia" w:eastAsia="黑体" w:cs="黑体"/>
          <w:color w:val="000000"/>
          <w:kern w:val="0"/>
          <w:sz w:val="32"/>
          <w:szCs w:val="32"/>
        </w:rPr>
        <w:t>第八章 优化园区运营服务生态</w:t>
      </w:r>
      <w:bookmarkEnd w:id="151"/>
      <w:bookmarkEnd w:id="161"/>
      <w:bookmarkEnd w:id="162"/>
      <w:bookmarkEnd w:id="163"/>
      <w:bookmarkEnd w:id="164"/>
      <w:bookmarkEnd w:id="165"/>
      <w:bookmarkStart w:id="166" w:name="_Toc206358682"/>
      <w:bookmarkStart w:id="167" w:name="_Toc206180003"/>
    </w:p>
    <w:bookmarkEnd w:id="166"/>
    <w:bookmarkEnd w:id="167"/>
    <w:p w14:paraId="37352DCC">
      <w:pPr>
        <w:widowControl/>
        <w:tabs>
          <w:tab w:val="left" w:pos="1440"/>
        </w:tabs>
        <w:overflowPunct w:val="0"/>
        <w:adjustRightInd w:val="0"/>
        <w:snapToGrid w:val="0"/>
        <w:spacing w:line="560" w:lineRule="exact"/>
        <w:ind w:firstLine="640" w:firstLineChars="200"/>
        <w:rPr>
          <w:rFonts w:ascii="仿宋_GB2312" w:hAnsi="仿宋_GB2312" w:eastAsia="仿宋_GB2312" w:cs="仿宋_GB2312"/>
          <w:sz w:val="32"/>
          <w:szCs w:val="40"/>
          <w:lang w:bidi="ar"/>
        </w:rPr>
      </w:pPr>
      <w:bookmarkStart w:id="168" w:name="_Toc206180005"/>
      <w:bookmarkStart w:id="169" w:name="_Toc216460245"/>
      <w:bookmarkStart w:id="170" w:name="_Toc204021833"/>
      <w:bookmarkStart w:id="171" w:name="_Toc206358684"/>
      <w:bookmarkStart w:id="172" w:name="_Toc216460247"/>
      <w:bookmarkStart w:id="173" w:name="_Toc216460248"/>
      <w:bookmarkStart w:id="174" w:name="_Toc206179999"/>
      <w:bookmarkStart w:id="175" w:name="_Toc206358678"/>
      <w:r>
        <w:rPr>
          <w:rFonts w:hint="eastAsia" w:ascii="仿宋_GB2312" w:hAnsi="仿宋_GB2312" w:eastAsia="仿宋_GB2312" w:cs="仿宋_GB2312"/>
          <w:sz w:val="32"/>
          <w:szCs w:val="40"/>
          <w:lang w:bidi="ar"/>
        </w:rPr>
        <w:t>对标世界领先科技园区建设标准，坚持以生态建设促发展，加强科技金融服务矩阵建设，提升专业化服务能力，推进标杆孵化器建设布局，彰显国际化优势特色，</w:t>
      </w:r>
      <w:r>
        <w:rPr>
          <w:rFonts w:hint="eastAsia" w:ascii="仿宋_GB2312" w:hAnsi="仿宋_GB2312" w:eastAsia="仿宋_GB2312" w:cs="仿宋_GB2312"/>
          <w:sz w:val="32"/>
          <w:szCs w:val="32"/>
        </w:rPr>
        <w:t>持续提升科技园区运营管理专业化水平</w:t>
      </w:r>
      <w:r>
        <w:rPr>
          <w:rFonts w:hint="eastAsia" w:ascii="仿宋_GB2312" w:hAnsi="仿宋_GB2312" w:eastAsia="仿宋_GB2312" w:cs="仿宋_GB2312"/>
          <w:sz w:val="32"/>
          <w:szCs w:val="40"/>
          <w:lang w:bidi="ar"/>
        </w:rPr>
        <w:t>。</w:t>
      </w:r>
      <w:bookmarkEnd w:id="168"/>
      <w:bookmarkEnd w:id="169"/>
      <w:bookmarkEnd w:id="170"/>
      <w:bookmarkEnd w:id="171"/>
    </w:p>
    <w:p w14:paraId="0E2ABFDB">
      <w:pPr>
        <w:widowControl/>
        <w:tabs>
          <w:tab w:val="left" w:pos="1440"/>
        </w:tabs>
        <w:overflowPunct w:val="0"/>
        <w:adjustRightInd w:val="0"/>
        <w:snapToGrid w:val="0"/>
        <w:spacing w:line="560" w:lineRule="exact"/>
        <w:ind w:firstLine="640" w:firstLineChars="200"/>
        <w:outlineLvl w:val="1"/>
        <w:rPr>
          <w:rFonts w:hint="eastAsia" w:ascii="楷体_GB2312" w:hAnsi="楷体_GB2312" w:eastAsia="楷体_GB2312" w:cs="楷体_GB2312"/>
          <w:sz w:val="32"/>
          <w:szCs w:val="32"/>
        </w:rPr>
      </w:pPr>
      <w:bookmarkStart w:id="176" w:name="_Toc12512"/>
      <w:bookmarkStart w:id="177" w:name="_Toc18925"/>
      <w:bookmarkStart w:id="178" w:name="_Toc223938011"/>
      <w:r>
        <w:rPr>
          <w:rFonts w:hint="eastAsia" w:ascii="楷体_GB2312" w:hAnsi="楷体_GB2312" w:eastAsia="楷体_GB2312" w:cs="楷体_GB2312"/>
          <w:sz w:val="32"/>
          <w:szCs w:val="32"/>
          <w:lang w:bidi="ar"/>
        </w:rPr>
        <w:t>一、强化科技金融服务效能</w:t>
      </w:r>
      <w:bookmarkEnd w:id="176"/>
      <w:bookmarkEnd w:id="177"/>
      <w:bookmarkEnd w:id="178"/>
    </w:p>
    <w:p w14:paraId="190EF8BF">
      <w:pPr>
        <w:widowControl/>
        <w:tabs>
          <w:tab w:val="left" w:pos="1440"/>
        </w:tabs>
        <w:overflowPunct w:val="0"/>
        <w:adjustRightInd w:val="0"/>
        <w:snapToGrid w:val="0"/>
        <w:spacing w:line="560" w:lineRule="exact"/>
        <w:ind w:firstLine="640" w:firstLineChars="200"/>
        <w:rPr>
          <w:rFonts w:ascii="仿宋_GB2312" w:hAnsi="仿宋_GB2312" w:eastAsia="仿宋_GB2312" w:cs="仿宋_GB2312"/>
          <w:sz w:val="32"/>
          <w:szCs w:val="40"/>
          <w:lang w:bidi="ar"/>
        </w:rPr>
      </w:pPr>
      <w:r>
        <w:rPr>
          <w:rFonts w:hint="eastAsia" w:ascii="仿宋_GB2312" w:hAnsi="仿宋_GB2312" w:eastAsia="仿宋_GB2312" w:cs="仿宋_GB2312"/>
          <w:sz w:val="32"/>
          <w:szCs w:val="32"/>
        </w:rPr>
        <w:t>健全科技创新基础性金融服务体系，持续拓展创业投资、银行信贷、资本市场、科技保险等全要素金融服务资源，加大对科技型企业融资支持。全面提升金融服务矩阵质效，完善园区金融服务站点建设，持续扩充金融服务团数量，扩大对重点园区、重点街乡、重点行业覆盖范围。稳步扩大科创母基金规模，积极争取国家级、市级创投基金对朝阳区的支持，鼓励园区专业运营机构等主体联合金融机构发起或参与组建产业专项基金，强化金融对科技发展支撑能力。推动国际创业投资集聚区发展能级提升，吸引合格境外有限合伙人（</w:t>
      </w:r>
      <w:r>
        <w:rPr>
          <w:rFonts w:hint="eastAsia" w:ascii="Times New Roman" w:hAnsi="Times New Roman" w:eastAsia="仿宋_GB2312" w:cs="Times New Roman"/>
          <w:color w:val="000000"/>
          <w:sz w:val="32"/>
          <w:szCs w:val="24"/>
          <w:lang w:bidi="ar"/>
        </w:rPr>
        <w:t>QFLP</w:t>
      </w:r>
      <w:r>
        <w:rPr>
          <w:rFonts w:hint="eastAsia" w:ascii="仿宋_GB2312" w:hAnsi="仿宋_GB2312" w:eastAsia="仿宋_GB2312" w:cs="仿宋_GB2312"/>
          <w:sz w:val="32"/>
          <w:szCs w:val="32"/>
        </w:rPr>
        <w:t>）等国内外创投机构集聚，加快建设朝阳国际创投青年人才会客厅、国际主权财富基金港等载体，提升“创投会客厅”活动产融对接质效，推荐更多园区企业获得风险投资的投资支持</w:t>
      </w:r>
      <w:r>
        <w:rPr>
          <w:rFonts w:hint="eastAsia" w:ascii="仿宋_GB2312" w:hAnsi="仿宋_GB2312" w:eastAsia="仿宋_GB2312" w:cs="仿宋_GB2312"/>
          <w:sz w:val="32"/>
          <w:szCs w:val="32"/>
          <w:lang w:bidi="ar"/>
        </w:rPr>
        <w:t>。</w:t>
      </w:r>
    </w:p>
    <w:p w14:paraId="6E697619">
      <w:pPr>
        <w:widowControl/>
        <w:tabs>
          <w:tab w:val="left" w:pos="1440"/>
        </w:tabs>
        <w:overflowPunct w:val="0"/>
        <w:adjustRightInd w:val="0"/>
        <w:snapToGrid w:val="0"/>
        <w:spacing w:line="560" w:lineRule="exact"/>
        <w:ind w:firstLine="640" w:firstLineChars="200"/>
        <w:outlineLvl w:val="1"/>
        <w:rPr>
          <w:rFonts w:hint="eastAsia" w:ascii="楷体_GB2312" w:hAnsi="楷体_GB2312" w:eastAsia="楷体_GB2312" w:cs="楷体_GB2312"/>
          <w:sz w:val="32"/>
          <w:szCs w:val="32"/>
        </w:rPr>
      </w:pPr>
      <w:bookmarkStart w:id="179" w:name="_Toc7996"/>
      <w:bookmarkStart w:id="180" w:name="_Toc16722"/>
      <w:bookmarkStart w:id="181" w:name="_Toc223938012"/>
      <w:r>
        <w:rPr>
          <w:rFonts w:hint="eastAsia" w:ascii="楷体_GB2312" w:hAnsi="楷体_GB2312" w:eastAsia="楷体_GB2312" w:cs="楷体_GB2312"/>
          <w:sz w:val="32"/>
          <w:szCs w:val="32"/>
          <w:lang w:bidi="ar"/>
        </w:rPr>
        <w:t>二、提升专业化服务</w:t>
      </w:r>
      <w:bookmarkEnd w:id="179"/>
      <w:bookmarkEnd w:id="180"/>
      <w:bookmarkEnd w:id="181"/>
      <w:r>
        <w:rPr>
          <w:rFonts w:hint="eastAsia" w:ascii="楷体_GB2312" w:hAnsi="楷体_GB2312" w:eastAsia="楷体_GB2312" w:cs="楷体_GB2312"/>
          <w:sz w:val="32"/>
          <w:szCs w:val="32"/>
          <w:lang w:bidi="ar"/>
        </w:rPr>
        <w:t>水平</w:t>
      </w:r>
    </w:p>
    <w:p w14:paraId="5EE49E8E">
      <w:pPr>
        <w:widowControl/>
        <w:tabs>
          <w:tab w:val="left" w:pos="1440"/>
        </w:tabs>
        <w:overflowPunct w:val="0"/>
        <w:adjustRightInd w:val="0"/>
        <w:snapToGrid w:val="0"/>
        <w:spacing w:line="560" w:lineRule="exact"/>
        <w:ind w:firstLine="640" w:firstLineChars="200"/>
        <w:rPr>
          <w:rFonts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健全园区企业服务体系，加强与市场化专业服务机构合作，支持引进、培育一批专业化运营服务机构，集聚一批市场化、专业化运营服务团队。探索组建法律服务团、人力资源服务团、工商财税服务团、辅导申报服务团等专业服务队伍，提升园区专业服务能力，满足企业在发展过程中的多元需求。</w:t>
      </w:r>
      <w:r>
        <w:rPr>
          <w:rFonts w:hint="eastAsia" w:ascii="Times New Roman" w:hAnsi="Times New Roman" w:eastAsia="仿宋_GB2312" w:cs="仿宋_GB2312"/>
          <w:bCs/>
          <w:color w:val="000000"/>
          <w:sz w:val="32"/>
          <w:szCs w:val="32"/>
        </w:rPr>
        <w:t>支持特色产业园区</w:t>
      </w:r>
      <w:r>
        <w:rPr>
          <w:rFonts w:hint="eastAsia" w:ascii="Times New Roman" w:hAnsi="Times New Roman" w:eastAsia="仿宋_GB2312" w:cs="仿宋_GB2312"/>
          <w:sz w:val="32"/>
          <w:szCs w:val="32"/>
        </w:rPr>
        <w:t>围绕细分产业企业创新共性需求，布局建设</w:t>
      </w:r>
      <w:r>
        <w:rPr>
          <w:rFonts w:hint="eastAsia" w:ascii="Times New Roman" w:hAnsi="Times New Roman" w:eastAsia="仿宋_GB2312" w:cs="仿宋_GB2312"/>
          <w:bCs/>
          <w:color w:val="000000"/>
          <w:sz w:val="32"/>
          <w:szCs w:val="32"/>
        </w:rPr>
        <w:t>“中关村生态服务港”，集成政务服务、知识产权、投融资等</w:t>
      </w:r>
      <w:r>
        <w:rPr>
          <w:rFonts w:hint="eastAsia" w:ascii="仿宋_GB2312" w:hAnsi="仿宋_GB2312" w:eastAsia="仿宋_GB2312" w:cs="仿宋_GB2312"/>
          <w:bCs/>
          <w:color w:val="000000"/>
          <w:sz w:val="32"/>
          <w:szCs w:val="32"/>
        </w:rPr>
        <w:t>专业服务资源能力</w:t>
      </w:r>
      <w:r>
        <w:rPr>
          <w:rFonts w:hint="eastAsia" w:ascii="Times New Roman" w:hAnsi="Times New Roman" w:eastAsia="仿宋_GB2312" w:cs="仿宋_GB2312"/>
          <w:bCs/>
          <w:color w:val="000000"/>
          <w:sz w:val="32"/>
          <w:szCs w:val="32"/>
        </w:rPr>
        <w:t>。围绕</w:t>
      </w:r>
      <w:r>
        <w:rPr>
          <w:rFonts w:hint="eastAsia" w:ascii="Times New Roman" w:hAnsi="Times New Roman" w:eastAsia="仿宋_GB2312" w:cs="仿宋_GB2312"/>
          <w:sz w:val="32"/>
          <w:szCs w:val="32"/>
        </w:rPr>
        <w:t>概念验证、小试中试等关键环节，强化数据、模型、算力、智能体等基础技术服务保障，布局建设功能材料中试平台、高端仪器仪表实验室等中试研发和测试验证平台</w:t>
      </w:r>
      <w:r>
        <w:rPr>
          <w:rFonts w:hint="eastAsia" w:ascii="Times New Roman" w:hAnsi="Times New Roman" w:eastAsia="仿宋_GB2312" w:cs="仿宋_GB2312"/>
          <w:bCs/>
          <w:color w:val="000000"/>
          <w:sz w:val="32"/>
          <w:szCs w:val="32"/>
        </w:rPr>
        <w:t>。</w:t>
      </w:r>
      <w:r>
        <w:rPr>
          <w:rFonts w:hint="eastAsia" w:ascii="仿宋_GB2312" w:hAnsi="仿宋_GB2312" w:eastAsia="仿宋_GB2312" w:cs="仿宋_GB2312"/>
          <w:sz w:val="32"/>
          <w:szCs w:val="32"/>
          <w:lang w:bidi="ar"/>
        </w:rPr>
        <w:t>鼓励各类产业园区转型升级，加强特色产业园形象打造和标识建设，提升特色产业园的品牌影响力</w:t>
      </w:r>
      <w:r>
        <w:rPr>
          <w:rFonts w:hint="eastAsia" w:ascii="Times New Roman" w:hAnsi="Times New Roman" w:eastAsia="仿宋_GB2312" w:cs="仿宋_GB2312"/>
          <w:bCs/>
          <w:color w:val="000000"/>
          <w:sz w:val="32"/>
          <w:szCs w:val="32"/>
          <w:lang w:bidi="ar"/>
        </w:rPr>
        <w:t>。</w:t>
      </w:r>
    </w:p>
    <w:p w14:paraId="03A3A8FF">
      <w:pPr>
        <w:widowControl/>
        <w:tabs>
          <w:tab w:val="left" w:pos="1440"/>
        </w:tabs>
        <w:overflowPunct w:val="0"/>
        <w:adjustRightInd w:val="0"/>
        <w:snapToGrid w:val="0"/>
        <w:spacing w:line="560" w:lineRule="exact"/>
        <w:ind w:firstLine="640" w:firstLineChars="200"/>
        <w:outlineLvl w:val="1"/>
        <w:rPr>
          <w:rFonts w:hint="eastAsia" w:ascii="楷体_GB2312" w:hAnsi="楷体_GB2312" w:eastAsia="楷体_GB2312" w:cs="楷体_GB2312"/>
          <w:sz w:val="32"/>
          <w:szCs w:val="32"/>
        </w:rPr>
      </w:pPr>
      <w:bookmarkStart w:id="182" w:name="_Toc29503"/>
      <w:bookmarkStart w:id="183" w:name="_Toc223938014"/>
      <w:bookmarkStart w:id="184" w:name="_Toc23176"/>
      <w:r>
        <w:rPr>
          <w:rFonts w:hint="eastAsia" w:ascii="楷体_GB2312" w:hAnsi="楷体_GB2312" w:eastAsia="楷体_GB2312" w:cs="楷体_GB2312"/>
          <w:sz w:val="32"/>
          <w:szCs w:val="32"/>
          <w:lang w:bidi="ar"/>
        </w:rPr>
        <w:t>三、完善创业孵化生态</w:t>
      </w:r>
      <w:bookmarkEnd w:id="182"/>
      <w:bookmarkEnd w:id="183"/>
      <w:bookmarkEnd w:id="184"/>
    </w:p>
    <w:p w14:paraId="3896F855">
      <w:pPr>
        <w:widowControl/>
        <w:tabs>
          <w:tab w:val="left" w:pos="1440"/>
        </w:tabs>
        <w:overflowPunct w:val="0"/>
        <w:adjustRightInd w:val="0"/>
        <w:snapToGrid w:val="0"/>
        <w:spacing w:line="560" w:lineRule="exact"/>
        <w:ind w:firstLine="640" w:firstLineChars="200"/>
        <w:rPr>
          <w:rFonts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研究升级孵化器支持政策，引进优质运营机构加速培育特色产业创新创业载体。组建孵化器联盟，强化孵化器与加速器、大学</w:t>
      </w:r>
      <w:r>
        <w:rPr>
          <w:rFonts w:hint="eastAsia" w:ascii="仿宋_GB2312" w:hAnsi="仿宋_GB2312" w:eastAsia="仿宋_GB2312" w:cs="仿宋_GB2312"/>
          <w:color w:val="000000"/>
          <w:sz w:val="32"/>
          <w:szCs w:val="32"/>
        </w:rPr>
        <w:t>科技园、特色</w:t>
      </w:r>
      <w:r>
        <w:rPr>
          <w:rFonts w:hint="eastAsia" w:ascii="仿宋_GB2312" w:hAnsi="仿宋_GB2312" w:eastAsia="仿宋_GB2312" w:cs="仿宋_GB2312"/>
          <w:sz w:val="32"/>
          <w:szCs w:val="32"/>
          <w:lang w:bidi="ar"/>
        </w:rPr>
        <w:t>产业园区联动，承载创新创业项目成长壮大，形成“孵化－加速－产业化”的</w:t>
      </w:r>
      <w:r>
        <w:rPr>
          <w:rFonts w:hint="eastAsia" w:ascii="仿宋_GB2312" w:hAnsi="仿宋_GB2312" w:eastAsia="仿宋_GB2312" w:cs="仿宋_GB2312"/>
          <w:color w:val="000000"/>
          <w:sz w:val="32"/>
          <w:szCs w:val="32"/>
        </w:rPr>
        <w:t>接力培育</w:t>
      </w:r>
      <w:r>
        <w:rPr>
          <w:rFonts w:hint="eastAsia" w:ascii="仿宋_GB2312" w:hAnsi="仿宋_GB2312" w:eastAsia="仿宋_GB2312" w:cs="仿宋_GB2312"/>
          <w:sz w:val="32"/>
          <w:szCs w:val="32"/>
          <w:lang w:bidi="ar"/>
        </w:rPr>
        <w:t>格局。围绕“</w:t>
      </w:r>
      <w:r>
        <w:rPr>
          <w:rFonts w:hint="eastAsia" w:ascii="Times New Roman" w:hAnsi="Times New Roman" w:eastAsia="仿宋_GB2312" w:cs="Times New Roman"/>
          <w:color w:val="000000"/>
          <w:sz w:val="32"/>
          <w:szCs w:val="24"/>
          <w:lang w:bidi="ar"/>
        </w:rPr>
        <w:t>3+X+N</w:t>
      </w:r>
      <w:r>
        <w:rPr>
          <w:rFonts w:hint="eastAsia" w:ascii="仿宋_GB2312" w:hAnsi="仿宋_GB2312" w:eastAsia="仿宋_GB2312" w:cs="仿宋_GB2312"/>
          <w:sz w:val="32"/>
          <w:szCs w:val="32"/>
          <w:lang w:bidi="ar"/>
        </w:rPr>
        <w:t>”产业，支持重点街乡联合龙头企业、高校院所、投资基金等各类主体建设一批特色产业孵化器，做强做优</w:t>
      </w:r>
      <w:r>
        <w:rPr>
          <w:rFonts w:hint="eastAsia" w:ascii="Times New Roman" w:hAnsi="Times New Roman" w:eastAsia="仿宋_GB2312" w:cs="Times New Roman"/>
          <w:color w:val="000000"/>
          <w:sz w:val="32"/>
          <w:szCs w:val="24"/>
          <w:lang w:bidi="ar"/>
        </w:rPr>
        <w:t>AIGC加</w:t>
      </w:r>
      <w:r>
        <w:rPr>
          <w:rFonts w:hint="eastAsia" w:ascii="仿宋_GB2312" w:hAnsi="仿宋_GB2312" w:eastAsia="仿宋_GB2312" w:cs="仿宋_GB2312"/>
          <w:sz w:val="32"/>
          <w:szCs w:val="32"/>
        </w:rPr>
        <w:t>速器、</w:t>
      </w:r>
      <w:r>
        <w:rPr>
          <w:rFonts w:hint="eastAsia" w:ascii="Times New Roman" w:hAnsi="Times New Roman" w:eastAsia="仿宋_GB2312" w:cs="Times New Roman"/>
          <w:color w:val="000000"/>
          <w:sz w:val="32"/>
          <w:szCs w:val="24"/>
          <w:lang w:bidi="ar"/>
        </w:rPr>
        <w:t>工业AI智能体、OPC社区等</w:t>
      </w:r>
      <w:r>
        <w:rPr>
          <w:rFonts w:hint="eastAsia" w:ascii="仿宋_GB2312" w:hAnsi="仿宋_GB2312" w:eastAsia="仿宋_GB2312" w:cs="仿宋_GB2312"/>
          <w:color w:val="000000"/>
          <w:sz w:val="32"/>
          <w:szCs w:val="24"/>
          <w:lang w:bidi="ar"/>
        </w:rPr>
        <w:t>一批产业承载空间</w:t>
      </w:r>
      <w:r>
        <w:rPr>
          <w:rFonts w:hint="eastAsia" w:ascii="Times New Roman" w:hAnsi="Times New Roman" w:eastAsia="仿宋_GB2312" w:cs="Times New Roman"/>
          <w:color w:val="000000"/>
          <w:sz w:val="32"/>
          <w:szCs w:val="24"/>
          <w:lang w:bidi="ar"/>
        </w:rPr>
        <w:t>，推动望京新质生产力</w:t>
      </w:r>
      <w:r>
        <w:rPr>
          <w:rFonts w:hint="eastAsia" w:ascii="仿宋_GB2312" w:hAnsi="仿宋_GB2312" w:eastAsia="仿宋_GB2312" w:cs="仿宋_GB2312"/>
          <w:sz w:val="32"/>
          <w:szCs w:val="32"/>
          <w:lang w:bidi="ar"/>
        </w:rPr>
        <w:t>加速器等新增孵化机构建设。加大政策支持，整合孵化服务资源，</w:t>
      </w:r>
      <w:r>
        <w:rPr>
          <w:rFonts w:hint="eastAsia" w:ascii="仿宋_GB2312" w:hAnsi="仿宋_GB2312" w:eastAsia="仿宋_GB2312" w:cs="仿宋_GB2312"/>
          <w:sz w:val="32"/>
          <w:szCs w:val="32"/>
        </w:rPr>
        <w:t>提升政策指导、技术验证、场景对接、金融服务等全链条服务能力，吸引品牌赛事优质项目与潜力团队入驻，加快创新成果转化</w:t>
      </w:r>
      <w:r>
        <w:rPr>
          <w:rFonts w:hint="eastAsia" w:ascii="仿宋_GB2312" w:hAnsi="仿宋_GB2312" w:eastAsia="仿宋_GB2312" w:cs="仿宋_GB2312"/>
          <w:sz w:val="32"/>
          <w:szCs w:val="32"/>
          <w:lang w:bidi="ar"/>
        </w:rPr>
        <w:t>。</w:t>
      </w:r>
    </w:p>
    <w:p w14:paraId="12C1A97A">
      <w:pPr>
        <w:widowControl/>
        <w:tabs>
          <w:tab w:val="left" w:pos="1440"/>
        </w:tabs>
        <w:overflowPunct w:val="0"/>
        <w:adjustRightInd w:val="0"/>
        <w:snapToGrid w:val="0"/>
        <w:spacing w:line="560" w:lineRule="exact"/>
        <w:ind w:firstLine="640" w:firstLineChars="200"/>
        <w:outlineLvl w:val="1"/>
        <w:rPr>
          <w:rFonts w:hint="eastAsia" w:ascii="楷体_GB2312" w:hAnsi="楷体_GB2312" w:eastAsia="楷体_GB2312" w:cs="楷体_GB2312"/>
          <w:sz w:val="32"/>
          <w:szCs w:val="32"/>
        </w:rPr>
      </w:pPr>
      <w:bookmarkStart w:id="185" w:name="_Toc20210"/>
      <w:bookmarkStart w:id="186" w:name="_Toc223938015"/>
      <w:bookmarkStart w:id="187" w:name="_Toc32329"/>
      <w:r>
        <w:rPr>
          <w:rFonts w:hint="eastAsia" w:ascii="楷体_GB2312" w:hAnsi="楷体_GB2312" w:eastAsia="楷体_GB2312" w:cs="楷体_GB2312"/>
          <w:sz w:val="32"/>
          <w:szCs w:val="32"/>
          <w:lang w:bidi="ar"/>
        </w:rPr>
        <w:t>四、</w:t>
      </w:r>
      <w:bookmarkEnd w:id="185"/>
      <w:bookmarkEnd w:id="186"/>
      <w:bookmarkEnd w:id="187"/>
      <w:r>
        <w:rPr>
          <w:rFonts w:hint="eastAsia" w:ascii="楷体_GB2312" w:hAnsi="楷体_GB2312" w:eastAsia="楷体_GB2312" w:cs="楷体_GB2312"/>
          <w:sz w:val="32"/>
          <w:szCs w:val="32"/>
        </w:rPr>
        <w:t>增强园区发展活力</w:t>
      </w:r>
    </w:p>
    <w:p w14:paraId="2A8F6392">
      <w:pPr>
        <w:widowControl/>
        <w:overflowPunct w:val="0"/>
        <w:adjustRightInd w:val="0"/>
        <w:snapToGrid w:val="0"/>
        <w:spacing w:line="560" w:lineRule="exact"/>
        <w:ind w:firstLine="640" w:firstLineChars="200"/>
        <w:rPr>
          <w:rFonts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加快园区场景培育建设与开放应用力度，鼓励园区运营主体积极开放应用场景，支持专业服务机构搭建场景资源供需对接平台，推动应用场景开放、新技术首发首用与产业集聚的高效协同。支持园区企业与高校院所共建博士后工作站，集聚全球顶尖人才和青年科技人才在园区集聚发展。推动产业园区加强多元消费场景供给，拓展文化时尚、健康体育、休闲娱乐等服务功能。依托重点企业“服务包”机制，精准配置“服务管家”团队，坚持需求导向为重点企业提供专业化精准对接服务。鼓励国内外优质商品和服务品牌在朝阳园开设高能级首店、概念店，举办首发首秀首展，打造首发经济集聚区、新消费品牌孵化基地。</w:t>
      </w:r>
      <w:bookmarkEnd w:id="172"/>
    </w:p>
    <w:p w14:paraId="59EB9EFF">
      <w:pPr>
        <w:widowControl/>
        <w:tabs>
          <w:tab w:val="left" w:pos="1440"/>
        </w:tabs>
        <w:overflowPunct w:val="0"/>
        <w:adjustRightInd w:val="0"/>
        <w:snapToGrid w:val="0"/>
        <w:spacing w:line="560" w:lineRule="exact"/>
        <w:ind w:firstLine="640" w:firstLineChars="200"/>
        <w:outlineLvl w:val="1"/>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五、擦亮开放合作品牌</w:t>
      </w:r>
    </w:p>
    <w:p w14:paraId="3F3F7700">
      <w:pPr>
        <w:widowControl/>
        <w:overflowPunct w:val="0"/>
        <w:adjustRightInd w:val="0"/>
        <w:snapToGrid w:val="0"/>
        <w:spacing w:line="560" w:lineRule="exact"/>
        <w:ind w:firstLine="640" w:firstLineChars="200"/>
        <w:rPr>
          <w:rFonts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推进国际科技组织总部集聚区提质升级，优化面向国际科技组织的发起设立、</w:t>
      </w:r>
      <w:r>
        <w:rPr>
          <w:rFonts w:hint="eastAsia" w:ascii="仿宋_GB2312" w:hAnsi="仿宋_GB2312" w:eastAsia="仿宋_GB2312" w:cs="仿宋_GB2312"/>
          <w:kern w:val="0"/>
          <w:sz w:val="32"/>
          <w:szCs w:val="32"/>
        </w:rPr>
        <w:t>日常运营、业务拓展、</w:t>
      </w:r>
      <w:r>
        <w:rPr>
          <w:rFonts w:hint="eastAsia" w:ascii="仿宋_GB2312" w:hAnsi="仿宋_GB2312" w:eastAsia="仿宋_GB2312" w:cs="仿宋_GB2312"/>
          <w:sz w:val="32"/>
          <w:szCs w:val="32"/>
        </w:rPr>
        <w:t>人才引育、创新生态等全方位多维度服务。完善国际科技组织发展配套机制，实行“政务管家+运营管家”双管家精准对接服务。加强总部集聚区空间建设，根据国际科技组织分级分类标准完善空间匹配机制，动态优化空间规划供给。</w:t>
      </w:r>
      <w:r>
        <w:rPr>
          <w:rFonts w:hint="eastAsia" w:ascii="仿宋_GB2312" w:hAnsi="仿宋_GB2312" w:eastAsia="仿宋_GB2312" w:cs="仿宋_GB2312"/>
          <w:sz w:val="32"/>
          <w:szCs w:val="32"/>
          <w:lang w:bidi="ar"/>
        </w:rPr>
        <w:t>鼓励国际科技组织与区域科技资源深度链接，融入区域科技创新体系。推进国际科技合作基地建设，积极参与中关村论坛等活动，加强与境外科技园区、高等院校等国际交流与产业合作。持续实施“雨燕行动”，聚焦重点国别以及科技、文化等重点领域打造企业出海服务体系，鼓励跨国企业、专业机构搭建海外资源对接平台，建设“朝阳区企业‘走出去’线上综合服务平台”和企业“走出去”线下一站式服务窗口，优化朝阳区涉外公共法律服务站等功能，为园区企业出海提供专利布局、法律咨询、场景对接、海外落地、政策适配等专业指导服务，加速创新要素跨国双向流动。</w:t>
      </w:r>
    </w:p>
    <w:p w14:paraId="00C51717">
      <w:pPr>
        <w:widowControl/>
        <w:tabs>
          <w:tab w:val="left" w:pos="1440"/>
        </w:tabs>
        <w:overflowPunct w:val="0"/>
        <w:adjustRightInd w:val="0"/>
        <w:snapToGrid w:val="0"/>
        <w:spacing w:line="560" w:lineRule="exact"/>
        <w:ind w:firstLine="640" w:firstLineChars="200"/>
        <w:rPr>
          <w:rFonts w:ascii="仿宋_GB2312" w:hAnsi="仿宋_GB2312" w:eastAsia="仿宋_GB2312" w:cs="仿宋_GB2312"/>
          <w:sz w:val="32"/>
          <w:szCs w:val="32"/>
          <w:lang w:bidi="ar"/>
        </w:rPr>
      </w:pPr>
    </w:p>
    <w:p w14:paraId="241389E6">
      <w:pPr>
        <w:jc w:val="center"/>
        <w:rPr>
          <w:rFonts w:eastAsia="黑体" w:cs="黑体"/>
          <w:color w:val="000000"/>
          <w:kern w:val="0"/>
          <w:sz w:val="32"/>
          <w:szCs w:val="32"/>
        </w:rPr>
        <w:sectPr>
          <w:pgSz w:w="11906" w:h="16838"/>
          <w:pgMar w:top="2098" w:right="1474" w:bottom="1984" w:left="1587" w:header="851" w:footer="992" w:gutter="0"/>
          <w:pgNumType w:fmt="numberInDash"/>
          <w:cols w:space="0" w:num="1"/>
          <w:docGrid w:type="lines" w:linePitch="312" w:charSpace="0"/>
        </w:sectPr>
      </w:pPr>
      <w:bookmarkStart w:id="188" w:name="_Toc5882"/>
      <w:bookmarkStart w:id="189" w:name="_Toc26629"/>
      <w:bookmarkStart w:id="190" w:name="_Toc223938016"/>
    </w:p>
    <w:p w14:paraId="1C9E0D68">
      <w:pPr>
        <w:keepNext/>
        <w:keepLines/>
        <w:widowControl/>
        <w:adjustRightInd w:val="0"/>
        <w:snapToGrid w:val="0"/>
        <w:spacing w:before="156" w:beforeLines="50" w:after="156" w:afterLines="50" w:line="560" w:lineRule="exact"/>
        <w:jc w:val="center"/>
        <w:outlineLvl w:val="0"/>
        <w:rPr>
          <w:rFonts w:eastAsia="黑体" w:cs="黑体"/>
          <w:color w:val="000000"/>
          <w:kern w:val="0"/>
          <w:sz w:val="32"/>
          <w:szCs w:val="32"/>
        </w:rPr>
      </w:pPr>
      <w:bookmarkStart w:id="191" w:name="_Toc17287"/>
      <w:bookmarkStart w:id="192" w:name="_Toc13847"/>
      <w:r>
        <w:rPr>
          <w:rFonts w:hint="eastAsia" w:eastAsia="黑体" w:cs="黑体"/>
          <w:color w:val="000000"/>
          <w:kern w:val="0"/>
          <w:sz w:val="32"/>
          <w:szCs w:val="32"/>
        </w:rPr>
        <w:t>第九章 深化园区管理体制机制改革</w:t>
      </w:r>
      <w:bookmarkEnd w:id="173"/>
      <w:bookmarkEnd w:id="174"/>
      <w:bookmarkEnd w:id="175"/>
      <w:bookmarkEnd w:id="188"/>
      <w:bookmarkEnd w:id="189"/>
      <w:bookmarkEnd w:id="190"/>
      <w:bookmarkEnd w:id="191"/>
      <w:bookmarkEnd w:id="192"/>
    </w:p>
    <w:p w14:paraId="76750D61">
      <w:pPr>
        <w:widowControl/>
        <w:tabs>
          <w:tab w:val="left" w:pos="1440"/>
        </w:tabs>
        <w:overflowPunct w:val="0"/>
        <w:adjustRightInd w:val="0"/>
        <w:snapToGrid w:val="0"/>
        <w:spacing w:line="560" w:lineRule="exact"/>
        <w:ind w:firstLine="640" w:firstLineChars="200"/>
        <w:rPr>
          <w:rFonts w:ascii="Times New Roman" w:hAnsi="Times New Roman" w:eastAsia="仿宋_GB2312" w:cs="Times New Roman"/>
          <w:sz w:val="32"/>
          <w:szCs w:val="32"/>
          <w:lang w:bidi="ar"/>
        </w:rPr>
      </w:pPr>
      <w:r>
        <w:rPr>
          <w:rFonts w:hint="eastAsia" w:ascii="Times New Roman" w:hAnsi="Times New Roman" w:eastAsia="仿宋_GB2312" w:cs="Times New Roman"/>
          <w:color w:val="000000"/>
          <w:sz w:val="32"/>
          <w:szCs w:val="32"/>
          <w:lang w:bidi="ar"/>
        </w:rPr>
        <w:t>推进中关村新一轮先行先试改革措施落地，完善园区空间开发建设模式，</w:t>
      </w:r>
      <w:r>
        <w:rPr>
          <w:rFonts w:hint="eastAsia" w:ascii="Times New Roman" w:hAnsi="Times New Roman" w:eastAsia="仿宋_GB2312" w:cs="Times New Roman"/>
          <w:sz w:val="32"/>
          <w:szCs w:val="32"/>
          <w:lang w:bidi="ar"/>
        </w:rPr>
        <w:t>建立覆盖创新成果转化、孵化到产业化全过程的组织服务支撑体系，</w:t>
      </w:r>
      <w:r>
        <w:rPr>
          <w:rFonts w:hint="eastAsia" w:ascii="Times New Roman" w:hAnsi="Times New Roman" w:eastAsia="仿宋_GB2312" w:cs="Times New Roman"/>
          <w:color w:val="000000"/>
          <w:sz w:val="32"/>
          <w:szCs w:val="32"/>
          <w:lang w:bidi="ar"/>
        </w:rPr>
        <w:t>率先构建适应新质生产力发展的产业创新制度环境</w:t>
      </w:r>
      <w:bookmarkStart w:id="193" w:name="_Toc216460249"/>
      <w:bookmarkStart w:id="194" w:name="_Toc206358679"/>
      <w:bookmarkStart w:id="195" w:name="_Toc204021834"/>
      <w:bookmarkStart w:id="196" w:name="_Toc206180000"/>
      <w:r>
        <w:rPr>
          <w:rFonts w:hint="eastAsia" w:ascii="Times New Roman" w:hAnsi="Times New Roman" w:eastAsia="仿宋_GB2312" w:cs="Times New Roman"/>
          <w:sz w:val="32"/>
          <w:szCs w:val="32"/>
          <w:lang w:bidi="ar"/>
        </w:rPr>
        <w:t>。</w:t>
      </w:r>
    </w:p>
    <w:p w14:paraId="038F4C73">
      <w:pPr>
        <w:widowControl/>
        <w:tabs>
          <w:tab w:val="left" w:pos="1440"/>
        </w:tabs>
        <w:overflowPunct w:val="0"/>
        <w:adjustRightInd w:val="0"/>
        <w:snapToGrid w:val="0"/>
        <w:spacing w:line="560" w:lineRule="exact"/>
        <w:ind w:firstLine="640" w:firstLineChars="200"/>
        <w:outlineLvl w:val="1"/>
        <w:rPr>
          <w:rFonts w:hint="eastAsia" w:ascii="楷体_GB2312" w:hAnsi="楷体_GB2312" w:eastAsia="楷体_GB2312" w:cs="楷体_GB2312"/>
          <w:bCs/>
          <w:color w:val="000000"/>
          <w:sz w:val="32"/>
          <w:szCs w:val="32"/>
        </w:rPr>
      </w:pPr>
      <w:bookmarkStart w:id="197" w:name="_Toc223938017"/>
      <w:bookmarkStart w:id="198" w:name="_Toc7721"/>
      <w:bookmarkStart w:id="199" w:name="_Toc24060"/>
      <w:r>
        <w:rPr>
          <w:rFonts w:hint="eastAsia" w:ascii="楷体_GB2312" w:hAnsi="楷体_GB2312" w:eastAsia="楷体_GB2312" w:cs="楷体_GB2312"/>
          <w:bCs/>
          <w:color w:val="000000"/>
          <w:sz w:val="32"/>
          <w:szCs w:val="32"/>
          <w:lang w:bidi="ar"/>
        </w:rPr>
        <w:t>一、承接中关村新一轮先行先试等改革措施落地</w:t>
      </w:r>
      <w:bookmarkEnd w:id="193"/>
      <w:bookmarkEnd w:id="194"/>
      <w:bookmarkEnd w:id="195"/>
      <w:bookmarkEnd w:id="196"/>
      <w:bookmarkEnd w:id="197"/>
      <w:bookmarkEnd w:id="198"/>
      <w:bookmarkEnd w:id="199"/>
    </w:p>
    <w:p w14:paraId="2B747992">
      <w:pPr>
        <w:widowControl/>
        <w:tabs>
          <w:tab w:val="left" w:pos="1440"/>
        </w:tabs>
        <w:overflowPunct w:val="0"/>
        <w:adjustRightInd w:val="0"/>
        <w:snapToGrid w:val="0"/>
        <w:spacing w:line="560" w:lineRule="exact"/>
        <w:ind w:firstLine="640" w:firstLineChars="200"/>
        <w:rPr>
          <w:rFonts w:hint="eastAsia" w:ascii="仿宋" w:hAnsi="仿宋" w:eastAsia="仿宋" w:cs="Times New Roman"/>
          <w:b/>
          <w:color w:val="000000"/>
          <w:sz w:val="32"/>
          <w:szCs w:val="32"/>
        </w:rPr>
      </w:pPr>
      <w:r>
        <w:rPr>
          <w:rFonts w:hint="eastAsia" w:ascii="Times New Roman" w:hAnsi="Times New Roman" w:eastAsia="仿宋_GB2312" w:cs="Times New Roman"/>
          <w:bCs/>
          <w:color w:val="000000"/>
          <w:sz w:val="32"/>
          <w:szCs w:val="32"/>
        </w:rPr>
        <w:t>更好发挥改革“试验田”作用，充分利用中关村新一轮先行先试、自贸</w:t>
      </w:r>
      <w:r>
        <w:rPr>
          <w:rFonts w:hint="eastAsia" w:ascii="仿宋_GB2312" w:hAnsi="仿宋_GB2312" w:eastAsia="仿宋_GB2312" w:cs="仿宋_GB2312"/>
          <w:bCs/>
          <w:color w:val="000000"/>
          <w:sz w:val="32"/>
          <w:szCs w:val="32"/>
        </w:rPr>
        <w:t>区联动发展区、</w:t>
      </w:r>
      <w:r>
        <w:rPr>
          <w:rFonts w:hint="eastAsia" w:ascii="Times New Roman" w:hAnsi="Times New Roman" w:eastAsia="仿宋_GB2312" w:cs="Times New Roman"/>
          <w:bCs/>
          <w:color w:val="000000"/>
          <w:sz w:val="32"/>
          <w:szCs w:val="32"/>
        </w:rPr>
        <w:t>服务业扩大开放等政策叠加优势，加快科技成果转化、科技金融、数据跨境、外籍人才便利化等创新改革措施在朝阳园落地。落实关于改革完善中央财政科研经费管理的政策措施，支持高等学校和科研机构开展职务科技成果管理试点</w:t>
      </w:r>
      <w:r>
        <w:rPr>
          <w:rFonts w:hint="eastAsia" w:ascii="仿宋_GB2312" w:hAnsi="仿宋_GB2312" w:eastAsia="仿宋_GB2312" w:cs="仿宋_GB2312"/>
          <w:bCs/>
          <w:color w:val="000000"/>
          <w:sz w:val="32"/>
          <w:szCs w:val="32"/>
        </w:rPr>
        <w:t>，推动科技成果先使用后付费等改革举措惠及更多中</w:t>
      </w:r>
      <w:r>
        <w:rPr>
          <w:rFonts w:hint="eastAsia" w:ascii="Times New Roman" w:hAnsi="Times New Roman" w:eastAsia="仿宋_GB2312" w:cs="Times New Roman"/>
          <w:bCs/>
          <w:color w:val="000000"/>
          <w:sz w:val="32"/>
          <w:szCs w:val="32"/>
        </w:rPr>
        <w:t>小微企业。完善企业研发创新全链条金融支持机制，形成种子基金、创业投资、银行信贷、上市融资等多方式全链条支持机制。完善跨层级、跨部门、跨领域协同联动机制，围绕改革方向及创新主体实际需求，大力开展首创性、集成式、“小切口、深层次”改革探索，形成一批可复制可推广的制度成果</w:t>
      </w:r>
      <w:r>
        <w:rPr>
          <w:rFonts w:hint="eastAsia" w:ascii="Times New Roman" w:hAnsi="Times New Roman" w:eastAsia="仿宋_GB2312" w:cs="Times New Roman"/>
          <w:bCs/>
          <w:color w:val="000000"/>
          <w:sz w:val="32"/>
          <w:szCs w:val="32"/>
          <w:lang w:bidi="ar"/>
        </w:rPr>
        <w:t>。</w:t>
      </w:r>
      <w:bookmarkStart w:id="200" w:name="_Toc216460250"/>
      <w:bookmarkStart w:id="201" w:name="_Toc206180001"/>
      <w:bookmarkStart w:id="202" w:name="_Toc206358680"/>
      <w:bookmarkStart w:id="203" w:name="_Toc204021831"/>
    </w:p>
    <w:p w14:paraId="2E68ACCF">
      <w:pPr>
        <w:widowControl/>
        <w:tabs>
          <w:tab w:val="left" w:pos="1440"/>
        </w:tabs>
        <w:overflowPunct w:val="0"/>
        <w:adjustRightInd w:val="0"/>
        <w:snapToGrid w:val="0"/>
        <w:spacing w:line="560" w:lineRule="exact"/>
        <w:ind w:firstLine="640" w:firstLineChars="200"/>
        <w:outlineLvl w:val="1"/>
        <w:rPr>
          <w:rFonts w:hint="eastAsia" w:ascii="楷体_GB2312" w:hAnsi="楷体_GB2312" w:eastAsia="楷体_GB2312" w:cs="楷体_GB2312"/>
          <w:bCs/>
          <w:color w:val="000000"/>
          <w:sz w:val="32"/>
          <w:szCs w:val="32"/>
        </w:rPr>
      </w:pPr>
      <w:bookmarkStart w:id="204" w:name="_Toc2928"/>
      <w:bookmarkStart w:id="205" w:name="_Toc223938018"/>
      <w:bookmarkStart w:id="206" w:name="_Toc22732"/>
      <w:r>
        <w:rPr>
          <w:rFonts w:hint="eastAsia" w:ascii="楷体_GB2312" w:hAnsi="楷体_GB2312" w:eastAsia="楷体_GB2312" w:cs="楷体_GB2312"/>
          <w:bCs/>
          <w:color w:val="000000"/>
          <w:sz w:val="32"/>
          <w:szCs w:val="32"/>
          <w:lang w:bidi="ar"/>
        </w:rPr>
        <w:t>二、创新园区空间开发建设机制</w:t>
      </w:r>
      <w:bookmarkEnd w:id="204"/>
      <w:bookmarkEnd w:id="205"/>
      <w:bookmarkEnd w:id="206"/>
    </w:p>
    <w:p w14:paraId="00BA41B7">
      <w:pPr>
        <w:widowControl/>
        <w:tabs>
          <w:tab w:val="left" w:pos="1440"/>
        </w:tabs>
        <w:overflowPunct w:val="0"/>
        <w:adjustRightInd w:val="0"/>
        <w:snapToGrid w:val="0"/>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sz w:val="32"/>
          <w:szCs w:val="32"/>
        </w:rPr>
        <w:t>加强空间统筹及开发建设，深化街区控规编制与实施，强化空间政策保障，推进城市更新政策激励工具箱等相关政策有效实施。保障产业用地精准供给，完善科技产业用地供给模式，用好土地供应政策，多元方式保障空间需求。开发建设存量产业用地，利用城市更新政策，推动老旧厂房、低效楼宇、传统商业设施等存量空间资源升级改造，推动集体产业用地通过业态置换、功能升级等方式融入科技赛道版图</w:t>
      </w:r>
      <w:r>
        <w:rPr>
          <w:rFonts w:hint="eastAsia" w:ascii="仿宋_GB2312" w:hAnsi="仿宋_GB2312" w:eastAsia="仿宋_GB2312" w:cs="仿宋_GB2312"/>
          <w:sz w:val="32"/>
          <w:szCs w:val="32"/>
          <w:lang w:bidi="ar"/>
        </w:rPr>
        <w:t>。</w:t>
      </w:r>
    </w:p>
    <w:p w14:paraId="0477CC05">
      <w:pPr>
        <w:widowControl/>
        <w:tabs>
          <w:tab w:val="left" w:pos="1440"/>
        </w:tabs>
        <w:overflowPunct w:val="0"/>
        <w:adjustRightInd w:val="0"/>
        <w:snapToGrid w:val="0"/>
        <w:spacing w:line="560" w:lineRule="exact"/>
        <w:ind w:firstLine="640" w:firstLineChars="200"/>
        <w:outlineLvl w:val="1"/>
        <w:rPr>
          <w:rFonts w:hint="eastAsia" w:ascii="楷体_GB2312" w:hAnsi="楷体_GB2312" w:eastAsia="楷体_GB2312" w:cs="楷体_GB2312"/>
          <w:bCs/>
          <w:color w:val="000000"/>
          <w:sz w:val="32"/>
          <w:szCs w:val="32"/>
        </w:rPr>
      </w:pPr>
      <w:bookmarkStart w:id="207" w:name="_Toc11397"/>
      <w:bookmarkStart w:id="208" w:name="_Toc223938019"/>
      <w:bookmarkStart w:id="209" w:name="_Toc7238"/>
      <w:r>
        <w:rPr>
          <w:rFonts w:hint="eastAsia" w:ascii="楷体_GB2312" w:hAnsi="楷体_GB2312" w:eastAsia="楷体_GB2312" w:cs="楷体_GB2312"/>
          <w:bCs/>
          <w:color w:val="000000"/>
          <w:sz w:val="32"/>
          <w:szCs w:val="32"/>
          <w:lang w:bidi="ar"/>
        </w:rPr>
        <w:t>三、完善园区统筹管理体制机制</w:t>
      </w:r>
      <w:bookmarkEnd w:id="200"/>
      <w:bookmarkEnd w:id="201"/>
      <w:bookmarkEnd w:id="202"/>
      <w:bookmarkEnd w:id="203"/>
      <w:bookmarkEnd w:id="207"/>
      <w:bookmarkEnd w:id="208"/>
      <w:bookmarkEnd w:id="209"/>
    </w:p>
    <w:p w14:paraId="02DA9AB0">
      <w:pPr>
        <w:widowControl/>
        <w:overflowPunct w:val="0"/>
        <w:adjustRightInd w:val="0"/>
        <w:snapToGrid w:val="0"/>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sz w:val="32"/>
          <w:szCs w:val="32"/>
        </w:rPr>
        <w:t>增强中关村朝阳园统筹能力，强化产业促进、企业服务、招商引资等核心职能。加强</w:t>
      </w:r>
      <w:r>
        <w:rPr>
          <w:rFonts w:hint="eastAsia" w:ascii="仿宋_GB2312" w:hAnsi="仿宋_GB2312" w:eastAsia="仿宋_GB2312" w:cs="仿宋_GB2312"/>
          <w:bCs/>
          <w:color w:val="000000"/>
          <w:kern w:val="0"/>
          <w:sz w:val="32"/>
          <w:szCs w:val="32"/>
          <w:lang w:bidi="ar"/>
        </w:rPr>
        <w:t>与行业主管部门、重点街乡、平台公司、头部企业</w:t>
      </w:r>
      <w:r>
        <w:rPr>
          <w:rFonts w:hint="eastAsia" w:ascii="仿宋_GB2312" w:hAnsi="仿宋_GB2312" w:eastAsia="仿宋_GB2312" w:cs="仿宋_GB2312"/>
          <w:color w:val="000000"/>
          <w:kern w:val="0"/>
          <w:sz w:val="32"/>
          <w:szCs w:val="32"/>
          <w:lang w:bidi="ar"/>
        </w:rPr>
        <w:t>在场景开放、特色园区、创新平台建设等方面协同合作，构建创新发展合力。</w:t>
      </w:r>
      <w:r>
        <w:rPr>
          <w:rFonts w:hint="eastAsia" w:ascii="仿宋_GB2312" w:hAnsi="仿宋_GB2312" w:eastAsia="仿宋_GB2312" w:cs="仿宋_GB2312"/>
          <w:color w:val="000000"/>
          <w:sz w:val="32"/>
          <w:szCs w:val="32"/>
        </w:rPr>
        <w:t>结合中关村新一轮空间和布局规模调整及市级高新区建设布局，推动集中连片空间纳入市级高新区。完善街乡统筹发展机制，</w:t>
      </w:r>
      <w:r>
        <w:rPr>
          <w:rFonts w:hint="eastAsia" w:ascii="仿宋_GB2312" w:hAnsi="仿宋_GB2312" w:eastAsia="仿宋_GB2312" w:cs="仿宋_GB2312"/>
          <w:sz w:val="32"/>
          <w:szCs w:val="32"/>
        </w:rPr>
        <w:t>统筹加快重点项目谋划和产业引入，</w:t>
      </w:r>
      <w:r>
        <w:rPr>
          <w:rFonts w:hint="eastAsia" w:ascii="仿宋_GB2312" w:hAnsi="仿宋_GB2312" w:eastAsia="仿宋_GB2312" w:cs="仿宋_GB2312"/>
          <w:color w:val="000000"/>
          <w:sz w:val="32"/>
          <w:szCs w:val="32"/>
        </w:rPr>
        <w:t>提升产业集聚能力和人均、地均产出水平。深化朝阳园管委会与重点街乡科技创新协同共建机制，</w:t>
      </w:r>
      <w:r>
        <w:rPr>
          <w:rFonts w:hint="eastAsia" w:ascii="仿宋_GB2312" w:hAnsi="仿宋_GB2312" w:eastAsia="仿宋_GB2312" w:cs="仿宋_GB2312"/>
          <w:color w:val="000000"/>
          <w:sz w:val="32"/>
          <w:szCs w:val="32"/>
          <w:lang w:eastAsia="zh-CN"/>
        </w:rPr>
        <w:t>形成</w:t>
      </w:r>
      <w:r>
        <w:rPr>
          <w:rFonts w:hint="eastAsia" w:ascii="仿宋_GB2312" w:hAnsi="仿宋_GB2312" w:eastAsia="仿宋_GB2312" w:cs="仿宋_GB2312"/>
          <w:sz w:val="32"/>
          <w:szCs w:val="32"/>
        </w:rPr>
        <w:t>“一街乡一品牌”共建成果</w:t>
      </w:r>
      <w:r>
        <w:rPr>
          <w:rFonts w:hint="eastAsia" w:ascii="仿宋_GB2312" w:hAnsi="仿宋_GB2312" w:eastAsia="仿宋_GB2312" w:cs="仿宋_GB2312"/>
          <w:bCs/>
          <w:sz w:val="32"/>
          <w:szCs w:val="32"/>
        </w:rPr>
        <w:t>。</w:t>
      </w:r>
      <w:r>
        <w:rPr>
          <w:rFonts w:hint="eastAsia" w:ascii="仿宋_GB2312" w:hAnsi="仿宋_GB2312" w:eastAsia="仿宋_GB2312" w:cs="仿宋_GB2312"/>
          <w:color w:val="000000"/>
          <w:sz w:val="32"/>
          <w:szCs w:val="32"/>
        </w:rPr>
        <w:t>加强朝阳园管委会对</w:t>
      </w:r>
      <w:r>
        <w:rPr>
          <w:rFonts w:hint="eastAsia" w:ascii="仿宋_GB2312" w:hAnsi="仿宋_GB2312" w:eastAsia="仿宋_GB2312" w:cs="仿宋_GB2312"/>
          <w:bCs/>
          <w:color w:val="000000"/>
          <w:sz w:val="32"/>
          <w:szCs w:val="32"/>
        </w:rPr>
        <w:t>平台公司的业务指导，提升平台公司招商引资、投融资等</w:t>
      </w:r>
      <w:r>
        <w:rPr>
          <w:rFonts w:hint="eastAsia" w:ascii="仿宋_GB2312" w:hAnsi="仿宋_GB2312" w:eastAsia="仿宋_GB2312" w:cs="仿宋_GB2312"/>
          <w:color w:val="000000"/>
          <w:sz w:val="32"/>
          <w:szCs w:val="32"/>
        </w:rPr>
        <w:t>市场化专业化运营能力</w:t>
      </w:r>
      <w:r>
        <w:rPr>
          <w:rFonts w:hint="eastAsia" w:ascii="仿宋_GB2312" w:hAnsi="仿宋_GB2312" w:eastAsia="仿宋_GB2312" w:cs="仿宋_GB2312"/>
          <w:bCs/>
          <w:color w:val="000000"/>
          <w:sz w:val="32"/>
          <w:szCs w:val="32"/>
        </w:rPr>
        <w:t>。完善多元协同治理机制，鼓励高校、科研院所、社会组织、企业、科技服务机构等共同参与园区治理。</w:t>
      </w:r>
      <w:bookmarkStart w:id="210" w:name="_Toc206358681"/>
      <w:bookmarkStart w:id="211" w:name="_Toc206180002"/>
      <w:bookmarkStart w:id="212" w:name="_Toc216460251"/>
    </w:p>
    <w:p w14:paraId="176CF9C3">
      <w:pPr>
        <w:widowControl/>
        <w:tabs>
          <w:tab w:val="left" w:pos="1440"/>
        </w:tabs>
        <w:overflowPunct w:val="0"/>
        <w:adjustRightInd w:val="0"/>
        <w:snapToGrid w:val="0"/>
        <w:spacing w:line="560" w:lineRule="exact"/>
        <w:ind w:firstLine="640" w:firstLineChars="200"/>
        <w:rPr>
          <w:rFonts w:ascii="仿宋_GB2312" w:hAnsi="仿宋_GB2312" w:eastAsia="仿宋_GB2312" w:cs="仿宋_GB2312"/>
          <w:bCs/>
          <w:color w:val="000000"/>
          <w:sz w:val="32"/>
          <w:szCs w:val="32"/>
        </w:rPr>
      </w:pPr>
    </w:p>
    <w:bookmarkEnd w:id="53"/>
    <w:bookmarkEnd w:id="210"/>
    <w:bookmarkEnd w:id="211"/>
    <w:bookmarkEnd w:id="212"/>
    <w:p w14:paraId="4AB65B4D">
      <w:pPr>
        <w:jc w:val="center"/>
        <w:rPr>
          <w:rFonts w:eastAsia="黑体" w:cs="黑体"/>
          <w:color w:val="000000"/>
          <w:kern w:val="0"/>
          <w:sz w:val="32"/>
          <w:szCs w:val="32"/>
        </w:rPr>
        <w:sectPr>
          <w:pgSz w:w="11906" w:h="16838"/>
          <w:pgMar w:top="2098" w:right="1474" w:bottom="1984" w:left="1587" w:header="851" w:footer="992" w:gutter="0"/>
          <w:pgNumType w:fmt="numberInDash"/>
          <w:cols w:space="0" w:num="1"/>
          <w:docGrid w:type="lines" w:linePitch="312" w:charSpace="0"/>
        </w:sectPr>
      </w:pPr>
      <w:bookmarkStart w:id="213" w:name="_Toc216460252"/>
      <w:bookmarkStart w:id="214" w:name="_Toc31614"/>
      <w:bookmarkStart w:id="215" w:name="_Toc204021835"/>
      <w:bookmarkStart w:id="216" w:name="_Toc223938021"/>
      <w:bookmarkStart w:id="217" w:name="_Toc206358685"/>
      <w:bookmarkStart w:id="218" w:name="_Toc32221"/>
      <w:bookmarkStart w:id="219" w:name="_Toc206180006"/>
    </w:p>
    <w:p w14:paraId="50D96D79">
      <w:pPr>
        <w:keepNext/>
        <w:keepLines/>
        <w:widowControl/>
        <w:adjustRightInd w:val="0"/>
        <w:snapToGrid w:val="0"/>
        <w:spacing w:before="156" w:beforeLines="50" w:after="156" w:afterLines="50" w:line="560" w:lineRule="exact"/>
        <w:jc w:val="center"/>
        <w:outlineLvl w:val="0"/>
        <w:rPr>
          <w:rFonts w:eastAsia="黑体" w:cs="黑体"/>
          <w:color w:val="000000"/>
          <w:kern w:val="0"/>
          <w:sz w:val="32"/>
          <w:szCs w:val="32"/>
        </w:rPr>
      </w:pPr>
      <w:bookmarkStart w:id="220" w:name="_Toc6401"/>
      <w:bookmarkStart w:id="221" w:name="_Toc23732"/>
      <w:bookmarkStart w:id="261" w:name="_GoBack"/>
      <w:bookmarkEnd w:id="261"/>
      <w:r>
        <w:rPr>
          <w:rFonts w:hint="eastAsia" w:eastAsia="黑体" w:cs="黑体"/>
          <w:color w:val="000000"/>
          <w:kern w:val="0"/>
          <w:sz w:val="32"/>
          <w:szCs w:val="32"/>
        </w:rPr>
        <w:t>第十章 保障措施</w:t>
      </w:r>
      <w:bookmarkEnd w:id="213"/>
      <w:bookmarkEnd w:id="214"/>
      <w:bookmarkEnd w:id="215"/>
      <w:bookmarkEnd w:id="216"/>
      <w:bookmarkEnd w:id="217"/>
      <w:bookmarkEnd w:id="218"/>
      <w:bookmarkEnd w:id="219"/>
      <w:bookmarkEnd w:id="220"/>
      <w:bookmarkEnd w:id="221"/>
      <w:bookmarkStart w:id="222" w:name="_Toc216460253"/>
      <w:bookmarkStart w:id="223" w:name="_Toc198464671"/>
      <w:bookmarkStart w:id="224" w:name="_Toc710"/>
      <w:bookmarkStart w:id="225" w:name="_Toc206358686"/>
      <w:bookmarkStart w:id="226" w:name="_Toc206180007"/>
      <w:bookmarkStart w:id="227" w:name="_Toc188470764"/>
      <w:bookmarkStart w:id="228" w:name="_Toc10956"/>
      <w:bookmarkStart w:id="229" w:name="_Toc203655505"/>
      <w:bookmarkStart w:id="230" w:name="_Toc204021836"/>
      <w:bookmarkStart w:id="231" w:name="_Toc201931744"/>
    </w:p>
    <w:bookmarkEnd w:id="222"/>
    <w:bookmarkEnd w:id="223"/>
    <w:bookmarkEnd w:id="224"/>
    <w:bookmarkEnd w:id="225"/>
    <w:bookmarkEnd w:id="226"/>
    <w:bookmarkEnd w:id="227"/>
    <w:bookmarkEnd w:id="228"/>
    <w:bookmarkEnd w:id="229"/>
    <w:bookmarkEnd w:id="230"/>
    <w:bookmarkEnd w:id="231"/>
    <w:p w14:paraId="40499878">
      <w:pPr>
        <w:widowControl/>
        <w:tabs>
          <w:tab w:val="left" w:pos="1440"/>
        </w:tabs>
        <w:overflowPunct w:val="0"/>
        <w:adjustRightInd w:val="0"/>
        <w:snapToGrid w:val="0"/>
        <w:spacing w:line="600" w:lineRule="exact"/>
        <w:ind w:firstLine="640" w:firstLineChars="200"/>
        <w:outlineLvl w:val="1"/>
        <w:rPr>
          <w:rFonts w:hint="eastAsia" w:ascii="楷体_GB2312" w:hAnsi="楷体_GB2312" w:eastAsia="楷体_GB2312" w:cs="楷体_GB2312"/>
          <w:bCs/>
          <w:color w:val="000000"/>
          <w:sz w:val="32"/>
          <w:szCs w:val="32"/>
        </w:rPr>
      </w:pPr>
      <w:bookmarkStart w:id="232" w:name="_Toc223938022"/>
      <w:bookmarkStart w:id="233" w:name="_Toc16048"/>
      <w:bookmarkStart w:id="234" w:name="_Toc31909"/>
      <w:r>
        <w:rPr>
          <w:rFonts w:hint="eastAsia" w:ascii="楷体_GB2312" w:hAnsi="楷体_GB2312" w:eastAsia="楷体_GB2312" w:cs="楷体_GB2312"/>
          <w:bCs/>
          <w:color w:val="000000"/>
          <w:sz w:val="32"/>
          <w:szCs w:val="32"/>
          <w:lang w:bidi="ar"/>
        </w:rPr>
        <w:t>一、加强组织领导</w:t>
      </w:r>
      <w:bookmarkEnd w:id="232"/>
      <w:bookmarkEnd w:id="233"/>
      <w:bookmarkEnd w:id="234"/>
    </w:p>
    <w:p w14:paraId="626B0171">
      <w:pPr>
        <w:widowControl/>
        <w:tabs>
          <w:tab w:val="left" w:pos="1440"/>
        </w:tabs>
        <w:overflowPunct w:val="0"/>
        <w:adjustRightInd w:val="0"/>
        <w:snapToGrid w:val="0"/>
        <w:spacing w:line="600" w:lineRule="exact"/>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sz w:val="32"/>
          <w:szCs w:val="32"/>
          <w:lang w:bidi="ar"/>
        </w:rPr>
        <w:t>强化区委、区政府对园区发展建设的组织领导，发挥朝阳区教育科技人才工作领导小组作用</w:t>
      </w:r>
      <w:r>
        <w:rPr>
          <w:rFonts w:hint="eastAsia" w:ascii="Times New Roman" w:hAnsi="Times New Roman" w:eastAsia="仿宋_GB2312" w:cs="仿宋_GB2312"/>
          <w:color w:val="000000"/>
          <w:kern w:val="0"/>
          <w:sz w:val="32"/>
          <w:szCs w:val="32"/>
          <w:lang w:bidi="ar"/>
        </w:rPr>
        <w:t>，加强对中关村朝阳园发展建设重点工作的统筹调度。对标中关村世界领先科技园区建设和中关村朝阳园高质量发展目标，深化部门街乡横向协作与市区纵向联动，</w:t>
      </w:r>
      <w:r>
        <w:rPr>
          <w:rFonts w:hint="eastAsia" w:ascii="Times New Roman" w:hAnsi="Times New Roman" w:eastAsia="仿宋_GB2312" w:cs="仿宋"/>
          <w:bCs/>
          <w:color w:val="000000"/>
          <w:sz w:val="32"/>
          <w:szCs w:val="32"/>
          <w:lang w:bidi="ar"/>
        </w:rPr>
        <w:t>构建高校院所、科研机构、企业等多方资源广泛参与的决策咨询机制</w:t>
      </w:r>
      <w:r>
        <w:rPr>
          <w:rFonts w:hint="eastAsia" w:ascii="Times New Roman" w:hAnsi="Times New Roman" w:eastAsia="仿宋_GB2312" w:cs="仿宋_GB2312"/>
          <w:color w:val="000000"/>
          <w:kern w:val="0"/>
          <w:sz w:val="32"/>
          <w:szCs w:val="32"/>
          <w:lang w:bidi="ar"/>
        </w:rPr>
        <w:t>，系统推进园区产业发展、开发建设、重点项目落地等各项任务落实落地。</w:t>
      </w:r>
      <w:bookmarkStart w:id="235" w:name="_Toc203655508"/>
      <w:bookmarkStart w:id="236" w:name="_Toc188470765"/>
      <w:bookmarkStart w:id="237" w:name="_Toc198464672"/>
      <w:bookmarkStart w:id="238" w:name="_Toc201931747"/>
      <w:bookmarkStart w:id="239" w:name="_Toc216460254"/>
      <w:bookmarkStart w:id="240" w:name="_Toc206180008"/>
      <w:bookmarkStart w:id="241" w:name="_Toc23305"/>
      <w:bookmarkStart w:id="242" w:name="_Toc204021837"/>
      <w:bookmarkStart w:id="243" w:name="_Toc206358687"/>
      <w:bookmarkStart w:id="244" w:name="_Toc3136"/>
    </w:p>
    <w:p w14:paraId="3E2341B0">
      <w:pPr>
        <w:widowControl/>
        <w:tabs>
          <w:tab w:val="left" w:pos="1440"/>
        </w:tabs>
        <w:overflowPunct w:val="0"/>
        <w:adjustRightInd w:val="0"/>
        <w:snapToGrid w:val="0"/>
        <w:spacing w:line="600" w:lineRule="exact"/>
        <w:ind w:firstLine="640" w:firstLineChars="200"/>
        <w:outlineLvl w:val="1"/>
        <w:rPr>
          <w:rFonts w:hint="eastAsia" w:ascii="楷体_GB2312" w:hAnsi="楷体_GB2312" w:eastAsia="楷体_GB2312" w:cs="楷体_GB2312"/>
          <w:bCs/>
          <w:color w:val="000000"/>
          <w:sz w:val="32"/>
          <w:szCs w:val="32"/>
        </w:rPr>
      </w:pPr>
      <w:bookmarkStart w:id="245" w:name="_Toc26598"/>
      <w:bookmarkStart w:id="246" w:name="_Toc13143"/>
      <w:bookmarkStart w:id="247" w:name="_Toc223938023"/>
      <w:r>
        <w:rPr>
          <w:rFonts w:hint="eastAsia" w:ascii="楷体_GB2312" w:hAnsi="楷体_GB2312" w:eastAsia="楷体_GB2312" w:cs="楷体_GB2312"/>
          <w:bCs/>
          <w:color w:val="000000"/>
          <w:sz w:val="32"/>
          <w:szCs w:val="32"/>
          <w:lang w:bidi="ar"/>
        </w:rPr>
        <w:t>二、完善政策支持</w:t>
      </w:r>
      <w:bookmarkEnd w:id="235"/>
      <w:bookmarkEnd w:id="236"/>
      <w:bookmarkEnd w:id="237"/>
      <w:bookmarkEnd w:id="238"/>
      <w:bookmarkEnd w:id="239"/>
      <w:bookmarkEnd w:id="240"/>
      <w:bookmarkEnd w:id="241"/>
      <w:bookmarkEnd w:id="242"/>
      <w:bookmarkEnd w:id="243"/>
      <w:bookmarkEnd w:id="244"/>
      <w:bookmarkEnd w:id="245"/>
      <w:bookmarkEnd w:id="246"/>
      <w:bookmarkEnd w:id="247"/>
    </w:p>
    <w:p w14:paraId="699BDD85">
      <w:pPr>
        <w:widowControl/>
        <w:tabs>
          <w:tab w:val="left" w:pos="1440"/>
        </w:tabs>
        <w:overflowPunct w:val="0"/>
        <w:adjustRightInd w:val="0"/>
        <w:snapToGrid w:val="0"/>
        <w:spacing w:line="600" w:lineRule="exact"/>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仿宋_GB2312"/>
          <w:color w:val="000000"/>
          <w:kern w:val="0"/>
          <w:sz w:val="32"/>
          <w:szCs w:val="32"/>
          <w:lang w:bidi="ar"/>
        </w:rPr>
        <w:t>积极完善机制、创新政策，加大支撑园区发展的资源投入力度。争取国家“两重”“两新”、市级重大项目、专项资金、发展基金、专项债券支持，支撑园区重点产业发展和重大项目布局。</w:t>
      </w:r>
      <w:r>
        <w:rPr>
          <w:rFonts w:hint="eastAsia" w:ascii="Times New Roman" w:hAnsi="Times New Roman" w:eastAsia="仿宋_GB2312" w:cs="仿宋_GB2312"/>
          <w:color w:val="000000"/>
          <w:sz w:val="32"/>
          <w:szCs w:val="40"/>
          <w:lang w:bidi="ar"/>
        </w:rPr>
        <w:t>多途径加大市、区科技创新、产业发展政策宣传与落实力度，提升园区创新资源吸引力。</w:t>
      </w:r>
      <w:r>
        <w:rPr>
          <w:rFonts w:hint="eastAsia" w:ascii="Times New Roman" w:hAnsi="Times New Roman" w:eastAsia="仿宋_GB2312" w:cs="仿宋_GB2312"/>
          <w:color w:val="000000"/>
          <w:kern w:val="0"/>
          <w:sz w:val="32"/>
          <w:szCs w:val="32"/>
          <w:lang w:bidi="ar"/>
        </w:rPr>
        <w:t>完善场景应</w:t>
      </w:r>
      <w:r>
        <w:rPr>
          <w:rFonts w:hint="eastAsia" w:ascii="仿宋_GB2312" w:hAnsi="仿宋_GB2312" w:eastAsia="仿宋_GB2312" w:cs="仿宋_GB2312"/>
          <w:color w:val="000000"/>
          <w:kern w:val="0"/>
          <w:sz w:val="32"/>
          <w:szCs w:val="32"/>
          <w:lang w:bidi="ar"/>
        </w:rPr>
        <w:t>用开放培育</w:t>
      </w:r>
      <w:r>
        <w:rPr>
          <w:rFonts w:hint="eastAsia" w:ascii="Times New Roman" w:hAnsi="Times New Roman" w:eastAsia="仿宋_GB2312" w:cs="仿宋_GB2312"/>
          <w:color w:val="000000"/>
          <w:kern w:val="0"/>
          <w:sz w:val="32"/>
          <w:szCs w:val="32"/>
          <w:lang w:bidi="ar"/>
        </w:rPr>
        <w:t>组织体系，支持园区企业新技术、新产品、新服务首试首用首展与迭代优化，构建适配创新的制度环境。</w:t>
      </w:r>
      <w:bookmarkStart w:id="248" w:name="_Toc206358688"/>
      <w:bookmarkStart w:id="249" w:name="_Toc203655512"/>
      <w:bookmarkStart w:id="250" w:name="_Toc8408"/>
      <w:bookmarkStart w:id="251" w:name="_Toc206180009"/>
      <w:bookmarkStart w:id="252" w:name="_Toc201931751"/>
      <w:bookmarkStart w:id="253" w:name="_Toc216460255"/>
      <w:bookmarkStart w:id="254" w:name="_Toc22380"/>
      <w:bookmarkStart w:id="255" w:name="_Toc204021838"/>
      <w:bookmarkStart w:id="256" w:name="_Toc198464673"/>
      <w:bookmarkStart w:id="257" w:name="_Toc188470766"/>
    </w:p>
    <w:p w14:paraId="1B8E1654">
      <w:pPr>
        <w:widowControl/>
        <w:tabs>
          <w:tab w:val="left" w:pos="1440"/>
        </w:tabs>
        <w:overflowPunct w:val="0"/>
        <w:adjustRightInd w:val="0"/>
        <w:snapToGrid w:val="0"/>
        <w:spacing w:line="600" w:lineRule="exact"/>
        <w:ind w:firstLine="640" w:firstLineChars="200"/>
        <w:outlineLvl w:val="1"/>
        <w:rPr>
          <w:rFonts w:hint="eastAsia" w:ascii="楷体_GB2312" w:hAnsi="楷体_GB2312" w:eastAsia="楷体_GB2312" w:cs="楷体_GB2312"/>
          <w:bCs/>
          <w:color w:val="000000"/>
          <w:sz w:val="32"/>
          <w:szCs w:val="32"/>
        </w:rPr>
      </w:pPr>
      <w:bookmarkStart w:id="258" w:name="_Toc21925"/>
      <w:bookmarkStart w:id="259" w:name="_Toc27792"/>
      <w:bookmarkStart w:id="260" w:name="_Toc223938024"/>
      <w:r>
        <w:rPr>
          <w:rFonts w:hint="eastAsia" w:ascii="楷体_GB2312" w:hAnsi="楷体_GB2312" w:eastAsia="楷体_GB2312" w:cs="楷体_GB2312"/>
          <w:bCs/>
          <w:color w:val="000000"/>
          <w:sz w:val="32"/>
          <w:szCs w:val="32"/>
          <w:lang w:bidi="ar"/>
        </w:rPr>
        <w:t>三、强化监测评估</w:t>
      </w:r>
      <w:bookmarkEnd w:id="248"/>
      <w:bookmarkEnd w:id="249"/>
      <w:bookmarkEnd w:id="250"/>
      <w:bookmarkEnd w:id="251"/>
      <w:bookmarkEnd w:id="252"/>
      <w:bookmarkEnd w:id="253"/>
      <w:bookmarkEnd w:id="254"/>
      <w:bookmarkEnd w:id="255"/>
      <w:bookmarkEnd w:id="256"/>
      <w:bookmarkEnd w:id="257"/>
      <w:bookmarkEnd w:id="258"/>
      <w:bookmarkEnd w:id="259"/>
      <w:bookmarkEnd w:id="260"/>
    </w:p>
    <w:p w14:paraId="34FB5448">
      <w:pPr>
        <w:overflowPunct w:val="0"/>
        <w:adjustRightInd w:val="0"/>
        <w:snapToGrid w:val="0"/>
        <w:spacing w:line="60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color w:val="000000"/>
          <w:sz w:val="32"/>
          <w:szCs w:val="32"/>
          <w:lang w:bidi="ar"/>
        </w:rPr>
        <w:t>明确</w:t>
      </w:r>
      <w:r>
        <w:rPr>
          <w:rFonts w:hint="eastAsia" w:ascii="Times New Roman" w:hAnsi="Times New Roman" w:eastAsia="仿宋_GB2312" w:cs="Times New Roman"/>
          <w:color w:val="000000"/>
          <w:sz w:val="32"/>
          <w:szCs w:val="32"/>
          <w:lang w:eastAsia="zh-CN" w:bidi="ar"/>
        </w:rPr>
        <w:t>规划</w:t>
      </w:r>
      <w:r>
        <w:rPr>
          <w:rFonts w:hint="eastAsia" w:ascii="Times New Roman" w:hAnsi="Times New Roman" w:eastAsia="仿宋_GB2312" w:cs="Times New Roman"/>
          <w:color w:val="000000"/>
          <w:sz w:val="32"/>
          <w:szCs w:val="32"/>
          <w:lang w:bidi="ar"/>
        </w:rPr>
        <w:t>目标和</w:t>
      </w:r>
      <w:r>
        <w:rPr>
          <w:rFonts w:hint="eastAsia" w:ascii="Times New Roman" w:hAnsi="Times New Roman" w:eastAsia="仿宋_GB2312" w:cs="Times New Roman"/>
          <w:color w:val="000000"/>
          <w:sz w:val="32"/>
          <w:szCs w:val="32"/>
          <w:lang w:eastAsia="zh-CN" w:bidi="ar"/>
        </w:rPr>
        <w:t>各方</w:t>
      </w:r>
      <w:r>
        <w:rPr>
          <w:rFonts w:hint="eastAsia" w:ascii="Times New Roman" w:hAnsi="Times New Roman" w:eastAsia="仿宋_GB2312" w:cs="Times New Roman"/>
          <w:color w:val="000000"/>
          <w:sz w:val="32"/>
          <w:szCs w:val="32"/>
          <w:lang w:bidi="ar"/>
        </w:rPr>
        <w:t>责任</w:t>
      </w:r>
      <w:r>
        <w:rPr>
          <w:rFonts w:hint="eastAsia" w:eastAsia="仿宋_GB2312" w:cs="Times New Roman"/>
          <w:color w:val="000000"/>
          <w:sz w:val="32"/>
          <w:szCs w:val="32"/>
          <w:lang w:bidi="ar"/>
        </w:rPr>
        <w:t>，</w:t>
      </w:r>
      <w:r>
        <w:rPr>
          <w:rFonts w:hint="eastAsia" w:ascii="Times New Roman" w:hAnsi="Times New Roman" w:eastAsia="仿宋_GB2312" w:cs="Times New Roman"/>
          <w:color w:val="000000"/>
          <w:sz w:val="32"/>
          <w:szCs w:val="32"/>
          <w:lang w:bidi="ar"/>
        </w:rPr>
        <w:t>清单台账式推进各项任务落实</w:t>
      </w:r>
      <w:r>
        <w:rPr>
          <w:rFonts w:hint="eastAsia" w:ascii="Times New Roman" w:hAnsi="Times New Roman" w:eastAsia="仿宋_GB2312" w:cs="Times New Roman"/>
          <w:color w:val="000000"/>
          <w:sz w:val="32"/>
          <w:szCs w:val="32"/>
          <w:lang w:val="zh-CN" w:bidi="ar"/>
        </w:rPr>
        <w:t>。</w:t>
      </w:r>
      <w:r>
        <w:rPr>
          <w:rFonts w:hint="eastAsia" w:ascii="Times New Roman" w:hAnsi="Times New Roman" w:eastAsia="仿宋_GB2312" w:cs="Times New Roman"/>
          <w:color w:val="000000"/>
          <w:sz w:val="32"/>
          <w:szCs w:val="32"/>
          <w:lang w:bidi="ar"/>
        </w:rPr>
        <w:t>强化规划实施监测评估，加强园区发展数据的统计分析和监测预警，</w:t>
      </w:r>
      <w:r>
        <w:rPr>
          <w:rFonts w:hint="eastAsia" w:ascii="Times New Roman" w:hAnsi="Times New Roman" w:eastAsia="仿宋_GB2312" w:cs="Times New Roman"/>
          <w:color w:val="000000"/>
          <w:sz w:val="32"/>
          <w:szCs w:val="32"/>
          <w:lang w:val="zh-CN" w:bidi="ar"/>
        </w:rPr>
        <w:t>结合重大形势变化</w:t>
      </w:r>
      <w:r>
        <w:rPr>
          <w:rFonts w:hint="eastAsia" w:ascii="Times New Roman" w:hAnsi="Times New Roman" w:eastAsia="仿宋_GB2312" w:cs="Times New Roman"/>
          <w:color w:val="000000"/>
          <w:sz w:val="32"/>
          <w:szCs w:val="32"/>
          <w:lang w:bidi="ar"/>
        </w:rPr>
        <w:t>和评估结果</w:t>
      </w:r>
      <w:r>
        <w:rPr>
          <w:rFonts w:hint="eastAsia" w:ascii="Times New Roman" w:hAnsi="Times New Roman" w:eastAsia="仿宋_GB2312" w:cs="Times New Roman"/>
          <w:color w:val="000000"/>
          <w:sz w:val="32"/>
          <w:szCs w:val="32"/>
          <w:lang w:val="zh-CN" w:bidi="ar"/>
        </w:rPr>
        <w:t>，</w:t>
      </w:r>
      <w:r>
        <w:rPr>
          <w:rFonts w:hint="eastAsia" w:ascii="Times New Roman" w:hAnsi="Times New Roman" w:eastAsia="仿宋_GB2312" w:cs="Times New Roman"/>
          <w:color w:val="000000"/>
          <w:sz w:val="32"/>
          <w:szCs w:val="32"/>
          <w:lang w:bidi="ar"/>
        </w:rPr>
        <w:t>对</w:t>
      </w:r>
      <w:r>
        <w:rPr>
          <w:rFonts w:hint="eastAsia" w:ascii="Times New Roman" w:hAnsi="Times New Roman" w:eastAsia="仿宋_GB2312" w:cs="Times New Roman"/>
          <w:color w:val="000000"/>
          <w:sz w:val="32"/>
          <w:szCs w:val="32"/>
          <w:lang w:eastAsia="zh-CN" w:bidi="ar"/>
        </w:rPr>
        <w:t>滞后</w:t>
      </w:r>
      <w:r>
        <w:rPr>
          <w:rFonts w:hint="eastAsia" w:ascii="Times New Roman" w:hAnsi="Times New Roman" w:eastAsia="仿宋_GB2312" w:cs="Times New Roman"/>
          <w:color w:val="000000"/>
          <w:sz w:val="32"/>
          <w:szCs w:val="32"/>
          <w:lang w:bidi="ar"/>
        </w:rPr>
        <w:t>目标任务</w:t>
      </w:r>
      <w:r>
        <w:rPr>
          <w:rFonts w:hint="eastAsia" w:ascii="Times New Roman" w:hAnsi="Times New Roman" w:eastAsia="仿宋_GB2312" w:cs="Times New Roman"/>
          <w:color w:val="000000"/>
          <w:sz w:val="32"/>
          <w:szCs w:val="32"/>
          <w:lang w:eastAsia="zh-CN" w:bidi="ar"/>
        </w:rPr>
        <w:t>开展研判、</w:t>
      </w:r>
      <w:r>
        <w:rPr>
          <w:rFonts w:hint="eastAsia" w:ascii="Times New Roman" w:hAnsi="Times New Roman" w:eastAsia="仿宋_GB2312" w:cs="Times New Roman"/>
          <w:color w:val="000000"/>
          <w:sz w:val="32"/>
          <w:szCs w:val="32"/>
          <w:lang w:bidi="ar"/>
        </w:rPr>
        <w:t>及时</w:t>
      </w:r>
      <w:r>
        <w:rPr>
          <w:rFonts w:hint="eastAsia" w:ascii="Times New Roman" w:hAnsi="Times New Roman" w:eastAsia="仿宋_GB2312" w:cs="Times New Roman"/>
          <w:color w:val="000000"/>
          <w:sz w:val="32"/>
          <w:szCs w:val="32"/>
          <w:lang w:val="zh-CN" w:bidi="ar"/>
        </w:rPr>
        <w:t>调整，确保</w:t>
      </w:r>
      <w:r>
        <w:rPr>
          <w:rFonts w:hint="eastAsia" w:ascii="Times New Roman" w:hAnsi="Times New Roman" w:eastAsia="仿宋_GB2312" w:cs="仿宋_GB2312"/>
          <w:color w:val="000000"/>
          <w:sz w:val="32"/>
          <w:szCs w:val="32"/>
          <w:lang w:bidi="ar"/>
        </w:rPr>
        <w:t>各项举措落地实效</w:t>
      </w:r>
      <w:r>
        <w:rPr>
          <w:rFonts w:hint="eastAsia" w:ascii="Times New Roman" w:hAnsi="Times New Roman" w:eastAsia="仿宋_GB2312" w:cs="Times New Roman"/>
          <w:kern w:val="0"/>
          <w:sz w:val="32"/>
          <w:szCs w:val="32"/>
        </w:rPr>
        <w:t>。</w:t>
      </w:r>
    </w:p>
    <w:sectPr>
      <w:headerReference r:id="rId7" w:type="default"/>
      <w:footerReference r:id="rId8"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roman"/>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Helvetica Neue">
    <w:altName w:val="Times New Roman"/>
    <w:panose1 w:val="00000000000000000000"/>
    <w:charset w:val="00"/>
    <w:family w:val="auto"/>
    <w:pitch w:val="default"/>
    <w:sig w:usb0="00000000" w:usb1="00000000" w:usb2="00000010" w:usb3="00000000" w:csb0="00000000"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EBA6F5">
    <w:pPr>
      <w:pStyle w:val="10"/>
      <w:jc w:val="center"/>
    </w:pPr>
  </w:p>
  <w:p w14:paraId="1A70F9D2">
    <w:pPr>
      <w:pStyle w:val="1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8C4F9">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411E5">
    <w:pPr>
      <w:pStyle w:val="1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3F23B9">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D3F23B9">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3D04C">
    <w:pPr>
      <w:pStyle w:val="1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F38C72">
                          <w:pPr>
                            <w:pStyle w:val="10"/>
                          </w:pPr>
                          <w:r>
                            <w:fldChar w:fldCharType="begin"/>
                          </w:r>
                          <w:r>
                            <w:instrText xml:space="preserve"> PAGE  \* MERGEFORMAT </w:instrText>
                          </w:r>
                          <w:r>
                            <w:fldChar w:fldCharType="separate"/>
                          </w:r>
                          <w:r>
                            <w:t>- 4 -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4DF38C72">
                    <w:pPr>
                      <w:pStyle w:val="10"/>
                    </w:pPr>
                    <w:r>
                      <w:fldChar w:fldCharType="begin"/>
                    </w:r>
                    <w:r>
                      <w:instrText xml:space="preserve"> PAGE  \* MERGEFORMAT </w:instrText>
                    </w:r>
                    <w:r>
                      <w:fldChar w:fldCharType="separate"/>
                    </w:r>
                    <w:r>
                      <w:t>- 4 -</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F58CC">
    <w:pPr>
      <w:pStyle w:val="10"/>
      <w:tabs>
        <w:tab w:val="clear" w:pos="4153"/>
      </w:tabs>
      <w:jc w:val="right"/>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BFFA5E">
                          <w:pPr>
                            <w:pStyle w:val="10"/>
                          </w:pPr>
                          <w:r>
                            <w:fldChar w:fldCharType="begin"/>
                          </w:r>
                          <w:r>
                            <w:instrText xml:space="preserve"> PAGE  \* MERGEFORMAT </w:instrText>
                          </w:r>
                          <w:r>
                            <w:fldChar w:fldCharType="separate"/>
                          </w:r>
                          <w:r>
                            <w:t>- 42 -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5EBFFA5E">
                    <w:pPr>
                      <w:pStyle w:val="10"/>
                    </w:pPr>
                    <w:r>
                      <w:fldChar w:fldCharType="begin"/>
                    </w:r>
                    <w:r>
                      <w:instrText xml:space="preserve"> PAGE  \* MERGEFORMAT </w:instrText>
                    </w:r>
                    <w:r>
                      <w:fldChar w:fldCharType="separate"/>
                    </w:r>
                    <w:r>
                      <w:t>- 42 -</w:t>
                    </w:r>
                    <w:r>
                      <w:fldChar w:fldCharType="end"/>
                    </w:r>
                  </w:p>
                </w:txbxContent>
              </v:textbox>
            </v:shape>
          </w:pict>
        </mc:Fallback>
      </mc:AlternateContent>
    </w:r>
  </w:p>
  <w:p w14:paraId="603E8BE2">
    <w:pPr>
      <w:pStyle w:val="10"/>
      <w:tabs>
        <w:tab w:val="clear" w:pos="4153"/>
      </w:tabs>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22F5F">
    <w:pPr>
      <w:pStyle w:val="11"/>
      <w:pBdr>
        <w:bottom w:val="none" w:color="auto" w:sz="0" w:space="1"/>
      </w:pBdr>
      <w:tabs>
        <w:tab w:val="left" w:pos="744"/>
        <w:tab w:val="clear" w:pos="4153"/>
      </w:tabs>
    </w:pPr>
    <w:r>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chineseCountingThousand"/>
      <w:pStyle w:val="2"/>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1DB"/>
    <w:rsid w:val="00033B5C"/>
    <w:rsid w:val="000A002F"/>
    <w:rsid w:val="002241C7"/>
    <w:rsid w:val="002A27EB"/>
    <w:rsid w:val="003C7C94"/>
    <w:rsid w:val="003F71DB"/>
    <w:rsid w:val="00542B39"/>
    <w:rsid w:val="0085509C"/>
    <w:rsid w:val="0093229B"/>
    <w:rsid w:val="00AA526C"/>
    <w:rsid w:val="00FC02BF"/>
    <w:rsid w:val="012C7268"/>
    <w:rsid w:val="020D16B3"/>
    <w:rsid w:val="0261662C"/>
    <w:rsid w:val="02A3150C"/>
    <w:rsid w:val="03B55C27"/>
    <w:rsid w:val="04402271"/>
    <w:rsid w:val="048C5D2D"/>
    <w:rsid w:val="04A02FA2"/>
    <w:rsid w:val="04C95B8C"/>
    <w:rsid w:val="060E3BF7"/>
    <w:rsid w:val="061011EF"/>
    <w:rsid w:val="061027DF"/>
    <w:rsid w:val="065B769C"/>
    <w:rsid w:val="06941C32"/>
    <w:rsid w:val="06980118"/>
    <w:rsid w:val="072639A0"/>
    <w:rsid w:val="07A97324"/>
    <w:rsid w:val="081802F9"/>
    <w:rsid w:val="08B208E2"/>
    <w:rsid w:val="08BA0844"/>
    <w:rsid w:val="097909DF"/>
    <w:rsid w:val="09BA23BB"/>
    <w:rsid w:val="09DB2911"/>
    <w:rsid w:val="0A653485"/>
    <w:rsid w:val="0A782A44"/>
    <w:rsid w:val="0ADB4C24"/>
    <w:rsid w:val="0B61144B"/>
    <w:rsid w:val="0B73680E"/>
    <w:rsid w:val="0BB42E58"/>
    <w:rsid w:val="0C090336"/>
    <w:rsid w:val="0C193AD3"/>
    <w:rsid w:val="0D6D1240"/>
    <w:rsid w:val="0D86333C"/>
    <w:rsid w:val="0EA07C89"/>
    <w:rsid w:val="0F713C0B"/>
    <w:rsid w:val="10137320"/>
    <w:rsid w:val="10E03CF5"/>
    <w:rsid w:val="10F945FA"/>
    <w:rsid w:val="113347F3"/>
    <w:rsid w:val="11C75347"/>
    <w:rsid w:val="11E73590"/>
    <w:rsid w:val="133D279D"/>
    <w:rsid w:val="137B4074"/>
    <w:rsid w:val="13A22600"/>
    <w:rsid w:val="13BA44C6"/>
    <w:rsid w:val="13E14926"/>
    <w:rsid w:val="14721591"/>
    <w:rsid w:val="148B3EC5"/>
    <w:rsid w:val="15353C26"/>
    <w:rsid w:val="15826F6B"/>
    <w:rsid w:val="1649373B"/>
    <w:rsid w:val="16A22FDC"/>
    <w:rsid w:val="16CE195E"/>
    <w:rsid w:val="16D922DD"/>
    <w:rsid w:val="16E519A2"/>
    <w:rsid w:val="16F605BA"/>
    <w:rsid w:val="17A0154D"/>
    <w:rsid w:val="17AC1CA0"/>
    <w:rsid w:val="17F20A36"/>
    <w:rsid w:val="186901AC"/>
    <w:rsid w:val="18753BB8"/>
    <w:rsid w:val="18A3792F"/>
    <w:rsid w:val="18E90EEB"/>
    <w:rsid w:val="19516422"/>
    <w:rsid w:val="19625331"/>
    <w:rsid w:val="199F7183"/>
    <w:rsid w:val="19E022F4"/>
    <w:rsid w:val="1B077D1A"/>
    <w:rsid w:val="1BF34341"/>
    <w:rsid w:val="1C365FDC"/>
    <w:rsid w:val="1C9B4878"/>
    <w:rsid w:val="1CDA72AF"/>
    <w:rsid w:val="1DED7A91"/>
    <w:rsid w:val="1E5471D3"/>
    <w:rsid w:val="1E5D3CF4"/>
    <w:rsid w:val="1E671115"/>
    <w:rsid w:val="1EEC1D77"/>
    <w:rsid w:val="1F572E39"/>
    <w:rsid w:val="1FAA3C51"/>
    <w:rsid w:val="1FAE143F"/>
    <w:rsid w:val="20134773"/>
    <w:rsid w:val="20C01157"/>
    <w:rsid w:val="211F734A"/>
    <w:rsid w:val="21462CF9"/>
    <w:rsid w:val="22AD188F"/>
    <w:rsid w:val="245711E5"/>
    <w:rsid w:val="248E7ED1"/>
    <w:rsid w:val="25652A69"/>
    <w:rsid w:val="258B75EB"/>
    <w:rsid w:val="258D4952"/>
    <w:rsid w:val="25981A87"/>
    <w:rsid w:val="25AC595B"/>
    <w:rsid w:val="25E33337"/>
    <w:rsid w:val="25E3661B"/>
    <w:rsid w:val="260458EE"/>
    <w:rsid w:val="261159A8"/>
    <w:rsid w:val="263E58A9"/>
    <w:rsid w:val="264A0D4C"/>
    <w:rsid w:val="27353652"/>
    <w:rsid w:val="27A6670B"/>
    <w:rsid w:val="27F70287"/>
    <w:rsid w:val="283E4B96"/>
    <w:rsid w:val="2843526B"/>
    <w:rsid w:val="28A91FB9"/>
    <w:rsid w:val="28CD0E97"/>
    <w:rsid w:val="29204391"/>
    <w:rsid w:val="29697F21"/>
    <w:rsid w:val="29703378"/>
    <w:rsid w:val="29746AFE"/>
    <w:rsid w:val="29F2313B"/>
    <w:rsid w:val="2B5F2A5F"/>
    <w:rsid w:val="2C67494C"/>
    <w:rsid w:val="2C803B90"/>
    <w:rsid w:val="2C9A29DC"/>
    <w:rsid w:val="2CEE03D8"/>
    <w:rsid w:val="2D3416EF"/>
    <w:rsid w:val="2D89797C"/>
    <w:rsid w:val="2DE6044E"/>
    <w:rsid w:val="2E055C79"/>
    <w:rsid w:val="2E071E2B"/>
    <w:rsid w:val="2E0E43FA"/>
    <w:rsid w:val="2E285B38"/>
    <w:rsid w:val="2E342574"/>
    <w:rsid w:val="2EBB78BE"/>
    <w:rsid w:val="2FBC4699"/>
    <w:rsid w:val="30573AD6"/>
    <w:rsid w:val="307E1CAD"/>
    <w:rsid w:val="307E37F0"/>
    <w:rsid w:val="30A05CC2"/>
    <w:rsid w:val="30A600A1"/>
    <w:rsid w:val="312F6FA8"/>
    <w:rsid w:val="316C5816"/>
    <w:rsid w:val="31B9528D"/>
    <w:rsid w:val="31BC4D7D"/>
    <w:rsid w:val="31E22A36"/>
    <w:rsid w:val="32600F8B"/>
    <w:rsid w:val="329D1B3C"/>
    <w:rsid w:val="3345393D"/>
    <w:rsid w:val="35494579"/>
    <w:rsid w:val="35966135"/>
    <w:rsid w:val="35C368CE"/>
    <w:rsid w:val="35DC5ED9"/>
    <w:rsid w:val="35FB40C6"/>
    <w:rsid w:val="36496FA8"/>
    <w:rsid w:val="37391072"/>
    <w:rsid w:val="37450315"/>
    <w:rsid w:val="379A3C68"/>
    <w:rsid w:val="38063ADA"/>
    <w:rsid w:val="3832770C"/>
    <w:rsid w:val="38761646"/>
    <w:rsid w:val="38942159"/>
    <w:rsid w:val="390F725C"/>
    <w:rsid w:val="39B67E19"/>
    <w:rsid w:val="39DA2245"/>
    <w:rsid w:val="39FF7EFD"/>
    <w:rsid w:val="3A255BB6"/>
    <w:rsid w:val="3A33676B"/>
    <w:rsid w:val="3AD60E7E"/>
    <w:rsid w:val="3AD823A6"/>
    <w:rsid w:val="3AF307DF"/>
    <w:rsid w:val="3B6B35C0"/>
    <w:rsid w:val="3C0E4427"/>
    <w:rsid w:val="3C6E6DF9"/>
    <w:rsid w:val="3DDF7E2A"/>
    <w:rsid w:val="3F3C085B"/>
    <w:rsid w:val="3F717867"/>
    <w:rsid w:val="3FB11C9A"/>
    <w:rsid w:val="4004516F"/>
    <w:rsid w:val="40196C28"/>
    <w:rsid w:val="40BE4EDE"/>
    <w:rsid w:val="40EF4A1C"/>
    <w:rsid w:val="41316DFE"/>
    <w:rsid w:val="41C62BF0"/>
    <w:rsid w:val="42243515"/>
    <w:rsid w:val="437E6337"/>
    <w:rsid w:val="43F76FA2"/>
    <w:rsid w:val="43FB4652"/>
    <w:rsid w:val="45392515"/>
    <w:rsid w:val="454817E1"/>
    <w:rsid w:val="454B147E"/>
    <w:rsid w:val="45A81449"/>
    <w:rsid w:val="463D4287"/>
    <w:rsid w:val="46540B1A"/>
    <w:rsid w:val="46560618"/>
    <w:rsid w:val="46DF74D7"/>
    <w:rsid w:val="47465BF0"/>
    <w:rsid w:val="47AB6FCE"/>
    <w:rsid w:val="489E52B0"/>
    <w:rsid w:val="4BC25F7E"/>
    <w:rsid w:val="4BCC28EE"/>
    <w:rsid w:val="4C147838"/>
    <w:rsid w:val="4C362A2A"/>
    <w:rsid w:val="4C7B4140"/>
    <w:rsid w:val="4CB8016E"/>
    <w:rsid w:val="4CC00BC3"/>
    <w:rsid w:val="4D194D02"/>
    <w:rsid w:val="4D3F0047"/>
    <w:rsid w:val="4D940DD6"/>
    <w:rsid w:val="4DE95C88"/>
    <w:rsid w:val="4DF7781B"/>
    <w:rsid w:val="4EA81E3C"/>
    <w:rsid w:val="4EB10C75"/>
    <w:rsid w:val="4EBB3F9B"/>
    <w:rsid w:val="4FB44680"/>
    <w:rsid w:val="4FCF4B29"/>
    <w:rsid w:val="50F2353D"/>
    <w:rsid w:val="50FD4D3F"/>
    <w:rsid w:val="511E6FDF"/>
    <w:rsid w:val="51A343B6"/>
    <w:rsid w:val="51B33440"/>
    <w:rsid w:val="51F81FB4"/>
    <w:rsid w:val="525562A2"/>
    <w:rsid w:val="52582B1B"/>
    <w:rsid w:val="52A661A0"/>
    <w:rsid w:val="53124542"/>
    <w:rsid w:val="53E4017E"/>
    <w:rsid w:val="53F57F4F"/>
    <w:rsid w:val="542E4FD7"/>
    <w:rsid w:val="54AF0772"/>
    <w:rsid w:val="54B92FB1"/>
    <w:rsid w:val="551D59AF"/>
    <w:rsid w:val="55DA30C5"/>
    <w:rsid w:val="56E05ABB"/>
    <w:rsid w:val="56F671EF"/>
    <w:rsid w:val="57566F57"/>
    <w:rsid w:val="57A25523"/>
    <w:rsid w:val="582278A6"/>
    <w:rsid w:val="586B07E0"/>
    <w:rsid w:val="58CE6FC1"/>
    <w:rsid w:val="59CA1251"/>
    <w:rsid w:val="59DC0FC7"/>
    <w:rsid w:val="59EA1BD8"/>
    <w:rsid w:val="59FF6FAA"/>
    <w:rsid w:val="5A3F0A8C"/>
    <w:rsid w:val="5ACB1A0A"/>
    <w:rsid w:val="5B6C59B7"/>
    <w:rsid w:val="5C291BCB"/>
    <w:rsid w:val="5C2C1C9C"/>
    <w:rsid w:val="5E355124"/>
    <w:rsid w:val="5F275DD4"/>
    <w:rsid w:val="5F2A6AF3"/>
    <w:rsid w:val="5FB52AA5"/>
    <w:rsid w:val="609A237A"/>
    <w:rsid w:val="60E3568C"/>
    <w:rsid w:val="61653365"/>
    <w:rsid w:val="619A3EE4"/>
    <w:rsid w:val="61C84EF5"/>
    <w:rsid w:val="61D74D5C"/>
    <w:rsid w:val="624C5AC9"/>
    <w:rsid w:val="62AA0034"/>
    <w:rsid w:val="62C650EC"/>
    <w:rsid w:val="645411FD"/>
    <w:rsid w:val="64A77044"/>
    <w:rsid w:val="65E71C1B"/>
    <w:rsid w:val="66084329"/>
    <w:rsid w:val="661F371A"/>
    <w:rsid w:val="6883350C"/>
    <w:rsid w:val="68C22CAD"/>
    <w:rsid w:val="68FD36D6"/>
    <w:rsid w:val="69004285"/>
    <w:rsid w:val="691D3680"/>
    <w:rsid w:val="6925166F"/>
    <w:rsid w:val="6942033D"/>
    <w:rsid w:val="6945700A"/>
    <w:rsid w:val="69DD6543"/>
    <w:rsid w:val="6A4E61B3"/>
    <w:rsid w:val="6B4E646B"/>
    <w:rsid w:val="6BC51EB8"/>
    <w:rsid w:val="6BC80D78"/>
    <w:rsid w:val="6BC97EFC"/>
    <w:rsid w:val="6C6D670D"/>
    <w:rsid w:val="6D6C1595"/>
    <w:rsid w:val="6DC53F61"/>
    <w:rsid w:val="6DCB030B"/>
    <w:rsid w:val="6E337B9A"/>
    <w:rsid w:val="6E8D401D"/>
    <w:rsid w:val="6F634DF0"/>
    <w:rsid w:val="6F6F0064"/>
    <w:rsid w:val="70896DC8"/>
    <w:rsid w:val="71097386"/>
    <w:rsid w:val="710E4C24"/>
    <w:rsid w:val="7233011E"/>
    <w:rsid w:val="73074431"/>
    <w:rsid w:val="73AE074E"/>
    <w:rsid w:val="73D70FC8"/>
    <w:rsid w:val="74996FAB"/>
    <w:rsid w:val="754B32CD"/>
    <w:rsid w:val="75AC0D91"/>
    <w:rsid w:val="75CF4B7D"/>
    <w:rsid w:val="75ED062E"/>
    <w:rsid w:val="76357118"/>
    <w:rsid w:val="763F0E9F"/>
    <w:rsid w:val="765B7F10"/>
    <w:rsid w:val="782D1423"/>
    <w:rsid w:val="78706509"/>
    <w:rsid w:val="7876517D"/>
    <w:rsid w:val="7884575F"/>
    <w:rsid w:val="78F91934"/>
    <w:rsid w:val="78FA35E1"/>
    <w:rsid w:val="791C6435"/>
    <w:rsid w:val="7949283E"/>
    <w:rsid w:val="795D662A"/>
    <w:rsid w:val="7A2A3030"/>
    <w:rsid w:val="7AD7365B"/>
    <w:rsid w:val="7B59042A"/>
    <w:rsid w:val="7B8C1362"/>
    <w:rsid w:val="7BD85139"/>
    <w:rsid w:val="7BDE2E46"/>
    <w:rsid w:val="7BEF7E9B"/>
    <w:rsid w:val="7CD47E94"/>
    <w:rsid w:val="7CDB170A"/>
    <w:rsid w:val="7D196E33"/>
    <w:rsid w:val="7D621902"/>
    <w:rsid w:val="7DC65E60"/>
    <w:rsid w:val="7EE34CC4"/>
    <w:rsid w:val="7F0F219C"/>
    <w:rsid w:val="7FB1080D"/>
    <w:rsid w:val="7FEC26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99"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paragraph" w:styleId="2">
    <w:name w:val="heading 2"/>
    <w:basedOn w:val="1"/>
    <w:next w:val="1"/>
    <w:link w:val="34"/>
    <w:qFormat/>
    <w:uiPriority w:val="9"/>
    <w:pPr>
      <w:numPr>
        <w:ilvl w:val="0"/>
        <w:numId w:val="1"/>
      </w:numPr>
      <w:outlineLvl w:val="1"/>
    </w:pPr>
    <w:rPr>
      <w:rFonts w:ascii="等线" w:hAnsi="等线" w:eastAsia="等线" w:cs="Times New Roman"/>
      <w:kern w:val="0"/>
      <w:sz w:val="24"/>
      <w:szCs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49"/>
    <w:qFormat/>
    <w:uiPriority w:val="0"/>
    <w:pPr>
      <w:jc w:val="left"/>
    </w:pPr>
  </w:style>
  <w:style w:type="paragraph" w:styleId="4">
    <w:name w:val="Body Text"/>
    <w:basedOn w:val="1"/>
    <w:next w:val="1"/>
    <w:qFormat/>
    <w:uiPriority w:val="99"/>
    <w:pPr>
      <w:spacing w:after="120"/>
      <w:jc w:val="center"/>
    </w:pPr>
    <w:rPr>
      <w:rFonts w:ascii="黑体" w:hAnsi="黑体" w:eastAsia="黑体"/>
      <w:sz w:val="32"/>
      <w:szCs w:val="32"/>
    </w:rPr>
  </w:style>
  <w:style w:type="paragraph" w:styleId="5">
    <w:name w:val="Body Text Indent"/>
    <w:basedOn w:val="1"/>
    <w:unhideWhenUsed/>
    <w:qFormat/>
    <w:uiPriority w:val="0"/>
    <w:pPr>
      <w:spacing w:line="560" w:lineRule="exact"/>
      <w:ind w:firstLine="640" w:firstLineChars="200"/>
    </w:pPr>
    <w:rPr>
      <w:rFonts w:eastAsia="仿宋_GB2312"/>
      <w:sz w:val="32"/>
    </w:rPr>
  </w:style>
  <w:style w:type="paragraph" w:styleId="6">
    <w:name w:val="Block Text"/>
    <w:basedOn w:val="1"/>
    <w:qFormat/>
    <w:uiPriority w:val="0"/>
    <w:pPr>
      <w:spacing w:after="120"/>
      <w:ind w:left="700" w:leftChars="700" w:right="700" w:rightChars="700"/>
    </w:pPr>
    <w:rPr>
      <w:rFonts w:ascii="等线" w:eastAsia="等线"/>
    </w:rPr>
  </w:style>
  <w:style w:type="paragraph" w:styleId="7">
    <w:name w:val="Plain Text"/>
    <w:basedOn w:val="1"/>
    <w:next w:val="8"/>
    <w:semiHidden/>
    <w:qFormat/>
    <w:uiPriority w:val="0"/>
    <w:rPr>
      <w:rFonts w:ascii="宋体" w:hAnsi="Courier New"/>
    </w:rPr>
  </w:style>
  <w:style w:type="paragraph" w:styleId="8">
    <w:name w:val="index 9"/>
    <w:basedOn w:val="1"/>
    <w:next w:val="1"/>
    <w:qFormat/>
    <w:uiPriority w:val="0"/>
    <w:pPr>
      <w:spacing w:line="560" w:lineRule="exact"/>
      <w:ind w:firstLine="200" w:firstLineChars="200"/>
    </w:pPr>
    <w:rPr>
      <w:rFonts w:eastAsia="仿宋_GB2312" w:cs="等线"/>
      <w:sz w:val="32"/>
      <w:szCs w:val="21"/>
    </w:rPr>
  </w:style>
  <w:style w:type="paragraph" w:styleId="9">
    <w:name w:val="Balloon Text"/>
    <w:basedOn w:val="1"/>
    <w:link w:val="33"/>
    <w:qFormat/>
    <w:uiPriority w:val="99"/>
    <w:rPr>
      <w:sz w:val="18"/>
      <w:szCs w:val="18"/>
    </w:rPr>
  </w:style>
  <w:style w:type="paragraph" w:styleId="10">
    <w:name w:val="footer"/>
    <w:basedOn w:val="1"/>
    <w:link w:val="32"/>
    <w:qFormat/>
    <w:uiPriority w:val="99"/>
    <w:pPr>
      <w:tabs>
        <w:tab w:val="center" w:pos="4153"/>
        <w:tab w:val="right" w:pos="8306"/>
      </w:tabs>
      <w:snapToGrid w:val="0"/>
      <w:jc w:val="left"/>
    </w:pPr>
    <w:rPr>
      <w:sz w:val="18"/>
      <w:szCs w:val="18"/>
    </w:rPr>
  </w:style>
  <w:style w:type="paragraph" w:styleId="11">
    <w:name w:val="header"/>
    <w:basedOn w:val="1"/>
    <w:link w:val="31"/>
    <w:qFormat/>
    <w:uiPriority w:val="99"/>
    <w:pPr>
      <w:tabs>
        <w:tab w:val="center" w:pos="4153"/>
        <w:tab w:val="right" w:pos="8306"/>
      </w:tabs>
      <w:snapToGrid w:val="0"/>
      <w:jc w:val="center"/>
    </w:pPr>
    <w:rPr>
      <w:sz w:val="18"/>
      <w:szCs w:val="18"/>
    </w:rPr>
  </w:style>
  <w:style w:type="paragraph" w:styleId="12">
    <w:name w:val="toc 1"/>
    <w:basedOn w:val="1"/>
    <w:next w:val="1"/>
    <w:qFormat/>
    <w:uiPriority w:val="39"/>
  </w:style>
  <w:style w:type="paragraph" w:styleId="13">
    <w:name w:val="index heading"/>
    <w:basedOn w:val="1"/>
    <w:next w:val="14"/>
    <w:qFormat/>
    <w:uiPriority w:val="99"/>
    <w:rPr>
      <w:rFonts w:ascii="Arial" w:hAnsi="Arial"/>
      <w:b/>
    </w:rPr>
  </w:style>
  <w:style w:type="paragraph" w:styleId="14">
    <w:name w:val="index 1"/>
    <w:basedOn w:val="1"/>
    <w:next w:val="1"/>
    <w:qFormat/>
    <w:uiPriority w:val="99"/>
  </w:style>
  <w:style w:type="paragraph" w:styleId="15">
    <w:name w:val="footnote text"/>
    <w:basedOn w:val="1"/>
    <w:unhideWhenUsed/>
    <w:qFormat/>
    <w:uiPriority w:val="99"/>
    <w:pPr>
      <w:snapToGrid w:val="0"/>
      <w:jc w:val="left"/>
    </w:pPr>
    <w:rPr>
      <w:sz w:val="18"/>
    </w:rPr>
  </w:style>
  <w:style w:type="paragraph" w:styleId="16">
    <w:name w:val="toc 2"/>
    <w:basedOn w:val="1"/>
    <w:next w:val="1"/>
    <w:qFormat/>
    <w:uiPriority w:val="39"/>
    <w:pPr>
      <w:ind w:left="420" w:leftChars="200"/>
    </w:pPr>
  </w:style>
  <w:style w:type="paragraph" w:styleId="1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cs="Times New Roman"/>
      <w:kern w:val="0"/>
      <w:sz w:val="24"/>
      <w:szCs w:val="24"/>
    </w:rPr>
  </w:style>
  <w:style w:type="paragraph" w:styleId="18">
    <w:name w:val="Normal (Web)"/>
    <w:basedOn w:val="1"/>
    <w:qFormat/>
    <w:uiPriority w:val="0"/>
    <w:rPr>
      <w:sz w:val="24"/>
    </w:rPr>
  </w:style>
  <w:style w:type="paragraph" w:styleId="19">
    <w:name w:val="Title"/>
    <w:basedOn w:val="1"/>
    <w:next w:val="1"/>
    <w:link w:val="35"/>
    <w:qFormat/>
    <w:uiPriority w:val="10"/>
    <w:pPr>
      <w:spacing w:before="240" w:after="60"/>
      <w:ind w:left="420"/>
      <w:jc w:val="center"/>
      <w:outlineLvl w:val="0"/>
    </w:pPr>
    <w:rPr>
      <w:rFonts w:ascii="等线" w:hAnsi="等线" w:eastAsia="等线" w:cs="Times New Roman"/>
      <w:b/>
      <w:bCs/>
      <w:kern w:val="0"/>
      <w:sz w:val="32"/>
      <w:szCs w:val="32"/>
    </w:rPr>
  </w:style>
  <w:style w:type="paragraph" w:styleId="20">
    <w:name w:val="annotation subject"/>
    <w:basedOn w:val="3"/>
    <w:next w:val="3"/>
    <w:link w:val="50"/>
    <w:qFormat/>
    <w:uiPriority w:val="0"/>
    <w:rPr>
      <w:b/>
      <w:bCs/>
    </w:rPr>
  </w:style>
  <w:style w:type="paragraph" w:styleId="21">
    <w:name w:val="Body Text First Indent 2"/>
    <w:basedOn w:val="5"/>
    <w:next w:val="1"/>
    <w:unhideWhenUsed/>
    <w:qFormat/>
    <w:uiPriority w:val="0"/>
    <w:pPr>
      <w:tabs>
        <w:tab w:val="left" w:pos="0"/>
        <w:tab w:val="left" w:pos="284"/>
        <w:tab w:val="left" w:pos="720"/>
      </w:tabs>
      <w:ind w:firstLine="420"/>
    </w:p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qFormat/>
    <w:uiPriority w:val="22"/>
  </w:style>
  <w:style w:type="character" w:styleId="26">
    <w:name w:val="page number"/>
    <w:basedOn w:val="24"/>
    <w:qFormat/>
    <w:uiPriority w:val="0"/>
  </w:style>
  <w:style w:type="character" w:styleId="27">
    <w:name w:val="Hyperlink"/>
    <w:basedOn w:val="24"/>
    <w:qFormat/>
    <w:uiPriority w:val="99"/>
    <w:rPr>
      <w:color w:val="0000FF"/>
      <w:u w:val="single"/>
    </w:rPr>
  </w:style>
  <w:style w:type="character" w:styleId="28">
    <w:name w:val="annotation reference"/>
    <w:basedOn w:val="24"/>
    <w:qFormat/>
    <w:uiPriority w:val="0"/>
    <w:rPr>
      <w:sz w:val="21"/>
      <w:szCs w:val="21"/>
    </w:rPr>
  </w:style>
  <w:style w:type="character" w:styleId="29">
    <w:name w:val="footnote reference"/>
    <w:basedOn w:val="24"/>
    <w:unhideWhenUsed/>
    <w:qFormat/>
    <w:uiPriority w:val="99"/>
    <w:rPr>
      <w:vertAlign w:val="superscript"/>
    </w:rPr>
  </w:style>
  <w:style w:type="paragraph" w:styleId="30">
    <w:name w:val="List Paragraph"/>
    <w:basedOn w:val="1"/>
    <w:qFormat/>
    <w:uiPriority w:val="99"/>
    <w:pPr>
      <w:ind w:firstLine="420" w:firstLineChars="200"/>
    </w:pPr>
  </w:style>
  <w:style w:type="character" w:customStyle="1" w:styleId="31">
    <w:name w:val="页眉 字符"/>
    <w:basedOn w:val="24"/>
    <w:link w:val="11"/>
    <w:qFormat/>
    <w:uiPriority w:val="99"/>
    <w:rPr>
      <w:sz w:val="18"/>
      <w:szCs w:val="18"/>
    </w:rPr>
  </w:style>
  <w:style w:type="character" w:customStyle="1" w:styleId="32">
    <w:name w:val="页脚 字符"/>
    <w:basedOn w:val="24"/>
    <w:link w:val="10"/>
    <w:qFormat/>
    <w:uiPriority w:val="99"/>
    <w:rPr>
      <w:sz w:val="18"/>
      <w:szCs w:val="18"/>
    </w:rPr>
  </w:style>
  <w:style w:type="character" w:customStyle="1" w:styleId="33">
    <w:name w:val="批注框文本 字符"/>
    <w:basedOn w:val="24"/>
    <w:link w:val="9"/>
    <w:qFormat/>
    <w:uiPriority w:val="99"/>
    <w:rPr>
      <w:sz w:val="18"/>
      <w:szCs w:val="18"/>
    </w:rPr>
  </w:style>
  <w:style w:type="character" w:customStyle="1" w:styleId="34">
    <w:name w:val="标题 2 字符"/>
    <w:basedOn w:val="24"/>
    <w:link w:val="2"/>
    <w:qFormat/>
    <w:uiPriority w:val="9"/>
    <w:rPr>
      <w:rFonts w:ascii="等线" w:hAnsi="等线" w:eastAsia="等线" w:cs="Times New Roman"/>
      <w:sz w:val="24"/>
      <w:szCs w:val="28"/>
    </w:rPr>
  </w:style>
  <w:style w:type="character" w:customStyle="1" w:styleId="35">
    <w:name w:val="标题 字符"/>
    <w:basedOn w:val="24"/>
    <w:link w:val="19"/>
    <w:qFormat/>
    <w:uiPriority w:val="10"/>
    <w:rPr>
      <w:rFonts w:ascii="等线" w:hAnsi="等线" w:eastAsia="等线" w:cs="Times New Roman"/>
      <w:b/>
      <w:bCs/>
      <w:sz w:val="32"/>
      <w:szCs w:val="32"/>
    </w:rPr>
  </w:style>
  <w:style w:type="paragraph" w:customStyle="1" w:styleId="36">
    <w:name w:val="1文字居中"/>
    <w:basedOn w:val="1"/>
    <w:qFormat/>
    <w:uiPriority w:val="0"/>
    <w:pPr>
      <w:snapToGrid w:val="0"/>
      <w:spacing w:line="560" w:lineRule="exact"/>
      <w:jc w:val="center"/>
    </w:pPr>
    <w:rPr>
      <w:rFonts w:hint="eastAsia" w:ascii="仿宋_GB2312" w:hAnsi="Times New Roman" w:eastAsia="仿宋_GB2312" w:cs="Times New Roman"/>
      <w:sz w:val="32"/>
      <w:szCs w:val="21"/>
    </w:rPr>
  </w:style>
  <w:style w:type="paragraph" w:customStyle="1" w:styleId="37">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8">
    <w:name w:val="font51"/>
    <w:basedOn w:val="24"/>
    <w:qFormat/>
    <w:uiPriority w:val="0"/>
    <w:rPr>
      <w:rFonts w:hint="eastAsia" w:ascii="方正小标宋简体" w:hAnsi="方正小标宋简体" w:eastAsia="方正小标宋简体" w:cs="方正小标宋简体"/>
      <w:color w:val="000000"/>
      <w:sz w:val="40"/>
      <w:szCs w:val="40"/>
      <w:u w:val="none"/>
    </w:rPr>
  </w:style>
  <w:style w:type="paragraph" w:customStyle="1" w:styleId="39">
    <w:name w:val="Normal Indent1"/>
    <w:basedOn w:val="1"/>
    <w:qFormat/>
    <w:uiPriority w:val="0"/>
    <w:pPr>
      <w:spacing w:line="480" w:lineRule="auto"/>
      <w:ind w:firstLine="200" w:firstLineChars="200"/>
    </w:pPr>
    <w:rPr>
      <w:rFonts w:ascii="仿宋_GB2312"/>
    </w:rPr>
  </w:style>
  <w:style w:type="table" w:customStyle="1" w:styleId="40">
    <w:name w:val="Table Normal"/>
    <w:semiHidden/>
    <w:unhideWhenUsed/>
    <w:qFormat/>
    <w:uiPriority w:val="0"/>
    <w:tblPr>
      <w:tblCellMar>
        <w:top w:w="0" w:type="dxa"/>
        <w:left w:w="0" w:type="dxa"/>
        <w:bottom w:w="0" w:type="dxa"/>
        <w:right w:w="0" w:type="dxa"/>
      </w:tblCellMar>
    </w:tblPr>
  </w:style>
  <w:style w:type="paragraph" w:customStyle="1" w:styleId="41">
    <w:name w:val="Table Text"/>
    <w:basedOn w:val="1"/>
    <w:semiHidden/>
    <w:qFormat/>
    <w:uiPriority w:val="0"/>
    <w:rPr>
      <w:rFonts w:ascii="仿宋_GB2312" w:hAnsi="仿宋_GB2312" w:eastAsia="仿宋_GB2312" w:cs="仿宋_GB2312"/>
      <w:sz w:val="31"/>
      <w:szCs w:val="31"/>
      <w:lang w:eastAsia="en-US"/>
    </w:rPr>
  </w:style>
  <w:style w:type="paragraph" w:customStyle="1" w:styleId="42">
    <w:name w:val="标题 #1"/>
    <w:basedOn w:val="1"/>
    <w:autoRedefine/>
    <w:qFormat/>
    <w:uiPriority w:val="0"/>
    <w:pPr>
      <w:spacing w:after="500" w:line="566" w:lineRule="exact"/>
      <w:jc w:val="center"/>
      <w:outlineLvl w:val="0"/>
    </w:pPr>
    <w:rPr>
      <w:rFonts w:ascii="宋体" w:hAnsi="宋体"/>
      <w:sz w:val="42"/>
      <w:szCs w:val="42"/>
    </w:rPr>
  </w:style>
  <w:style w:type="paragraph" w:customStyle="1" w:styleId="43">
    <w:name w:val="样式 样式 四号 行距: 固定值 25 磅 + 首行缩进:  2 字符"/>
    <w:basedOn w:val="1"/>
    <w:qFormat/>
    <w:uiPriority w:val="99"/>
    <w:pPr>
      <w:spacing w:line="500" w:lineRule="atLeast"/>
      <w:ind w:firstLine="560" w:firstLineChars="200"/>
    </w:pPr>
    <w:rPr>
      <w:rFonts w:ascii="Times New Roman"/>
      <w:sz w:val="28"/>
      <w:szCs w:val="28"/>
    </w:rPr>
  </w:style>
  <w:style w:type="character" w:customStyle="1" w:styleId="44">
    <w:name w:val="font31"/>
    <w:basedOn w:val="24"/>
    <w:autoRedefine/>
    <w:qFormat/>
    <w:uiPriority w:val="0"/>
    <w:rPr>
      <w:rFonts w:hint="eastAsia" w:ascii="仿宋" w:hAnsi="仿宋" w:eastAsia="仿宋" w:cs="仿宋"/>
      <w:color w:val="000000"/>
      <w:sz w:val="32"/>
      <w:szCs w:val="32"/>
      <w:u w:val="none"/>
    </w:rPr>
  </w:style>
  <w:style w:type="paragraph" w:customStyle="1" w:styleId="45">
    <w:name w:val="Heading #2|1"/>
    <w:basedOn w:val="1"/>
    <w:qFormat/>
    <w:uiPriority w:val="0"/>
    <w:pPr>
      <w:spacing w:after="480" w:line="634" w:lineRule="exact"/>
      <w:jc w:val="center"/>
      <w:outlineLvl w:val="1"/>
    </w:pPr>
    <w:rPr>
      <w:rFonts w:ascii="宋体" w:hAnsi="宋体"/>
      <w:sz w:val="40"/>
      <w:szCs w:val="40"/>
      <w:lang w:val="zh-TW" w:eastAsia="zh-TW" w:bidi="zh-TW"/>
    </w:rPr>
  </w:style>
  <w:style w:type="paragraph" w:customStyle="1" w:styleId="46">
    <w:name w:val="p1"/>
    <w:basedOn w:val="1"/>
    <w:qFormat/>
    <w:uiPriority w:val="0"/>
    <w:pPr>
      <w:jc w:val="left"/>
    </w:pPr>
    <w:rPr>
      <w:rFonts w:ascii="Helvetica Neue" w:hAnsi="Helvetica Neue" w:eastAsia="Helvetica Neue" w:cs="Times New Roman"/>
      <w:kern w:val="0"/>
      <w:sz w:val="26"/>
      <w:szCs w:val="26"/>
    </w:rPr>
  </w:style>
  <w:style w:type="paragraph" w:customStyle="1" w:styleId="47">
    <w:name w:val="BodyText"/>
    <w:basedOn w:val="1"/>
    <w:qFormat/>
    <w:uiPriority w:val="0"/>
    <w:pPr>
      <w:spacing w:after="120"/>
      <w:textAlignment w:val="baseline"/>
    </w:pPr>
    <w:rPr>
      <w:rFonts w:ascii="仿宋_GB2312" w:hAnsi="Tahoma" w:eastAsia="仿宋_GB2312"/>
      <w:kern w:val="0"/>
      <w:sz w:val="32"/>
    </w:rPr>
  </w:style>
  <w:style w:type="paragraph" w:customStyle="1" w:styleId="48">
    <w:name w:val="Revision"/>
    <w:hidden/>
    <w:unhideWhenUsed/>
    <w:qFormat/>
    <w:uiPriority w:val="99"/>
    <w:rPr>
      <w:rFonts w:ascii="Calibri" w:hAnsi="Calibri" w:eastAsia="宋体" w:cs="宋体"/>
      <w:kern w:val="2"/>
      <w:sz w:val="21"/>
      <w:szCs w:val="22"/>
      <w:lang w:val="en-US" w:eastAsia="zh-CN" w:bidi="ar-SA"/>
    </w:rPr>
  </w:style>
  <w:style w:type="character" w:customStyle="1" w:styleId="49">
    <w:name w:val="批注文字 字符"/>
    <w:basedOn w:val="24"/>
    <w:link w:val="3"/>
    <w:qFormat/>
    <w:uiPriority w:val="0"/>
    <w:rPr>
      <w:rFonts w:ascii="Calibri" w:hAnsi="Calibri" w:cs="宋体"/>
      <w:kern w:val="2"/>
      <w:sz w:val="21"/>
      <w:szCs w:val="22"/>
    </w:rPr>
  </w:style>
  <w:style w:type="character" w:customStyle="1" w:styleId="50">
    <w:name w:val="批注主题 字符"/>
    <w:basedOn w:val="49"/>
    <w:link w:val="20"/>
    <w:qFormat/>
    <w:uiPriority w:val="0"/>
    <w:rPr>
      <w:rFonts w:ascii="Calibri" w:hAnsi="Calibri" w:cs="宋体"/>
      <w:b/>
      <w:bCs/>
      <w:kern w:val="2"/>
      <w:sz w:val="21"/>
      <w:szCs w:val="22"/>
    </w:rPr>
  </w:style>
  <w:style w:type="paragraph" w:customStyle="1" w:styleId="51">
    <w:name w:val="正文 A"/>
    <w:qFormat/>
    <w:uiPriority w:val="0"/>
    <w:pPr>
      <w:widowControl w:val="0"/>
      <w:jc w:val="both"/>
    </w:pPr>
    <w:rPr>
      <w:rFonts w:hint="eastAsia" w:ascii="Arial Unicode MS" w:hAnsi="Arial Unicode MS" w:eastAsia="Arial Unicode MS" w:cs="Arial Unicode MS"/>
      <w:color w:val="000000"/>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e08d8b2d-6b53-4458-b1ea-981c8f482648</errorID>
      <errorWord>资本集聚</errorWord>
      <group>L1_Knowledge</group>
      <groupName>知识性问题</groupName>
      <ability>L2_Term</ability>
      <abilityName>专业术语</abilityName>
      <candidateList>
        <item>资本积聚</item>
      </candidateList>
      <explain/>
      <paraID>3B0DECBC</paraID>
      <start>113</start>
      <end>117</end>
      <status>unmodified</status>
      <modifiedWord/>
      <trackRevisions>false</trackRevisions>
    </reviewItem>
    <reviewItem>
      <errorID>d1a1661d-fda3-41d8-ae1d-83e7890674eb</errorID>
      <errorWord>，</errorWord>
      <group>L1_Word</group>
      <groupName>字词问题</groupName>
      <ability>L2_Typo</ability>
      <abilityName>字词错误</abilityName>
      <candidateList>
        <item>，以</item>
      </candidateList>
      <explain/>
      <paraID>  BA41B7</paraID>
      <start>88</start>
      <end>89</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49b784c-01d5-476e-872b-91119cd4d040}">
  <ds:schemaRefs/>
</ds:datastoreItem>
</file>

<file path=docProps/app.xml><?xml version="1.0" encoding="utf-8"?>
<Properties xmlns="http://schemas.openxmlformats.org/officeDocument/2006/extended-properties" xmlns:vt="http://schemas.openxmlformats.org/officeDocument/2006/docPropsVTypes">
  <Template>Normal</Template>
  <Pages>44</Pages>
  <Words>3684</Words>
  <Characters>3817</Characters>
  <Lines>135</Lines>
  <Paragraphs>38</Paragraphs>
  <TotalTime>46</TotalTime>
  <ScaleCrop>false</ScaleCrop>
  <LinksUpToDate>false</LinksUpToDate>
  <CharactersWithSpaces>3869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2026-09-08T23:37:00Z</dcterms:created>
  <dc:creator>XXB</dc:creator>
  <cp:lastModifiedBy>赵培</cp:lastModifiedBy>
  <cp:lastPrinted>2023-06-06T03:24:00Z</cp:lastPrinted>
  <dcterms:modified xsi:type="dcterms:W3CDTF">2026-09-29T04:19:08Z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34C3F3959B76458A89F5C7A4811F240C_13</vt:lpwstr>
  </property>
  <property fmtid="{D5CDD505-2E9C-101B-9397-08002B2CF9AE}" pid="4" name="KSOTemplateDocerSaveRecord">
    <vt:lpwstr>eyJoZGlkIjoiODQwOTFkZGYyM2QyOGZkNGQxZjc3NjhiODZiOWYzNzciLCJ1c2VySWQiOiI3NjAwOTM2MDcifQ==</vt:lpwstr>
  </property>
</Properties>
</file>