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项目支出绩效评价报告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基本情况</w:t>
      </w:r>
    </w:p>
    <w:p>
      <w:pPr>
        <w:numPr>
          <w:numId w:val="0"/>
        </w:numPr>
        <w:spacing w:line="600" w:lineRule="exact"/>
        <w:ind w:firstLine="320" w:firstLineChars="1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（一）项目概况。包括项目背景、主要内容及实施情况、</w:t>
      </w:r>
    </w:p>
    <w:p>
      <w:pPr>
        <w:spacing w:line="360" w:lineRule="auto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为加强城市道路掘路管理，保障城市道路的安全性、完整性，提高城市道路挖掘修复质量和及时性，满足城市道路承载能力，推进道路挖掘修复工作标准化、规范化、制度化进程，确保市民安全出行，</w:t>
      </w:r>
      <w:r>
        <w:rPr>
          <w:rFonts w:hint="eastAsia" w:ascii="仿宋" w:hAnsi="仿宋" w:eastAsia="仿宋" w:cs="仿宋_GB2312"/>
          <w:sz w:val="32"/>
          <w:szCs w:val="32"/>
        </w:rPr>
        <w:t>根据《北京市城市道路管理办法》（北京市人民政府令第156号）第四章第二十四条、朝阳区政府</w:t>
      </w:r>
      <w:r>
        <w:rPr>
          <w:rFonts w:hint="eastAsia" w:ascii="仿宋" w:hAnsi="仿宋" w:eastAsia="仿宋"/>
          <w:sz w:val="32"/>
          <w:szCs w:val="32"/>
        </w:rPr>
        <w:t>《朝阳区道路建设及养护管理工作意见》第六条</w:t>
      </w:r>
      <w:r>
        <w:rPr>
          <w:rFonts w:hint="eastAsia" w:ascii="仿宋" w:hAnsi="仿宋" w:eastAsia="仿宋" w:cs="仿宋_GB2312"/>
          <w:sz w:val="32"/>
          <w:szCs w:val="32"/>
        </w:rPr>
        <w:t>等相关文件规定</w:t>
      </w:r>
      <w:r>
        <w:rPr>
          <w:rFonts w:hint="eastAsia" w:ascii="仿宋" w:hAnsi="仿宋" w:eastAsia="仿宋"/>
          <w:sz w:val="32"/>
          <w:szCs w:val="32"/>
        </w:rPr>
        <w:t>，朝阳区道路养护中心负责道路挖掘修复工作。</w:t>
      </w:r>
    </w:p>
    <w:p>
      <w:pPr>
        <w:ind w:firstLine="707" w:firstLineChars="221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</w:t>
      </w:r>
      <w:r>
        <w:rPr>
          <w:rFonts w:ascii="仿宋" w:hAnsi="仿宋" w:eastAsia="仿宋"/>
          <w:color w:val="000000"/>
          <w:sz w:val="32"/>
          <w:szCs w:val="32"/>
        </w:rPr>
        <w:t>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道路挖掘修复项目</w:t>
      </w:r>
      <w:r>
        <w:rPr>
          <w:rFonts w:hint="eastAsia" w:ascii="仿宋" w:hAnsi="仿宋" w:eastAsia="仿宋"/>
          <w:color w:val="000000"/>
          <w:sz w:val="32"/>
          <w:szCs w:val="32"/>
        </w:rPr>
        <w:t>计划修复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道路面积43798</w:t>
      </w:r>
      <w:r>
        <w:rPr>
          <w:rFonts w:hint="eastAsia" w:ascii="仿宋" w:hAnsi="仿宋" w:eastAsia="仿宋"/>
          <w:color w:val="000000"/>
          <w:sz w:val="32"/>
          <w:szCs w:val="32"/>
        </w:rPr>
        <w:t>平米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预算金额14,451,700.00元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实际完成</w:t>
      </w:r>
      <w:r>
        <w:rPr>
          <w:rFonts w:hint="eastAsia" w:ascii="仿宋" w:hAnsi="仿宋" w:eastAsia="仿宋" w:cs="宋体"/>
          <w:kern w:val="0"/>
          <w:sz w:val="32"/>
          <w:szCs w:val="32"/>
        </w:rPr>
        <w:t>道路掘路修复面积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54044.02</w:t>
      </w:r>
      <w:r>
        <w:rPr>
          <w:rFonts w:hint="eastAsia" w:ascii="仿宋" w:hAnsi="仿宋" w:eastAsia="仿宋" w:cs="宋体"/>
          <w:kern w:val="0"/>
          <w:sz w:val="32"/>
          <w:szCs w:val="32"/>
        </w:rPr>
        <w:t>平米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kern w:val="0"/>
          <w:sz w:val="32"/>
          <w:szCs w:val="32"/>
        </w:rPr>
        <w:t>结算金额14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,451,652</w:t>
      </w:r>
      <w:r>
        <w:rPr>
          <w:rFonts w:hint="eastAsia" w:ascii="仿宋" w:hAnsi="仿宋" w:eastAsia="仿宋" w:cs="宋体"/>
          <w:kern w:val="0"/>
          <w:sz w:val="32"/>
          <w:szCs w:val="32"/>
        </w:rPr>
        <w:t>.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83</w:t>
      </w:r>
      <w:r>
        <w:rPr>
          <w:rFonts w:hint="eastAsia" w:ascii="仿宋" w:hAnsi="仿宋" w:eastAsia="仿宋" w:cs="宋体"/>
          <w:kern w:val="0"/>
          <w:sz w:val="32"/>
          <w:szCs w:val="32"/>
        </w:rPr>
        <w:t>元。</w:t>
      </w:r>
    </w:p>
    <w:p>
      <w:pPr>
        <w:ind w:firstLine="707" w:firstLineChars="221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因</w:t>
      </w:r>
      <w:r>
        <w:rPr>
          <w:rFonts w:hint="eastAsia" w:ascii="仿宋" w:hAnsi="仿宋" w:eastAsia="仿宋"/>
          <w:sz w:val="32"/>
          <w:szCs w:val="32"/>
        </w:rPr>
        <w:t>受</w:t>
      </w:r>
      <w:r>
        <w:rPr>
          <w:rFonts w:hint="eastAsia" w:ascii="仿宋" w:hAnsi="仿宋" w:eastAsia="仿宋" w:cs="Times New Roman"/>
          <w:sz w:val="32"/>
          <w:szCs w:val="32"/>
        </w:rPr>
        <w:t>城市规划、掘路方施工计划等因素的影响，掘路审批主管单位难以全面掌握年度掘路审批工程数量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Times New Roman"/>
          <w:sz w:val="32"/>
          <w:szCs w:val="32"/>
        </w:rPr>
        <w:t>掘路方完成掘路审批后，因地下管线施工及交通环境的复杂性等因素影响，存在掘路未能及时施工、工期跨度大、施工延期等现象，掘路进度难以准确掌控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所以项目实际实施时采用跟踪修复方式，待掘路方完工后及时进行道路修复，因此实际完成情况较预计情况存在差异。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项目绩效目标。</w:t>
      </w:r>
    </w:p>
    <w:p>
      <w:pPr>
        <w:pStyle w:val="3"/>
        <w:spacing w:before="0" w:after="0" w:line="240" w:lineRule="auto"/>
        <w:ind w:firstLine="628"/>
        <w:rPr>
          <w:rStyle w:val="9"/>
          <w:rFonts w:ascii="Times New Roman" w:hAnsi="Times New Roman" w:eastAsia="仿宋_GB2312"/>
          <w:b w:val="0"/>
          <w:bCs w:val="0"/>
          <w:sz w:val="32"/>
          <w:szCs w:val="32"/>
          <w:highlight w:val="none"/>
        </w:rPr>
      </w:pPr>
      <w:r>
        <w:rPr>
          <w:rFonts w:ascii="Times New Roman" w:hAnsi="Times New Roman" w:eastAsia="楷体_GB2312"/>
          <w:sz w:val="32"/>
          <w:szCs w:val="32"/>
          <w:highlight w:val="none"/>
        </w:rPr>
        <w:t>1.</w:t>
      </w:r>
      <w:r>
        <w:rPr>
          <w:rFonts w:ascii="Times New Roman" w:hAnsi="Times New Roman" w:eastAsia="仿宋_GB2312"/>
          <w:bCs w:val="0"/>
          <w:sz w:val="32"/>
          <w:szCs w:val="32"/>
          <w:highlight w:val="none"/>
        </w:rPr>
        <w:t>项目总体目标</w:t>
      </w:r>
    </w:p>
    <w:p>
      <w:pPr>
        <w:pStyle w:val="3"/>
        <w:numPr>
          <w:ilvl w:val="255"/>
          <w:numId w:val="0"/>
        </w:numPr>
        <w:spacing w:before="0" w:after="0" w:line="240" w:lineRule="auto"/>
        <w:ind w:firstLine="640" w:firstLineChars="200"/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通过对城市道路掘路的加强监管、及时跟进修复，确保朝阳区区属道路的安全性、整体性、舒适性及美观，保障群众方便、安全、完善的交通环境。</w:t>
      </w:r>
    </w:p>
    <w:p>
      <w:pPr>
        <w:pStyle w:val="3"/>
        <w:numPr>
          <w:ilvl w:val="255"/>
          <w:numId w:val="0"/>
        </w:numPr>
        <w:spacing w:before="0" w:after="0" w:line="240" w:lineRule="auto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ascii="Times New Roman" w:hAnsi="Times New Roman" w:eastAsia="楷体_GB2312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楷体_GB2312"/>
          <w:sz w:val="32"/>
          <w:szCs w:val="32"/>
          <w:highlight w:val="none"/>
          <w:lang w:val="en-US" w:eastAsia="zh-CN"/>
        </w:rPr>
        <w:t>阶段性目标</w:t>
      </w:r>
    </w:p>
    <w:p>
      <w:pPr>
        <w:spacing w:line="240" w:lineRule="auto"/>
        <w:ind w:firstLine="625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eastAsia="仿宋_GB2312"/>
          <w:sz w:val="32"/>
          <w:szCs w:val="32"/>
          <w:highlight w:val="none"/>
          <w:lang w:val="en-US" w:eastAsia="zh-CN"/>
        </w:rPr>
        <w:t>该</w:t>
      </w:r>
      <w:r>
        <w:rPr>
          <w:rFonts w:hint="eastAsia" w:eastAsia="仿宋_GB2312"/>
          <w:sz w:val="32"/>
          <w:szCs w:val="32"/>
          <w:highlight w:val="none"/>
        </w:rPr>
        <w:t>项目前期申报时间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为</w:t>
      </w:r>
      <w:r>
        <w:rPr>
          <w:rFonts w:hint="eastAsia" w:eastAsia="仿宋_GB2312"/>
          <w:sz w:val="32"/>
          <w:szCs w:val="32"/>
          <w:highlight w:val="none"/>
        </w:rPr>
        <w:t>202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年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eastAsia="仿宋_GB2312"/>
          <w:sz w:val="32"/>
          <w:szCs w:val="32"/>
          <w:highlight w:val="none"/>
        </w:rPr>
        <w:t>月完成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保证项目的可实施性</w:t>
      </w:r>
      <w:r>
        <w:rPr>
          <w:rFonts w:hint="eastAsia" w:eastAsia="仿宋_GB2312"/>
          <w:sz w:val="32"/>
          <w:szCs w:val="32"/>
          <w:highlight w:val="none"/>
        </w:rPr>
        <w:t>。工程施工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时间为</w:t>
      </w:r>
      <w:r>
        <w:rPr>
          <w:rFonts w:hint="eastAsia" w:eastAsia="仿宋_GB2312"/>
          <w:sz w:val="32"/>
          <w:szCs w:val="32"/>
          <w:highlight w:val="none"/>
        </w:rPr>
        <w:t>202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年12月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前</w:t>
      </w:r>
      <w:r>
        <w:rPr>
          <w:rFonts w:hint="eastAsia" w:eastAsia="仿宋_GB2312"/>
          <w:sz w:val="32"/>
          <w:szCs w:val="32"/>
          <w:highlight w:val="none"/>
        </w:rPr>
        <w:t>完成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按时完成年度人物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hint="eastAsia" w:eastAsia="仿宋_GB2312"/>
          <w:sz w:val="32"/>
          <w:szCs w:val="32"/>
          <w:highlight w:val="none"/>
        </w:rPr>
        <w:t>竣工验收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时间为</w:t>
      </w:r>
      <w:r>
        <w:rPr>
          <w:rFonts w:hint="eastAsia" w:eastAsia="仿宋_GB2312"/>
          <w:sz w:val="32"/>
          <w:szCs w:val="32"/>
          <w:highlight w:val="none"/>
        </w:rPr>
        <w:t>202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eastAsia="仿宋_GB2312"/>
          <w:sz w:val="32"/>
          <w:szCs w:val="32"/>
          <w:highlight w:val="none"/>
        </w:rPr>
        <w:t>年5月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前</w:t>
      </w:r>
      <w:r>
        <w:rPr>
          <w:rFonts w:hint="eastAsia" w:eastAsia="仿宋_GB2312"/>
          <w:sz w:val="32"/>
          <w:szCs w:val="32"/>
          <w:highlight w:val="none"/>
        </w:rPr>
        <w:t>完成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及时报审</w:t>
      </w:r>
      <w:r>
        <w:rPr>
          <w:rFonts w:hint="eastAsia" w:eastAsia="仿宋_GB2312"/>
          <w:sz w:val="32"/>
          <w:szCs w:val="32"/>
          <w:highlight w:val="none"/>
        </w:rPr>
        <w:t>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（一）绩效评价目的、对象和范围。</w:t>
      </w:r>
    </w:p>
    <w:p>
      <w:pPr>
        <w:spacing w:line="240" w:lineRule="auto"/>
        <w:ind w:firstLine="625"/>
        <w:rPr>
          <w:rFonts w:hint="default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eastAsia="仿宋_GB2312"/>
          <w:sz w:val="32"/>
          <w:szCs w:val="32"/>
          <w:highlight w:val="none"/>
          <w:lang w:val="en-US" w:eastAsia="zh-CN"/>
        </w:rPr>
        <w:t>为强化财政资金支出责任，加强预算绩效全过程管理，按照《北京市预算绩效管理办法》及《北京市项目支出绩效评价管理办法》等相关文件要求，开展此次项目支出绩效评价工作。评价的对象及范围为2023年道路挖掘修复项目的实施情况及资金使用情况。</w:t>
      </w:r>
    </w:p>
    <w:p>
      <w:pPr>
        <w:numPr>
          <w:numId w:val="0"/>
        </w:num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绩效评价原则、评价指标体系（附表说明）、评价方法、评价标准等。</w:t>
      </w:r>
    </w:p>
    <w:p>
      <w:pPr>
        <w:spacing w:line="240" w:lineRule="auto"/>
        <w:ind w:firstLine="625"/>
        <w:rPr>
          <w:rFonts w:hint="eastAsia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eastAsia="仿宋_GB2312"/>
          <w:sz w:val="32"/>
          <w:szCs w:val="32"/>
          <w:highlight w:val="none"/>
          <w:lang w:val="en-US" w:eastAsia="zh-CN"/>
        </w:rPr>
        <w:t>绩效评价工作遵从客观、公开的原则。以定量指标为评价标准，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（三）绩效评价工作过程。</w:t>
      </w:r>
    </w:p>
    <w:p>
      <w:pPr>
        <w:spacing w:line="240" w:lineRule="auto"/>
        <w:ind w:firstLine="625"/>
        <w:rPr>
          <w:rFonts w:hint="default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按照《关于开展2023年度财政支出绩效自评的通知》的文件要求，我中心认真落实，高度重视，以办公室牵头部门，各相关负责班组积极配合的方式开展此次项目支出绩效自评工作。实际工作中，一方面仔细研读和学习绩效自评工作要求、参考附件格式和内容，一方面</w:t>
      </w:r>
      <w:r>
        <w:rPr>
          <w:rFonts w:eastAsia="仿宋_GB2312"/>
          <w:sz w:val="32"/>
          <w:szCs w:val="32"/>
          <w:highlight w:val="none"/>
        </w:rPr>
        <w:t>收集并整理项目已有的相关资料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进一步提高自评绩效材料填报的时效和质量。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</w:t>
      </w:r>
    </w:p>
    <w:p>
      <w:pPr>
        <w:spacing w:line="240" w:lineRule="auto"/>
        <w:ind w:firstLine="625"/>
        <w:rPr>
          <w:rFonts w:hint="default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eastAsia="仿宋_GB2312"/>
          <w:sz w:val="32"/>
          <w:szCs w:val="32"/>
          <w:highlight w:val="none"/>
          <w:lang w:val="en-US" w:eastAsia="zh-CN"/>
        </w:rPr>
        <w:t>该项目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以定量指标为评价标准，以正向目标为计算方法，自评总分95.18分，结果为优。但因因受项目本身性质决定，</w:t>
      </w:r>
      <w:r>
        <w:rPr>
          <w:rFonts w:hint="eastAsia" w:eastAsia="仿宋_GB2312"/>
          <w:sz w:val="32"/>
          <w:szCs w:val="32"/>
          <w:highlight w:val="none"/>
        </w:rPr>
        <w:t>掘路单位会因为各种原因不能在取得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掘路审批</w:t>
      </w:r>
      <w:r>
        <w:rPr>
          <w:rFonts w:hint="eastAsia" w:eastAsia="仿宋_GB2312"/>
          <w:sz w:val="32"/>
          <w:szCs w:val="32"/>
          <w:highlight w:val="none"/>
        </w:rPr>
        <w:t>许可的当年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完工，需根据掘路方的施工</w:t>
      </w:r>
      <w:r>
        <w:rPr>
          <w:rFonts w:hint="eastAsia" w:eastAsia="仿宋_GB2312"/>
          <w:sz w:val="32"/>
          <w:szCs w:val="32"/>
          <w:highlight w:val="none"/>
        </w:rPr>
        <w:t>完成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情况进行道路的</w:t>
      </w:r>
      <w:r>
        <w:rPr>
          <w:rFonts w:hint="eastAsia" w:eastAsia="仿宋_GB2312"/>
          <w:sz w:val="32"/>
          <w:szCs w:val="32"/>
          <w:highlight w:val="none"/>
        </w:rPr>
        <w:t>回填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及</w:t>
      </w:r>
      <w:r>
        <w:rPr>
          <w:rFonts w:hint="eastAsia" w:eastAsia="仿宋_GB2312"/>
          <w:sz w:val="32"/>
          <w:szCs w:val="32"/>
          <w:highlight w:val="none"/>
        </w:rPr>
        <w:t>恢复工作，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导致项目的</w:t>
      </w:r>
      <w:r>
        <w:rPr>
          <w:rFonts w:hint="eastAsia" w:ascii="仿宋_GB2312" w:eastAsia="仿宋_GB2312"/>
          <w:bCs/>
          <w:sz w:val="32"/>
          <w:szCs w:val="32"/>
          <w:highlight w:val="none"/>
        </w:rPr>
        <w:t>实施规模、</w:t>
      </w:r>
      <w:r>
        <w:rPr>
          <w:rFonts w:hint="eastAsia" w:eastAsia="仿宋_GB2312"/>
          <w:sz w:val="32"/>
          <w:szCs w:val="32"/>
          <w:highlight w:val="none"/>
        </w:rPr>
        <w:t>工期进度上存在一定的不可控性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bCs/>
          <w:sz w:val="32"/>
          <w:szCs w:val="32"/>
          <w:highlight w:val="none"/>
        </w:rPr>
        <w:t>实施规模、</w:t>
      </w:r>
      <w:r>
        <w:rPr>
          <w:rFonts w:hint="eastAsia" w:eastAsia="仿宋_GB2312"/>
          <w:sz w:val="32"/>
          <w:szCs w:val="32"/>
          <w:highlight w:val="none"/>
        </w:rPr>
        <w:t>工期进度的不可控性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不受我中心的设定和掌控，另各道路结构层不同，施工完成量最终以实际养护维修面积为准。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（一）项目决策情况。</w:t>
      </w:r>
    </w:p>
    <w:p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/>
          <w:sz w:val="32"/>
          <w:szCs w:val="32"/>
        </w:rPr>
        <w:t>根据区交通委现已批准行政许可，以及各管线掘路施工方工程进度，及时修复掘路坑槽。</w:t>
      </w:r>
    </w:p>
    <w:p>
      <w:pPr>
        <w:numPr>
          <w:numId w:val="0"/>
        </w:num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项目过程情况。</w:t>
      </w:r>
    </w:p>
    <w:p>
      <w:pPr>
        <w:spacing w:line="360" w:lineRule="auto"/>
        <w:ind w:firstLine="64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202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ˎ̥" w:eastAsia="仿宋_GB2312"/>
          <w:sz w:val="32"/>
          <w:szCs w:val="32"/>
        </w:rPr>
        <w:t>年9月底前，由区交通委完成掘路需求征集、现场调研、工作动员；中心完成实施计划编制、资金测算等前期工作。</w:t>
      </w:r>
      <w:r>
        <w:rPr>
          <w:rFonts w:hint="eastAsia" w:ascii="仿宋" w:hAnsi="仿宋" w:eastAsia="仿宋"/>
          <w:sz w:val="32"/>
          <w:szCs w:val="32"/>
        </w:rPr>
        <w:t>根据行政许可及掘路方工程进度，及时对道路沟槽进行修复，在综合考虑道路的承载力、稳定性及沉降值后，再进行整体修复，提升道路通行能力及群众出行的舒适性，年度项目在</w:t>
      </w:r>
      <w:r>
        <w:rPr>
          <w:rFonts w:hint="eastAsia" w:ascii="仿宋_GB2312" w:hAnsi="ˎ̥" w:eastAsia="仿宋_GB2312"/>
          <w:sz w:val="32"/>
          <w:szCs w:val="32"/>
        </w:rPr>
        <w:t>202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ˎ̥" w:eastAsia="仿宋_GB2312"/>
          <w:sz w:val="32"/>
          <w:szCs w:val="32"/>
        </w:rPr>
        <w:t>年12月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份</w:t>
      </w:r>
      <w:r>
        <w:rPr>
          <w:rFonts w:hint="eastAsia" w:ascii="仿宋_GB2312" w:hAnsi="ˎ̥" w:eastAsia="仿宋_GB2312"/>
          <w:sz w:val="32"/>
          <w:szCs w:val="32"/>
        </w:rPr>
        <w:t>底完成。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预计</w:t>
      </w:r>
      <w:r>
        <w:rPr>
          <w:rFonts w:hint="eastAsia" w:ascii="仿宋_GB2312" w:hAnsi="ˎ̥" w:eastAsia="仿宋_GB2312"/>
          <w:sz w:val="32"/>
          <w:szCs w:val="32"/>
        </w:rPr>
        <w:t>202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ˎ̥" w:eastAsia="仿宋_GB2312"/>
          <w:sz w:val="32"/>
          <w:szCs w:val="32"/>
        </w:rPr>
        <w:t>年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ˎ̥" w:eastAsia="仿宋_GB2312"/>
          <w:sz w:val="32"/>
          <w:szCs w:val="32"/>
        </w:rPr>
        <w:t>月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份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完成</w:t>
      </w:r>
      <w:r>
        <w:rPr>
          <w:rFonts w:hint="eastAsia" w:ascii="仿宋_GB2312" w:hAnsi="ˎ̥" w:eastAsia="仿宋_GB2312"/>
          <w:sz w:val="32"/>
          <w:szCs w:val="32"/>
        </w:rPr>
        <w:t>竣工资料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编制，申请财政部门进行结算评审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项目产出情况。</w:t>
      </w:r>
    </w:p>
    <w:p>
      <w:pPr>
        <w:spacing w:line="360" w:lineRule="auto"/>
        <w:ind w:firstLine="640"/>
        <w:rPr>
          <w:rFonts w:hint="eastAsia" w:ascii="仿宋" w:hAnsi="仿宋" w:eastAsia="仿宋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1、数量指标：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color w:val="000000"/>
          <w:sz w:val="32"/>
          <w:szCs w:val="32"/>
        </w:rPr>
        <w:t>修复掘路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面积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54044.02</w:t>
      </w:r>
      <w:r>
        <w:rPr>
          <w:rFonts w:hint="eastAsia" w:ascii="仿宋" w:hAnsi="仿宋" w:eastAsia="仿宋"/>
          <w:color w:val="000000"/>
          <w:sz w:val="32"/>
          <w:szCs w:val="32"/>
        </w:rPr>
        <w:t>平米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。</w:t>
      </w:r>
    </w:p>
    <w:p>
      <w:pPr>
        <w:spacing w:line="360" w:lineRule="auto"/>
        <w:ind w:firstLine="64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2、质量指标：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满足</w:t>
      </w:r>
      <w:r>
        <w:rPr>
          <w:rFonts w:hint="eastAsia" w:ascii="仿宋" w:hAnsi="仿宋" w:eastAsia="仿宋"/>
          <w:sz w:val="32"/>
          <w:szCs w:val="32"/>
        </w:rPr>
        <w:t>《北京市城市道路挖掘回填技术规程》，修复工作符合国家及北京市行业规范标准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360" w:lineRule="auto"/>
        <w:ind w:firstLine="64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3、进度指标：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该项目已于2023年度完工，现正在进行</w:t>
      </w:r>
      <w:r>
        <w:rPr>
          <w:rFonts w:hint="eastAsia" w:ascii="仿宋_GB2312" w:hAnsi="ˎ̥" w:eastAsia="仿宋_GB2312"/>
          <w:sz w:val="32"/>
          <w:szCs w:val="32"/>
        </w:rPr>
        <w:t>竣工资料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编制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numPr>
          <w:numId w:val="0"/>
        </w:num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4、成本指标：</w:t>
      </w:r>
      <w:r>
        <w:rPr>
          <w:rFonts w:hint="eastAsia" w:ascii="仿宋" w:hAnsi="仿宋" w:eastAsia="仿宋" w:cs="宋体"/>
          <w:kern w:val="0"/>
          <w:sz w:val="32"/>
          <w:szCs w:val="32"/>
        </w:rPr>
        <w:t>结算金额14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,451,652</w:t>
      </w:r>
      <w:r>
        <w:rPr>
          <w:rFonts w:hint="eastAsia" w:ascii="仿宋" w:hAnsi="仿宋" w:eastAsia="仿宋" w:cs="宋体"/>
          <w:kern w:val="0"/>
          <w:sz w:val="32"/>
          <w:szCs w:val="32"/>
        </w:rPr>
        <w:t>.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83</w:t>
      </w:r>
      <w:r>
        <w:rPr>
          <w:rFonts w:hint="eastAsia" w:ascii="仿宋" w:hAnsi="仿宋" w:eastAsia="仿宋" w:cs="宋体"/>
          <w:kern w:val="0"/>
          <w:sz w:val="32"/>
          <w:szCs w:val="32"/>
        </w:rPr>
        <w:t>元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项目效益情况。</w:t>
      </w:r>
    </w:p>
    <w:p>
      <w:pPr>
        <w:numPr>
          <w:ilvl w:val="0"/>
          <w:numId w:val="0"/>
        </w:numPr>
        <w:spacing w:line="600" w:lineRule="exact"/>
        <w:ind w:leftChars="200" w:firstLine="640" w:firstLineChars="200"/>
        <w:outlineLvl w:val="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配合各类管线单位对地下管线的完善及改造，进一步改善了群众水电热气等日常生活基础设施，提升群众幸福感；及时修复掘路沟槽，保障道路安全畅通，提升群众出行的安全感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主要经验及做法、存在的问题及原因分析</w:t>
      </w:r>
    </w:p>
    <w:p>
      <w:pPr>
        <w:pStyle w:val="10"/>
        <w:tabs>
          <w:tab w:val="left" w:pos="0"/>
        </w:tabs>
        <w:ind w:firstLine="64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我中心为保障项目顺利开展，在施工前制定了切实可行的项目实施方案，</w:t>
      </w:r>
      <w:r>
        <w:rPr>
          <w:rFonts w:hint="eastAsia" w:ascii="仿宋_GB2312" w:eastAsia="仿宋_GB2312"/>
          <w:bCs/>
          <w:sz w:val="32"/>
          <w:szCs w:val="32"/>
        </w:rPr>
        <w:t>在运行成本上主要注重以下几点：</w:t>
      </w:r>
    </w:p>
    <w:p>
      <w:pPr>
        <w:spacing w:line="360" w:lineRule="auto"/>
        <w:ind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1）在立项阶段，注重项目内容按</w:t>
      </w:r>
      <w:r>
        <w:rPr>
          <w:rFonts w:hint="eastAsia" w:ascii="仿宋" w:hAnsi="仿宋" w:eastAsia="仿宋"/>
          <w:sz w:val="32"/>
          <w:szCs w:val="32"/>
        </w:rPr>
        <w:t>区交通委员会行政许可决定书编制，</w:t>
      </w:r>
      <w:r>
        <w:rPr>
          <w:rFonts w:ascii="仿宋_GB2312" w:eastAsia="仿宋_GB2312"/>
          <w:bCs/>
          <w:sz w:val="32"/>
          <w:szCs w:val="32"/>
        </w:rPr>
        <w:t>从技术上</w:t>
      </w:r>
      <w:r>
        <w:rPr>
          <w:rFonts w:hint="eastAsia" w:ascii="仿宋_GB2312" w:eastAsia="仿宋_GB2312"/>
          <w:bCs/>
          <w:sz w:val="32"/>
          <w:szCs w:val="32"/>
        </w:rPr>
        <w:t>按照《</w:t>
      </w:r>
      <w:r>
        <w:rPr>
          <w:rFonts w:hint="eastAsia" w:ascii="仿宋" w:hAnsi="仿宋" w:eastAsia="仿宋"/>
          <w:sz w:val="32"/>
          <w:szCs w:val="32"/>
        </w:rPr>
        <w:t>北京市城市道路挖掘回填技术规程</w:t>
      </w:r>
      <w:r>
        <w:rPr>
          <w:rFonts w:hint="eastAsia" w:ascii="仿宋_GB2312" w:eastAsia="仿宋_GB2312"/>
          <w:bCs/>
          <w:sz w:val="32"/>
          <w:szCs w:val="32"/>
        </w:rPr>
        <w:t>》</w:t>
      </w:r>
      <w:r>
        <w:rPr>
          <w:rFonts w:ascii="仿宋_GB2312" w:eastAsia="仿宋_GB2312"/>
          <w:bCs/>
          <w:sz w:val="32"/>
          <w:szCs w:val="32"/>
        </w:rPr>
        <w:t>，保证项目符合</w:t>
      </w:r>
      <w:r>
        <w:rPr>
          <w:rFonts w:hint="eastAsia" w:ascii="仿宋_GB2312" w:eastAsia="仿宋_GB2312"/>
          <w:bCs/>
          <w:sz w:val="32"/>
          <w:szCs w:val="32"/>
        </w:rPr>
        <w:t>相关行业标准</w:t>
      </w:r>
      <w:r>
        <w:rPr>
          <w:rFonts w:ascii="仿宋_GB2312" w:eastAsia="仿宋_GB2312"/>
          <w:bCs/>
          <w:sz w:val="32"/>
          <w:szCs w:val="32"/>
        </w:rPr>
        <w:t>。</w:t>
      </w:r>
    </w:p>
    <w:p>
      <w:pPr>
        <w:spacing w:line="360" w:lineRule="auto"/>
        <w:ind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2）以</w:t>
      </w:r>
      <w:r>
        <w:rPr>
          <w:rFonts w:hint="eastAsia" w:ascii="仿宋_GB2312" w:eastAsia="仿宋_GB2312"/>
          <w:bCs/>
          <w:sz w:val="32"/>
          <w:szCs w:val="32"/>
        </w:rPr>
        <w:t>行政许可决定</w:t>
      </w:r>
      <w:r>
        <w:rPr>
          <w:rFonts w:ascii="仿宋_GB2312" w:eastAsia="仿宋_GB2312"/>
          <w:bCs/>
          <w:sz w:val="32"/>
          <w:szCs w:val="32"/>
        </w:rPr>
        <w:t>为</w:t>
      </w:r>
      <w:r>
        <w:rPr>
          <w:rFonts w:hint="eastAsia" w:ascii="仿宋_GB2312" w:eastAsia="仿宋_GB2312"/>
          <w:bCs/>
          <w:sz w:val="32"/>
          <w:szCs w:val="32"/>
        </w:rPr>
        <w:t>项目实施</w:t>
      </w:r>
      <w:r>
        <w:rPr>
          <w:rFonts w:ascii="仿宋_GB2312" w:eastAsia="仿宋_GB2312"/>
          <w:bCs/>
          <w:sz w:val="32"/>
          <w:szCs w:val="32"/>
        </w:rPr>
        <w:t>的主要依据，有效控制</w:t>
      </w:r>
      <w:r>
        <w:rPr>
          <w:rFonts w:hint="eastAsia" w:ascii="仿宋_GB2312" w:eastAsia="仿宋_GB2312"/>
          <w:bCs/>
          <w:sz w:val="32"/>
          <w:szCs w:val="32"/>
        </w:rPr>
        <w:t>成本，不超出预算资金</w:t>
      </w:r>
      <w:r>
        <w:rPr>
          <w:rFonts w:ascii="仿宋_GB2312" w:eastAsia="仿宋_GB2312"/>
          <w:bCs/>
          <w:sz w:val="32"/>
          <w:szCs w:val="32"/>
        </w:rPr>
        <w:t>。</w:t>
      </w:r>
    </w:p>
    <w:p>
      <w:pPr>
        <w:spacing w:line="360" w:lineRule="auto"/>
        <w:ind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3）工程建设成本为主要的成本支出，工程造价按规定计算工程量、合理套用定额及取费标准且设备、材料采购符合设计要求。</w:t>
      </w:r>
    </w:p>
    <w:p>
      <w:pPr>
        <w:pStyle w:val="10"/>
        <w:tabs>
          <w:tab w:val="left" w:pos="0"/>
        </w:tabs>
        <w:ind w:firstLine="640"/>
        <w:rPr>
          <w:rFonts w:ascii="仿宋_GB2312" w:eastAsia="仿宋_GB2312"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bCs/>
          <w:sz w:val="32"/>
          <w:szCs w:val="32"/>
        </w:rPr>
        <w:t xml:space="preserve">针对成本控制这一关键环节， </w:t>
      </w:r>
      <w:r>
        <w:rPr>
          <w:rFonts w:ascii="仿宋_GB2312" w:eastAsia="仿宋_GB2312"/>
          <w:bCs/>
          <w:sz w:val="32"/>
          <w:szCs w:val="32"/>
        </w:rPr>
        <w:t>本项目从组织、技术、质量等方面采取措施。</w:t>
      </w:r>
    </w:p>
    <w:p>
      <w:pPr>
        <w:spacing w:line="360" w:lineRule="auto"/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1）组织措施：</w:t>
      </w:r>
      <w:r>
        <w:rPr>
          <w:rFonts w:hint="eastAsia" w:ascii="仿宋_GB2312" w:eastAsia="仿宋_GB2312"/>
          <w:bCs/>
          <w:sz w:val="32"/>
          <w:szCs w:val="32"/>
        </w:rPr>
        <w:t>中心</w:t>
      </w:r>
      <w:r>
        <w:rPr>
          <w:rFonts w:hint="eastAsia" w:ascii="仿宋" w:hAnsi="仿宋" w:eastAsia="仿宋"/>
          <w:sz w:val="32"/>
          <w:szCs w:val="32"/>
        </w:rPr>
        <w:t>内部建立了《掘路监管制度》、《施工安全管理制度》等相关规章制度，并严格执行落实。项目实施过程中，管理组负责任务安排、监控实施进度以及完成量的统计等具体工作；工程组负责技术控制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计划组负责</w:t>
      </w:r>
      <w:r>
        <w:rPr>
          <w:rFonts w:hint="eastAsia" w:ascii="仿宋" w:hAnsi="仿宋" w:eastAsia="仿宋"/>
          <w:sz w:val="32"/>
          <w:szCs w:val="32"/>
        </w:rPr>
        <w:t>预决算编制；质检组负责施工质量、安全和环保控制；材料组负责物资储备、供应等；财务组负责资金收支与使用。</w:t>
      </w:r>
    </w:p>
    <w:p>
      <w:pPr>
        <w:spacing w:line="360" w:lineRule="auto"/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2）技术措施：</w:t>
      </w:r>
      <w:r>
        <w:rPr>
          <w:rFonts w:hint="eastAsia" w:ascii="仿宋" w:hAnsi="仿宋" w:eastAsia="仿宋"/>
          <w:sz w:val="32"/>
          <w:szCs w:val="32"/>
        </w:rPr>
        <w:t>项目开工前对所有人员进行安全教育、纪律教育及生产技能培训，对特种作业人员及机械操作人员严格做到持证上岗；对所有施工机械设备进行检测检修，确保施工安全。在施工过程中加强安全文明施工管理，严格执行安全文明施工管理有关规范及标准，避免施工扬尘污染、交通拥堵等，减少施工给市民出行造成的不便。</w:t>
      </w:r>
    </w:p>
    <w:p>
      <w:pPr>
        <w:spacing w:line="360" w:lineRule="auto"/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3）质量管理：在项目施工过程中严把质量关，质量检查人员定点、定岗、定责，使质量管理工作贯穿于项目的全过程中。</w:t>
      </w:r>
      <w:r>
        <w:rPr>
          <w:rFonts w:hint="eastAsia" w:ascii="仿宋" w:hAnsi="仿宋" w:eastAsia="仿宋"/>
          <w:sz w:val="32"/>
          <w:szCs w:val="32"/>
        </w:rPr>
        <w:t>整体修复道路，减少路面沟槽修复痕迹，充分发挥城市道路功能，维护市容环境，提升城市整体形象。</w:t>
      </w:r>
    </w:p>
    <w:p>
      <w:pPr>
        <w:spacing w:line="360" w:lineRule="auto"/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4）</w:t>
      </w:r>
      <w:r>
        <w:rPr>
          <w:rFonts w:hint="eastAsia" w:ascii="仿宋_GB2312" w:eastAsia="仿宋_GB2312"/>
          <w:bCs/>
          <w:sz w:val="32"/>
          <w:szCs w:val="32"/>
        </w:rPr>
        <w:t>验收管理：</w:t>
      </w:r>
      <w:r>
        <w:rPr>
          <w:rFonts w:hint="eastAsia" w:ascii="仿宋" w:hAnsi="仿宋" w:eastAsia="仿宋"/>
          <w:sz w:val="32"/>
          <w:szCs w:val="32"/>
        </w:rPr>
        <w:t>项目完成后，区交通委组织进行竣工验收，后续进行结算编制等资料整理汇总工作。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并</w:t>
      </w:r>
      <w:r>
        <w:rPr>
          <w:rFonts w:hint="eastAsia" w:ascii="仿宋" w:hAnsi="仿宋" w:eastAsia="仿宋"/>
          <w:sz w:val="32"/>
          <w:szCs w:val="32"/>
        </w:rPr>
        <w:t>按照财政资金使用要求，项目严格按照财务管理制度及专项资金管理制度执行。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通过本</w:t>
      </w:r>
      <w:r>
        <w:rPr>
          <w:rFonts w:ascii="仿宋_GB2312" w:eastAsia="仿宋_GB2312"/>
          <w:bCs/>
          <w:sz w:val="32"/>
          <w:szCs w:val="32"/>
        </w:rPr>
        <w:t>项目的实施，将</w:t>
      </w:r>
      <w:r>
        <w:rPr>
          <w:rFonts w:hint="eastAsia" w:ascii="仿宋_GB2312" w:eastAsia="仿宋_GB2312"/>
          <w:bCs/>
          <w:sz w:val="32"/>
          <w:szCs w:val="32"/>
        </w:rPr>
        <w:t>有效节约</w:t>
      </w:r>
      <w:r>
        <w:rPr>
          <w:rFonts w:ascii="仿宋_GB2312" w:eastAsia="仿宋_GB2312"/>
          <w:bCs/>
          <w:sz w:val="32"/>
          <w:szCs w:val="32"/>
        </w:rPr>
        <w:t>出行时间，</w:t>
      </w:r>
      <w:r>
        <w:rPr>
          <w:rFonts w:hint="eastAsia" w:ascii="仿宋_GB2312" w:eastAsia="仿宋_GB2312"/>
          <w:bCs/>
          <w:sz w:val="32"/>
          <w:szCs w:val="32"/>
        </w:rPr>
        <w:t>避免安全隐患</w:t>
      </w:r>
      <w:r>
        <w:rPr>
          <w:rFonts w:ascii="仿宋_GB2312" w:eastAsia="仿宋_GB2312"/>
          <w:bCs/>
          <w:sz w:val="32"/>
          <w:szCs w:val="32"/>
        </w:rPr>
        <w:t>，同时</w:t>
      </w:r>
      <w:r>
        <w:rPr>
          <w:rFonts w:hint="eastAsia" w:ascii="仿宋_GB2312" w:eastAsia="仿宋_GB2312"/>
          <w:bCs/>
          <w:sz w:val="32"/>
          <w:szCs w:val="32"/>
        </w:rPr>
        <w:t>起到</w:t>
      </w:r>
      <w:r>
        <w:rPr>
          <w:rFonts w:ascii="仿宋_GB2312" w:eastAsia="仿宋_GB2312"/>
          <w:bCs/>
          <w:sz w:val="32"/>
          <w:szCs w:val="32"/>
        </w:rPr>
        <w:t>优化城市环境，</w:t>
      </w:r>
      <w:r>
        <w:rPr>
          <w:rFonts w:hint="eastAsia" w:ascii="仿宋_GB2312" w:eastAsia="仿宋_GB2312"/>
          <w:bCs/>
          <w:sz w:val="32"/>
          <w:szCs w:val="32"/>
        </w:rPr>
        <w:t>提升</w:t>
      </w:r>
      <w:r>
        <w:rPr>
          <w:rFonts w:ascii="仿宋_GB2312" w:eastAsia="仿宋_GB2312"/>
          <w:bCs/>
          <w:sz w:val="32"/>
          <w:szCs w:val="32"/>
        </w:rPr>
        <w:t>出行品质的作用。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有关建议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无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其他需要说明的问题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7476C6"/>
    <w:multiLevelType w:val="singleLevel"/>
    <w:tmpl w:val="977476C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6F8CD24"/>
    <w:multiLevelType w:val="singleLevel"/>
    <w:tmpl w:val="F6F8CD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225030E"/>
    <w:multiLevelType w:val="singleLevel"/>
    <w:tmpl w:val="122503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liZmVhYzIzMTRjYmQ4MjdiOWRiZDg2MjJhM2IifQ=="/>
  </w:docVars>
  <w:rsids>
    <w:rsidRoot w:val="F77F09F4"/>
    <w:rsid w:val="000A27AF"/>
    <w:rsid w:val="00161C76"/>
    <w:rsid w:val="005678A8"/>
    <w:rsid w:val="00B40A65"/>
    <w:rsid w:val="00BB3BDA"/>
    <w:rsid w:val="00D33560"/>
    <w:rsid w:val="00F84B2A"/>
    <w:rsid w:val="0D2072BE"/>
    <w:rsid w:val="1F836B81"/>
    <w:rsid w:val="34CD249C"/>
    <w:rsid w:val="37173543"/>
    <w:rsid w:val="3FF76880"/>
    <w:rsid w:val="43744EF9"/>
    <w:rsid w:val="50290C58"/>
    <w:rsid w:val="5C073259"/>
    <w:rsid w:val="71AE6998"/>
    <w:rsid w:val="73BD6240"/>
    <w:rsid w:val="79A304E1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4"/>
    <w:basedOn w:val="1"/>
    <w:next w:val="1"/>
    <w:link w:val="9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9">
    <w:name w:val="标题 4 Char"/>
    <w:link w:val="3"/>
    <w:autoRedefine/>
    <w:qFormat/>
    <w:locked/>
    <w:uiPriority w:val="99"/>
    <w:rPr>
      <w:rFonts w:ascii="Cambria" w:hAnsi="Cambria"/>
      <w:b/>
      <w:bCs/>
      <w:kern w:val="0"/>
      <w:sz w:val="28"/>
      <w:szCs w:val="28"/>
    </w:rPr>
  </w:style>
  <w:style w:type="paragraph" w:styleId="10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257</Characters>
  <Lines>2</Lines>
  <Paragraphs>1</Paragraphs>
  <TotalTime>1</TotalTime>
  <ScaleCrop>false</ScaleCrop>
  <LinksUpToDate>false</LinksUpToDate>
  <CharactersWithSpaces>301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大头鱼</cp:lastModifiedBy>
  <cp:lastPrinted>2024-02-27T08:26:00Z</cp:lastPrinted>
  <dcterms:modified xsi:type="dcterms:W3CDTF">2024-03-21T06:17:32Z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364C90525D1B442A966130966D264FA7_12</vt:lpwstr>
  </property>
</Properties>
</file>