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ascii="宋体" w:hAnsi="宋体" w:eastAsia="宋体" w:cs="Times New Roman"/>
          <w:b/>
          <w:sz w:val="44"/>
        </w:rPr>
      </w:pPr>
      <w:r>
        <w:rPr>
          <w:rFonts w:hint="eastAsia" w:ascii="宋体" w:hAnsi="宋体" w:eastAsia="宋体" w:cs="Times New Roman"/>
          <w:b/>
          <w:sz w:val="44"/>
        </w:rPr>
        <w:t>1</w:t>
      </w:r>
      <w:r>
        <w:rPr>
          <w:rFonts w:ascii="宋体" w:hAnsi="宋体" w:eastAsia="宋体" w:cs="Times New Roman"/>
          <w:b/>
          <w:sz w:val="44"/>
        </w:rPr>
        <w:t>-8</w:t>
      </w:r>
      <w:r>
        <w:rPr>
          <w:rFonts w:hint="eastAsia" w:ascii="宋体" w:hAnsi="宋体" w:eastAsia="宋体" w:cs="Times New Roman"/>
          <w:b/>
          <w:sz w:val="44"/>
        </w:rPr>
        <w:t>月</w:t>
      </w:r>
      <w:r>
        <w:rPr>
          <w:rFonts w:ascii="宋体" w:hAnsi="宋体" w:eastAsia="宋体" w:cs="Times New Roman"/>
          <w:b/>
          <w:sz w:val="44"/>
        </w:rPr>
        <w:t>朝阳区</w:t>
      </w:r>
      <w:r>
        <w:rPr>
          <w:rFonts w:hint="eastAsia" w:ascii="宋体" w:hAnsi="宋体" w:eastAsia="宋体" w:cs="Times New Roman"/>
          <w:b/>
          <w:sz w:val="44"/>
        </w:rPr>
        <w:t>消费品市场稳步向好</w:t>
      </w:r>
    </w:p>
    <w:p>
      <w:pPr>
        <w:spacing w:line="480" w:lineRule="auto"/>
        <w:jc w:val="center"/>
        <w:rPr>
          <w:rFonts w:ascii="宋体" w:hAnsi="宋体" w:eastAsia="宋体" w:cs="Times New Roman"/>
          <w:b/>
          <w:sz w:val="4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年初以来，面对突如其来的新冠肺炎疫情，朝阳区消费品市场低位开局，百货零售和餐饮等线下实体商业受到严重冲击，汽车、家电等非必需品零售额增长乏力</w:t>
      </w:r>
      <w:r>
        <w:rPr>
          <w:rFonts w:hint="eastAsia" w:asciiTheme="minorEastAsia" w:hAnsi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但随着国内疫情形势逐渐得到控制，线上线下消费市场逐步恢复，加之政企联动推进各项促消费政策，朝阳区消费品市场呈现持续回暖走势，1-8月，朝阳区社会消费品零售额增速首次高于全市。</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一、社会消费品零售额降幅持续收窄</w:t>
      </w:r>
    </w:p>
    <w:p>
      <w:pPr>
        <w:widowControl/>
        <w:spacing w:line="48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1-8月，朝阳区实现社会消费品零售额1948.3亿元，同比下降13.8%，降幅较1-7月收窄1.9个百分点。其中，实现商品零售1813.6亿元，同比下降10.4%；实现餐饮收入134.7亿元，同比下降42.4%。</w:t>
      </w:r>
    </w:p>
    <w:p>
      <w:pPr>
        <w:spacing w:line="480" w:lineRule="auto"/>
        <w:jc w:val="center"/>
        <w:rPr>
          <w:rFonts w:asciiTheme="minorEastAsia" w:hAnsiTheme="minorEastAsia"/>
          <w:b/>
          <w:sz w:val="28"/>
          <w:szCs w:val="28"/>
        </w:rPr>
      </w:pPr>
      <w:r>
        <w:rPr>
          <w:rFonts w:hint="eastAsia" w:asciiTheme="minorEastAsia" w:hAnsiTheme="minorEastAsia"/>
          <w:b/>
          <w:sz w:val="28"/>
          <w:szCs w:val="28"/>
        </w:rPr>
        <w:t>图 20</w:t>
      </w:r>
      <w:r>
        <w:rPr>
          <w:rFonts w:asciiTheme="minorEastAsia" w:hAnsiTheme="minorEastAsia"/>
          <w:b/>
          <w:sz w:val="28"/>
          <w:szCs w:val="28"/>
        </w:rPr>
        <w:t>19-2020</w:t>
      </w:r>
      <w:r>
        <w:rPr>
          <w:rFonts w:hint="eastAsia" w:asciiTheme="minorEastAsia" w:hAnsiTheme="minorEastAsia"/>
          <w:b/>
          <w:sz w:val="28"/>
          <w:szCs w:val="28"/>
        </w:rPr>
        <w:t>年朝阳</w:t>
      </w:r>
      <w:r>
        <w:rPr>
          <w:rFonts w:asciiTheme="minorEastAsia" w:hAnsiTheme="minorEastAsia"/>
          <w:b/>
          <w:sz w:val="28"/>
          <w:szCs w:val="28"/>
        </w:rPr>
        <w:t>区</w:t>
      </w:r>
      <w:r>
        <w:rPr>
          <w:rFonts w:hint="eastAsia" w:asciiTheme="minorEastAsia" w:hAnsiTheme="minorEastAsia"/>
          <w:b/>
          <w:sz w:val="28"/>
          <w:szCs w:val="28"/>
        </w:rPr>
        <w:t>消费品市场走势</w:t>
      </w:r>
    </w:p>
    <w:p>
      <w:pPr>
        <w:keepNext w:val="0"/>
        <w:keepLines w:val="0"/>
        <w:pageBreakBefore w:val="0"/>
        <w:widowControl/>
        <w:kinsoku/>
        <w:wordWrap/>
        <w:overflowPunct/>
        <w:topLinePunct w:val="0"/>
        <w:autoSpaceDE/>
        <w:autoSpaceDN/>
        <w:bidi w:val="0"/>
        <w:adjustRightInd w:val="0"/>
        <w:snapToGrid/>
        <w:spacing w:line="240" w:lineRule="auto"/>
        <w:ind w:left="0" w:leftChars="0" w:right="108" w:rightChars="0" w:firstLine="0" w:firstLineChars="0"/>
        <w:jc w:val="right"/>
        <w:textAlignment w:val="auto"/>
        <w:outlineLvl w:val="9"/>
        <w:rPr>
          <w:rFonts w:asciiTheme="minorEastAsia" w:hAnsiTheme="minorEastAsia"/>
          <w:bCs/>
          <w:sz w:val="24"/>
          <w:szCs w:val="28"/>
        </w:rPr>
      </w:pPr>
      <w:r>
        <w:rPr>
          <w:rFonts w:hint="eastAsia" w:asciiTheme="minorEastAsia" w:hAnsiTheme="minorEastAsia"/>
          <w:bCs/>
          <w:sz w:val="24"/>
          <w:szCs w:val="28"/>
        </w:rPr>
        <w:t>单位</w:t>
      </w:r>
      <w:r>
        <w:rPr>
          <w:rFonts w:asciiTheme="minorEastAsia" w:hAnsiTheme="minorEastAsia"/>
          <w:bCs/>
          <w:sz w:val="24"/>
          <w:szCs w:val="28"/>
        </w:rPr>
        <w:t>：%</w:t>
      </w:r>
    </w:p>
    <w:p>
      <w:pPr>
        <w:spacing w:line="480" w:lineRule="auto"/>
        <w:rPr>
          <w:rFonts w:cs="Times New Roman" w:asciiTheme="minorEastAsia" w:hAnsiTheme="minorEastAsia"/>
          <w:b/>
          <w:sz w:val="28"/>
          <w:szCs w:val="28"/>
        </w:rPr>
      </w:pPr>
      <w:r>
        <w:drawing>
          <wp:inline distT="0" distB="0" distL="0" distR="0">
            <wp:extent cx="5685155" cy="2962910"/>
            <wp:effectExtent l="0" t="0" r="14605" b="88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kinsoku/>
        <w:wordWrap/>
        <w:overflowPunct/>
        <w:topLinePunct w:val="0"/>
        <w:autoSpaceDE/>
        <w:autoSpaceDN/>
        <w:bidi w:val="0"/>
        <w:adjustRightInd w:val="0"/>
        <w:snapToGrid/>
        <w:spacing w:line="48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二、重点行业整体运行趋势向好</w:t>
      </w:r>
    </w:p>
    <w:p>
      <w:pPr>
        <w:keepNext w:val="0"/>
        <w:keepLines w:val="0"/>
        <w:pageBreakBefore w:val="0"/>
        <w:widowControl/>
        <w:kinsoku/>
        <w:wordWrap/>
        <w:overflowPunct/>
        <w:topLinePunct w:val="0"/>
        <w:autoSpaceDE/>
        <w:autoSpaceDN/>
        <w:bidi w:val="0"/>
        <w:adjustRightInd w:val="0"/>
        <w:snapToGrid/>
        <w:spacing w:line="48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-8月，朝阳区消费品市场总量占比前六位的汽车及配件、家用电器及电子产品、综合零售、互联网零售、餐饮和石油及制品业共实现零售额1264.2亿元，同比下降6.7%，降幅较1-7月收窄2.7个百分点，占全区零售额的比重为64.9%。</w:t>
      </w:r>
    </w:p>
    <w:p>
      <w:pPr>
        <w:keepNext w:val="0"/>
        <w:keepLines w:val="0"/>
        <w:pageBreakBefore w:val="0"/>
        <w:widowControl/>
        <w:kinsoku/>
        <w:wordWrap/>
        <w:overflowPunct/>
        <w:topLinePunct w:val="0"/>
        <w:autoSpaceDE/>
        <w:autoSpaceDN/>
        <w:bidi w:val="0"/>
        <w:adjustRightInd w:val="0"/>
        <w:snapToGrid/>
        <w:spacing w:line="48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从各行业运行情况看，随着疫情形势逐渐缓解，汽车市场消费信心趋于增强，前期积压的消费需求有所释放，加之去年同期基数压力逐渐减弱，汽车行业实现零售额340.4亿元，同比下降19.8%，降幅较1-7月收窄4.1个百分点，下拉全区零售额增速3.7个百分点。家用电器及电子产品业零售额增速提升，实现零售额369.3亿元，同比增长32.2%，增速较1-7月提升1.5个百分点，拉动零售额增长4.0个百分点。受龙头企业“华联SKP”七夕促销活动效果好于去年影响，综合零售业实现零售额245.0亿元，同比下降5.1%，降幅较1-7月收窄4.4个百分点，下拉零售额增速0.6个百分点。互联网零售业增速回落</w:t>
      </w:r>
      <w:r>
        <w:rPr>
          <w:rFonts w:hint="eastAsia" w:asciiTheme="minorEastAsia" w:hAnsi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实现零售额176.8亿元，同比增长1.9%，增速较1-7月回落0.5个百分点，拉动零售额增长0.1个百分点。餐饮业和石油及制品业分别实现零售额81.6亿元和51.1亿元，同比</w:t>
      </w:r>
      <w:r>
        <w:rPr>
          <w:rFonts w:hint="eastAsia" w:asciiTheme="minorEastAsia" w:hAnsiTheme="minorEastAsia" w:cstheme="minorEastAsia"/>
          <w:kern w:val="0"/>
          <w:sz w:val="28"/>
          <w:szCs w:val="28"/>
          <w:lang w:eastAsia="zh-CN"/>
        </w:rPr>
        <w:t>分别</w:t>
      </w:r>
      <w:r>
        <w:rPr>
          <w:rFonts w:hint="eastAsia" w:asciiTheme="minorEastAsia" w:hAnsiTheme="minorEastAsia" w:eastAsiaTheme="minorEastAsia" w:cstheme="minorEastAsia"/>
          <w:kern w:val="0"/>
          <w:sz w:val="28"/>
          <w:szCs w:val="28"/>
        </w:rPr>
        <w:t>下降41.3%和36.5%，降幅较1-7月</w:t>
      </w:r>
      <w:r>
        <w:rPr>
          <w:rFonts w:hint="eastAsia" w:asciiTheme="minorEastAsia" w:hAnsiTheme="minorEastAsia" w:cstheme="minorEastAsia"/>
          <w:kern w:val="0"/>
          <w:sz w:val="28"/>
          <w:szCs w:val="28"/>
          <w:lang w:eastAsia="zh-CN"/>
        </w:rPr>
        <w:t>分别</w:t>
      </w:r>
      <w:r>
        <w:rPr>
          <w:rFonts w:hint="eastAsia" w:asciiTheme="minorEastAsia" w:hAnsiTheme="minorEastAsia" w:eastAsiaTheme="minorEastAsia" w:cstheme="minorEastAsia"/>
          <w:kern w:val="0"/>
          <w:sz w:val="28"/>
          <w:szCs w:val="28"/>
        </w:rPr>
        <w:t>收窄3.5个和2.3个百分点，</w:t>
      </w:r>
      <w:r>
        <w:rPr>
          <w:rFonts w:hint="eastAsia" w:asciiTheme="minorEastAsia" w:hAnsiTheme="minorEastAsia" w:cstheme="minorEastAsia"/>
          <w:kern w:val="0"/>
          <w:sz w:val="28"/>
          <w:szCs w:val="28"/>
          <w:lang w:eastAsia="zh-CN"/>
        </w:rPr>
        <w:t>分别</w:t>
      </w:r>
      <w:r>
        <w:rPr>
          <w:rFonts w:hint="eastAsia" w:asciiTheme="minorEastAsia" w:hAnsiTheme="minorEastAsia" w:eastAsiaTheme="minorEastAsia" w:cstheme="minorEastAsia"/>
          <w:kern w:val="0"/>
          <w:sz w:val="28"/>
          <w:szCs w:val="28"/>
        </w:rPr>
        <w:t>下拉零售额增速2.5个和1.3个百分点。</w:t>
      </w:r>
    </w:p>
    <w:p>
      <w:pPr>
        <w:keepNext w:val="0"/>
        <w:keepLines w:val="0"/>
        <w:pageBreakBefore w:val="0"/>
        <w:kinsoku/>
        <w:wordWrap/>
        <w:overflowPunct/>
        <w:topLinePunct w:val="0"/>
        <w:autoSpaceDE/>
        <w:autoSpaceDN/>
        <w:bidi w:val="0"/>
        <w:adjustRightInd w:val="0"/>
        <w:snapToGrid/>
        <w:spacing w:line="48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三、朝阳区消费品市场与全市对比情况</w:t>
      </w:r>
    </w:p>
    <w:p>
      <w:pPr>
        <w:keepNext w:val="0"/>
        <w:keepLines w:val="0"/>
        <w:pageBreakBefore w:val="0"/>
        <w:kinsoku/>
        <w:wordWrap/>
        <w:overflowPunct/>
        <w:topLinePunct w:val="0"/>
        <w:autoSpaceDE/>
        <w:autoSpaceDN/>
        <w:bidi w:val="0"/>
        <w:adjustRightInd w:val="0"/>
        <w:snapToGrid/>
        <w:spacing w:line="480" w:lineRule="auto"/>
        <w:ind w:left="0" w:leftChars="0" w:right="0" w:rightChars="0" w:firstLine="562" w:firstLineChars="2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sz w:val="28"/>
          <w:szCs w:val="28"/>
        </w:rPr>
        <w:t>（一）零售额增速高于全市平均</w:t>
      </w:r>
    </w:p>
    <w:p>
      <w:pPr>
        <w:keepNext w:val="0"/>
        <w:keepLines w:val="0"/>
        <w:pageBreakBefore w:val="0"/>
        <w:widowControl/>
        <w:kinsoku/>
        <w:wordWrap/>
        <w:overflowPunct/>
        <w:topLinePunct w:val="0"/>
        <w:autoSpaceDE/>
        <w:autoSpaceDN/>
        <w:bidi w:val="0"/>
        <w:adjustRightInd w:val="0"/>
        <w:snapToGrid/>
        <w:spacing w:line="48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4月以来，朝阳区社会消费品零售额增速与全市的差距逐月缩小</w:t>
      </w:r>
      <w:r>
        <w:rPr>
          <w:rFonts w:hint="eastAsia" w:asciiTheme="minorEastAsia" w:hAnsi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1-8月，零售额增速近年来首次超过全市平均水平。全市实现社会消费品零售额8150.4亿元，同比下降14.1%，降幅较1-7月收窄1.5个百分点。朝阳区社会消费品零售额占全市的比重为23.9%，总量位居全市首位，增速高于全市平均增速0.3个百分点。</w:t>
      </w:r>
    </w:p>
    <w:p>
      <w:pPr>
        <w:keepNext w:val="0"/>
        <w:keepLines w:val="0"/>
        <w:pageBreakBefore w:val="0"/>
        <w:kinsoku/>
        <w:wordWrap/>
        <w:overflowPunct/>
        <w:topLinePunct w:val="0"/>
        <w:autoSpaceDE/>
        <w:autoSpaceDN/>
        <w:bidi w:val="0"/>
        <w:adjustRightInd w:val="0"/>
        <w:snapToGrid/>
        <w:spacing w:line="480" w:lineRule="auto"/>
        <w:ind w:left="0" w:leftChars="0" w:right="0" w:rightChars="0" w:firstLine="562" w:firstLineChars="2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sz w:val="28"/>
          <w:szCs w:val="28"/>
        </w:rPr>
        <w:t>（二）网上零售额增速不及全市</w:t>
      </w:r>
    </w:p>
    <w:p>
      <w:pPr>
        <w:keepNext w:val="0"/>
        <w:keepLines w:val="0"/>
        <w:pageBreakBefore w:val="0"/>
        <w:widowControl/>
        <w:kinsoku/>
        <w:wordWrap/>
        <w:overflowPunct/>
        <w:topLinePunct w:val="0"/>
        <w:autoSpaceDE/>
        <w:autoSpaceDN/>
        <w:bidi w:val="0"/>
        <w:adjustRightInd w:val="0"/>
        <w:snapToGrid/>
        <w:spacing w:line="48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从消费渠道看，朝阳区网上零售额保持较好增势，但低于全市平均增速。1-8月，朝阳区限额以上批发和零售业、住宿和餐饮业实现网上零售额589.1亿元，同比增长24.5%，增速与1-7月持平，低于全市网上零售额平均增速2.3个百分点</w:t>
      </w:r>
      <w:r>
        <w:rPr>
          <w:rFonts w:hint="eastAsia" w:asciiTheme="minorEastAsia" w:hAnsi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占全区零售额的比重为30.2%</w:t>
      </w:r>
      <w:r>
        <w:rPr>
          <w:rFonts w:hint="eastAsia" w:asciiTheme="minorEastAsia" w:hAnsiTheme="minorEastAsia" w:cstheme="minorEastAsia"/>
          <w:kern w:val="0"/>
          <w:sz w:val="28"/>
          <w:szCs w:val="28"/>
          <w:lang w:eastAsia="zh-CN"/>
        </w:rPr>
        <w:t>。</w:t>
      </w:r>
    </w:p>
    <w:p>
      <w:pPr>
        <w:spacing w:line="360" w:lineRule="auto"/>
        <w:rPr>
          <w:rFonts w:ascii="宋体" w:hAnsi="宋体" w:eastAsia="宋体" w:cs="宋体"/>
          <w:kern w:val="0"/>
          <w:sz w:val="28"/>
          <w:szCs w:val="28"/>
        </w:rPr>
      </w:pPr>
    </w:p>
    <w:p>
      <w:pPr>
        <w:spacing w:line="360" w:lineRule="auto"/>
        <w:rPr>
          <w:rFonts w:ascii="仿宋_GB2312" w:eastAsia="仿宋_GB2312" w:hAnsiTheme="minorEastAsia"/>
          <w:sz w:val="24"/>
          <w:szCs w:val="24"/>
        </w:rPr>
      </w:pPr>
      <w:r>
        <w:rPr>
          <w:rFonts w:hint="eastAsia" w:ascii="仿宋_GB2312" w:eastAsia="仿宋_GB2312" w:hAnsiTheme="minorEastAsia"/>
          <w:sz w:val="24"/>
          <w:szCs w:val="24"/>
        </w:rPr>
        <w:t>注:1.北京市统计局根据第四次全国经济普查结果及国家统计局反馈北京市社会消费品零售总额数据,对全市各区县2019年社会消费品零售额进行了修订，2020年月度增速按照可比口径计算。</w:t>
      </w:r>
    </w:p>
    <w:p>
      <w:pPr>
        <w:spacing w:line="360" w:lineRule="auto"/>
        <w:ind w:firstLine="360" w:firstLineChars="150"/>
        <w:rPr>
          <w:rFonts w:ascii="仿宋_GB2312" w:eastAsia="仿宋_GB2312" w:hAnsiTheme="minorEastAsia"/>
          <w:sz w:val="24"/>
          <w:szCs w:val="24"/>
        </w:rPr>
      </w:pPr>
      <w:r>
        <w:rPr>
          <w:rFonts w:ascii="仿宋_GB2312" w:eastAsia="仿宋_GB2312" w:hAnsiTheme="minorEastAsia"/>
          <w:sz w:val="24"/>
          <w:szCs w:val="24"/>
        </w:rPr>
        <w:t>2.</w:t>
      </w:r>
      <w:r>
        <w:rPr>
          <w:rFonts w:hint="eastAsia" w:ascii="仿宋_GB2312" w:eastAsia="仿宋_GB2312" w:hAnsiTheme="minorEastAsia"/>
          <w:sz w:val="24"/>
          <w:szCs w:val="24"/>
        </w:rPr>
        <w:t>若文中出现分项相加不等于合计，皆因四舍五入所致。</w:t>
      </w:r>
    </w:p>
    <w:p>
      <w:pPr>
        <w:spacing w:line="360" w:lineRule="auto"/>
        <w:ind w:firstLine="360" w:firstLineChars="150"/>
        <w:rPr>
          <w:rFonts w:ascii="仿宋_GB2312" w:eastAsia="仿宋_GB2312" w:hAnsiTheme="minorEastAsia"/>
          <w:sz w:val="24"/>
          <w:szCs w:val="24"/>
        </w:rPr>
      </w:pPr>
      <w:r>
        <w:rPr>
          <w:rFonts w:hint="eastAsia" w:ascii="仿宋_GB2312" w:eastAsia="仿宋_GB2312" w:hAnsiTheme="minorEastAsia"/>
          <w:sz w:val="24"/>
          <w:szCs w:val="24"/>
        </w:rPr>
        <w:t>3.互联网零售业实现的零售额仅指国民经济行业分类为“5292互联网零售”的企业实现的零售额。</w:t>
      </w:r>
    </w:p>
    <w:p>
      <w:pPr>
        <w:spacing w:line="360" w:lineRule="auto"/>
        <w:ind w:firstLine="360" w:firstLineChars="150"/>
        <w:rPr>
          <w:rFonts w:ascii="仿宋_GB2312" w:eastAsia="仿宋_GB2312" w:hAnsiTheme="minorEastAsia"/>
          <w:sz w:val="24"/>
          <w:szCs w:val="24"/>
        </w:rPr>
      </w:pPr>
      <w:r>
        <w:rPr>
          <w:rFonts w:ascii="仿宋_GB2312" w:eastAsia="仿宋_GB2312" w:hAnsiTheme="minorEastAsia"/>
          <w:sz w:val="24"/>
          <w:szCs w:val="24"/>
        </w:rPr>
        <w:t>4.</w:t>
      </w:r>
      <w:r>
        <w:rPr>
          <w:rFonts w:hint="eastAsia" w:ascii="仿宋_GB2312" w:eastAsia="仿宋_GB2312" w:hAnsiTheme="minorEastAsia"/>
          <w:sz w:val="24"/>
          <w:szCs w:val="24"/>
        </w:rPr>
        <w:t>网上零售额是指企业通过公共网络交易平台（包括自建网站和第三方）取得订单，对本单位以外的单位和个人出售的实物商品金额，涵盖批发和零售业、住宿和餐饮业全部限上企业通过公共网络实现的零售额。</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CordiaUPC">
    <w:panose1 w:val="020B0304020202020204"/>
    <w:charset w:val="00"/>
    <w:family w:val="auto"/>
    <w:pitch w:val="default"/>
    <w:sig w:usb0="81000003" w:usb1="00000000" w:usb2="00000000" w:usb3="00000000" w:csb0="0001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59347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15"/>
    <w:rsid w:val="000231FF"/>
    <w:rsid w:val="000A6854"/>
    <w:rsid w:val="000B2EEA"/>
    <w:rsid w:val="000C3081"/>
    <w:rsid w:val="000D6679"/>
    <w:rsid w:val="000E113C"/>
    <w:rsid w:val="000E393C"/>
    <w:rsid w:val="00101ED7"/>
    <w:rsid w:val="00131E68"/>
    <w:rsid w:val="001624E8"/>
    <w:rsid w:val="001665ED"/>
    <w:rsid w:val="00174F20"/>
    <w:rsid w:val="001B7CC0"/>
    <w:rsid w:val="00201DBD"/>
    <w:rsid w:val="00202D5D"/>
    <w:rsid w:val="00237861"/>
    <w:rsid w:val="00245F4E"/>
    <w:rsid w:val="00254603"/>
    <w:rsid w:val="00263F76"/>
    <w:rsid w:val="0027639C"/>
    <w:rsid w:val="002779CB"/>
    <w:rsid w:val="002B2D97"/>
    <w:rsid w:val="002C69EF"/>
    <w:rsid w:val="002D6836"/>
    <w:rsid w:val="00301C38"/>
    <w:rsid w:val="00334585"/>
    <w:rsid w:val="00337857"/>
    <w:rsid w:val="00363CE1"/>
    <w:rsid w:val="003648C0"/>
    <w:rsid w:val="00372E0B"/>
    <w:rsid w:val="003A12BF"/>
    <w:rsid w:val="003F014C"/>
    <w:rsid w:val="003F3AE3"/>
    <w:rsid w:val="004000EA"/>
    <w:rsid w:val="00422048"/>
    <w:rsid w:val="00432EC2"/>
    <w:rsid w:val="00437486"/>
    <w:rsid w:val="0049337A"/>
    <w:rsid w:val="004B342B"/>
    <w:rsid w:val="00562915"/>
    <w:rsid w:val="005763CF"/>
    <w:rsid w:val="00595644"/>
    <w:rsid w:val="005E44AB"/>
    <w:rsid w:val="005E7DB6"/>
    <w:rsid w:val="006132F0"/>
    <w:rsid w:val="00621FAB"/>
    <w:rsid w:val="00641D73"/>
    <w:rsid w:val="006C32E6"/>
    <w:rsid w:val="006E3F93"/>
    <w:rsid w:val="007241A0"/>
    <w:rsid w:val="00731F11"/>
    <w:rsid w:val="00733F09"/>
    <w:rsid w:val="007432AF"/>
    <w:rsid w:val="007F2F42"/>
    <w:rsid w:val="00824BD3"/>
    <w:rsid w:val="008B3486"/>
    <w:rsid w:val="008C6E36"/>
    <w:rsid w:val="00932815"/>
    <w:rsid w:val="009405B7"/>
    <w:rsid w:val="00951FB6"/>
    <w:rsid w:val="009A00DA"/>
    <w:rsid w:val="009B7960"/>
    <w:rsid w:val="009C1D8A"/>
    <w:rsid w:val="009D25C9"/>
    <w:rsid w:val="009E5FD9"/>
    <w:rsid w:val="009F7935"/>
    <w:rsid w:val="00A33957"/>
    <w:rsid w:val="00A526A0"/>
    <w:rsid w:val="00A75D12"/>
    <w:rsid w:val="00A771FF"/>
    <w:rsid w:val="00A806BD"/>
    <w:rsid w:val="00AA1380"/>
    <w:rsid w:val="00AB3883"/>
    <w:rsid w:val="00AC270D"/>
    <w:rsid w:val="00AC5D0C"/>
    <w:rsid w:val="00AC73CA"/>
    <w:rsid w:val="00AD599E"/>
    <w:rsid w:val="00B177C5"/>
    <w:rsid w:val="00B73339"/>
    <w:rsid w:val="00B76F97"/>
    <w:rsid w:val="00BE5389"/>
    <w:rsid w:val="00C3615B"/>
    <w:rsid w:val="00C379E8"/>
    <w:rsid w:val="00CB14B1"/>
    <w:rsid w:val="00CE7D51"/>
    <w:rsid w:val="00D131BA"/>
    <w:rsid w:val="00D24A59"/>
    <w:rsid w:val="00D53783"/>
    <w:rsid w:val="00D91D66"/>
    <w:rsid w:val="00E029CD"/>
    <w:rsid w:val="00E557DB"/>
    <w:rsid w:val="00EC715C"/>
    <w:rsid w:val="00F0032B"/>
    <w:rsid w:val="00F04354"/>
    <w:rsid w:val="00F152BC"/>
    <w:rsid w:val="00F61FB7"/>
    <w:rsid w:val="00F64286"/>
    <w:rsid w:val="00F65947"/>
    <w:rsid w:val="00F801E7"/>
    <w:rsid w:val="00F81990"/>
    <w:rsid w:val="00F81C8B"/>
    <w:rsid w:val="00F94230"/>
    <w:rsid w:val="00FA6F64"/>
    <w:rsid w:val="00FB23B8"/>
    <w:rsid w:val="03432AA1"/>
    <w:rsid w:val="3A1C7B7E"/>
    <w:rsid w:val="3ECB358C"/>
    <w:rsid w:val="651F2B2B"/>
    <w:rsid w:val="6D2A7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列出段落1"/>
    <w:basedOn w:val="1"/>
    <w:qFormat/>
    <w:uiPriority w:val="34"/>
    <w:pPr>
      <w:ind w:firstLine="420" w:firstLineChars="200"/>
    </w:p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38646;&#21806;&#39069;\sdd&#25968;&#25454;\&#24066;&#23616;&#21453;&#39304;&#25968;&#25454;\2020&#24180;&#31038;&#20250;&#28040;&#36153;&#21697;&#38646;&#21806;&#24635;&#39069;&#20998;&#32452;&#34920;&#65288;&#25353;&#34892;&#19994;&#32467;&#2650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1183327455452"/>
          <c:y val="0.0783177279682929"/>
          <c:w val="0.876238407699038"/>
          <c:h val="0.732461358996792"/>
        </c:manualLayout>
      </c:layout>
      <c:lineChart>
        <c:grouping val="standard"/>
        <c:varyColors val="0"/>
        <c:ser>
          <c:idx val="0"/>
          <c:order val="0"/>
          <c:tx>
            <c:strRef>
              <c:f>Sheet1!$A$2</c:f>
              <c:strCache>
                <c:ptCount val="1"/>
                <c:pt idx="0">
                  <c:v>2019年</c:v>
                </c:pt>
              </c:strCache>
            </c:strRef>
          </c:tx>
          <c:spPr>
            <a:ln w="28575" cap="rnd" cmpd="sng" algn="ctr">
              <a:solidFill>
                <a:schemeClr val="accent1"/>
              </a:solidFill>
              <a:prstDash val="solid"/>
              <a:round/>
            </a:ln>
            <a:effectLst/>
          </c:spPr>
          <c:marker>
            <c:symbol val="diamond"/>
            <c:size val="5"/>
            <c:spPr>
              <a:solidFill>
                <a:schemeClr val="accent1"/>
              </a:solidFill>
              <a:ln w="31750" cap="flat" cmpd="sng" algn="ctr">
                <a:solidFill>
                  <a:schemeClr val="accent1"/>
                </a:solidFill>
                <a:prstDash val="solid"/>
                <a:miter lim="800000"/>
              </a:ln>
              <a:effectLst/>
            </c:spPr>
          </c:marker>
          <c:dLbls>
            <c:spPr>
              <a:noFill/>
              <a:ln w="25400">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Sheet1!$B$1:$L$1</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Sheet1!$B$2:$L$2</c:f>
              <c:numCache>
                <c:formatCode>0.0</c:formatCode>
                <c:ptCount val="11"/>
                <c:pt idx="0">
                  <c:v>2.4</c:v>
                </c:pt>
                <c:pt idx="1">
                  <c:v>3.1</c:v>
                </c:pt>
                <c:pt idx="2">
                  <c:v>4.3</c:v>
                </c:pt>
                <c:pt idx="3">
                  <c:v>4.4</c:v>
                </c:pt>
                <c:pt idx="4">
                  <c:v>4.7</c:v>
                </c:pt>
                <c:pt idx="5">
                  <c:v>4.7</c:v>
                </c:pt>
                <c:pt idx="6">
                  <c:v>4.47446420428637</c:v>
                </c:pt>
                <c:pt idx="7">
                  <c:v>3.9526484751204</c:v>
                </c:pt>
                <c:pt idx="8">
                  <c:v>4.1</c:v>
                </c:pt>
                <c:pt idx="9">
                  <c:v>4.3</c:v>
                </c:pt>
                <c:pt idx="10">
                  <c:v>3.5</c:v>
                </c:pt>
              </c:numCache>
            </c:numRef>
          </c:val>
          <c:smooth val="0"/>
        </c:ser>
        <c:ser>
          <c:idx val="1"/>
          <c:order val="1"/>
          <c:tx>
            <c:strRef>
              <c:f>Sheet1!$A$3</c:f>
              <c:strCache>
                <c:ptCount val="1"/>
                <c:pt idx="0">
                  <c:v>2020年</c:v>
                </c:pt>
              </c:strCache>
            </c:strRef>
          </c:tx>
          <c:spPr>
            <a:ln w="25400" cap="rnd" cmpd="sng" algn="ctr">
              <a:solidFill>
                <a:srgbClr val="00B050"/>
              </a:solidFill>
              <a:prstDash val="solid"/>
              <a:round/>
            </a:ln>
            <a:effectLst/>
          </c:spPr>
          <c:marker>
            <c:symbol val="triangle"/>
            <c:size val="5"/>
            <c:spPr>
              <a:solidFill>
                <a:schemeClr val="accent6">
                  <a:lumMod val="60000"/>
                  <a:lumOff val="40000"/>
                </a:schemeClr>
              </a:solidFill>
              <a:ln w="25400" cap="flat" cmpd="sng" algn="ctr">
                <a:solidFill>
                  <a:srgbClr val="00B050"/>
                </a:solidFill>
                <a:prstDash val="solid"/>
                <a:miter lim="800000"/>
              </a:ln>
            </c:spPr>
          </c:marker>
          <c:dLbls>
            <c:spPr>
              <a:noFill/>
              <a:ln w="25400">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Sheet1!$B$1:$L$1</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Sheet1!$B$3:$H$3</c:f>
              <c:numCache>
                <c:formatCode>0.0</c:formatCode>
                <c:ptCount val="7"/>
                <c:pt idx="0">
                  <c:v>-18.8</c:v>
                </c:pt>
                <c:pt idx="1">
                  <c:v>-22.9</c:v>
                </c:pt>
                <c:pt idx="2">
                  <c:v>-21.6</c:v>
                </c:pt>
                <c:pt idx="3">
                  <c:v>-18.6</c:v>
                </c:pt>
                <c:pt idx="4">
                  <c:v>-16.6</c:v>
                </c:pt>
                <c:pt idx="5">
                  <c:v>-15.7</c:v>
                </c:pt>
                <c:pt idx="6">
                  <c:v>-13.7538733953077</c:v>
                </c:pt>
              </c:numCache>
            </c:numRef>
          </c:val>
          <c:smooth val="0"/>
        </c:ser>
        <c:dLbls>
          <c:showLegendKey val="0"/>
          <c:showVal val="0"/>
          <c:showCatName val="0"/>
          <c:showSerName val="0"/>
          <c:showPercent val="0"/>
          <c:showBubbleSize val="0"/>
        </c:dLbls>
        <c:marker val="1"/>
        <c:smooth val="0"/>
        <c:axId val="250720304"/>
        <c:axId val="250722264"/>
      </c:lineChart>
      <c:catAx>
        <c:axId val="25072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722264"/>
        <c:crossesAt val="-25"/>
        <c:auto val="1"/>
        <c:lblAlgn val="ctr"/>
        <c:lblOffset val="100"/>
        <c:noMultiLvlLbl val="0"/>
      </c:catAx>
      <c:valAx>
        <c:axId val="2507222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ln w="9525"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720304"/>
        <c:crossesAt val="1"/>
        <c:crossBetween val="between"/>
      </c:valAx>
      <c:spPr>
        <a:noFill/>
        <a:ln w="25400">
          <a:noFill/>
        </a:ln>
      </c:spPr>
    </c:plotArea>
    <c:legend>
      <c:legendPos val="b"/>
      <c:layout>
        <c:manualLayout>
          <c:xMode val="edge"/>
          <c:yMode val="edge"/>
          <c:x val="0.347005490615471"/>
          <c:y val="0.911112739723618"/>
          <c:w val="0.314924571097886"/>
          <c:h val="0.0628262029420559"/>
        </c:manualLayout>
      </c:layout>
      <c:overlay val="0"/>
      <c:spPr>
        <a:noFill/>
        <a:ln w="25400">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4CFB5-F958-414B-9A3B-01BF1A5D2538}">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227</Words>
  <Characters>1297</Characters>
  <Lines>10</Lines>
  <Paragraphs>3</Paragraphs>
  <TotalTime>0</TotalTime>
  <ScaleCrop>false</ScaleCrop>
  <LinksUpToDate>false</LinksUpToDate>
  <CharactersWithSpaces>1521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2020-08-18T01:18:00Z</dcterms:created>
  <dc:creator>刘志颖</dc:creator>
  <cp:lastModifiedBy>赵雪岑</cp:lastModifiedBy>
  <cp:lastPrinted>2020-10-14T02:46:00Z</cp:lastPrinted>
  <dcterms:modified xsi:type="dcterms:W3CDTF">2020-10-14T06:01:07Z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