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lang w:eastAsia="zh-CN"/>
        </w:rPr>
      </w:pPr>
      <w:r>
        <w:rPr>
          <w:rFonts w:hint="eastAsia"/>
          <w:b/>
          <w:sz w:val="36"/>
          <w:szCs w:val="36"/>
          <w:lang w:eastAsia="zh-CN"/>
        </w:rPr>
        <w:t>朝阳区固定资产投资（不含农户）情况</w:t>
      </w:r>
    </w:p>
    <w:tbl>
      <w:tblPr>
        <w:tblStyle w:val="3"/>
        <w:tblW w:w="8363" w:type="dxa"/>
        <w:tblInd w:w="2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restart"/>
            <w:vAlign w:val="center"/>
          </w:tcPr>
          <w:p>
            <w:pPr>
              <w:spacing w:after="0" w:line="240" w:lineRule="auto"/>
              <w:jc w:val="center"/>
              <w:rPr>
                <w:rFonts w:hint="eastAsia"/>
                <w:sz w:val="28"/>
                <w:szCs w:val="28"/>
                <w:lang w:eastAsia="zh-CN"/>
              </w:rPr>
            </w:pPr>
            <w:r>
              <w:rPr>
                <w:rFonts w:hint="eastAsia"/>
                <w:sz w:val="28"/>
                <w:szCs w:val="28"/>
                <w:lang w:eastAsia="zh-CN"/>
              </w:rPr>
              <w:t>项  目</w:t>
            </w: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2025年1-</w:t>
            </w:r>
            <w:r>
              <w:rPr>
                <w:rFonts w:hint="eastAsia"/>
                <w:sz w:val="28"/>
                <w:szCs w:val="28"/>
                <w:lang w:val="en-US" w:eastAsia="zh-CN"/>
              </w:rPr>
              <w:t>9</w:t>
            </w:r>
            <w:r>
              <w:rPr>
                <w:rFonts w:hint="eastAsia"/>
                <w:sz w:val="28"/>
                <w:szCs w:val="28"/>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continue"/>
            <w:vAlign w:val="center"/>
          </w:tcPr>
          <w:p>
            <w:pPr>
              <w:spacing w:after="0" w:line="240" w:lineRule="auto"/>
              <w:jc w:val="center"/>
              <w:rPr>
                <w:rFonts w:hint="eastAsia"/>
                <w:sz w:val="28"/>
                <w:szCs w:val="28"/>
                <w:lang w:eastAsia="zh-CN"/>
              </w:rPr>
            </w:pP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同比增长(%)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固定资产投资（不含农户）</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 xml:space="preserve">  其中：房地产开发投资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-7.8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按构成分</w:t>
            </w:r>
          </w:p>
        </w:tc>
        <w:tc>
          <w:tcPr>
            <w:tcW w:w="4424" w:type="dxa"/>
            <w:vAlign w:val="center"/>
          </w:tcPr>
          <w:p>
            <w:pPr>
              <w:spacing w:after="0" w:line="240" w:lineRule="auto"/>
              <w:jc w:val="center"/>
              <w:rPr>
                <w:sz w:val="28"/>
                <w:szCs w:val="28"/>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其中：建安投资</w:t>
            </w:r>
          </w:p>
        </w:tc>
        <w:tc>
          <w:tcPr>
            <w:tcW w:w="4424" w:type="dxa"/>
            <w:vAlign w:val="center"/>
          </w:tcPr>
          <w:p>
            <w:pPr>
              <w:spacing w:after="0" w:line="240" w:lineRule="auto"/>
              <w:jc w:val="center"/>
              <w:rPr>
                <w:sz w:val="28"/>
                <w:szCs w:val="28"/>
                <w:highlight w:val="yellow"/>
                <w:lang w:val="en-US" w:eastAsia="zh-CN"/>
              </w:rPr>
            </w:pPr>
            <w:r>
              <w:rPr>
                <w:rFonts w:hint="eastAsia"/>
                <w:sz w:val="28"/>
                <w:szCs w:val="28"/>
                <w:highlight w:val="none"/>
                <w:lang w:val="en-US" w:eastAsia="zh-CN"/>
              </w:rPr>
              <w:t>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设备工器具购置</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32.9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sz w:val="28"/>
                <w:szCs w:val="28"/>
                <w:lang w:eastAsia="zh-CN"/>
              </w:rPr>
            </w:pPr>
            <w:r>
              <w:rPr>
                <w:rFonts w:hint="eastAsia"/>
                <w:sz w:val="28"/>
                <w:szCs w:val="28"/>
                <w:lang w:eastAsia="zh-CN"/>
              </w:rPr>
              <w:t xml:space="preserve">          其他费用</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-6.7</w:t>
            </w:r>
          </w:p>
        </w:tc>
      </w:tr>
    </w:tbl>
    <w:p>
      <w:pPr>
        <w:rPr>
          <w:rFonts w:hint="eastAsia"/>
          <w:lang w:eastAsia="zh-CN"/>
        </w:rPr>
      </w:pPr>
    </w:p>
    <w:p>
      <w:pPr>
        <w:rPr>
          <w:rFonts w:hint="eastAsia"/>
          <w:lang w:eastAsia="zh-CN"/>
        </w:rPr>
      </w:pPr>
      <w:bookmarkStart w:id="0" w:name="_GoBack"/>
      <w:bookmarkEnd w:id="0"/>
    </w:p>
    <w:p>
      <w:pPr>
        <w:spacing w:after="0"/>
        <w:jc w:val="center"/>
        <w:rPr>
          <w:rFonts w:hint="eastAsia" w:ascii="宋体" w:hAnsi="宋体"/>
          <w:b/>
          <w:bCs/>
          <w:color w:val="000000"/>
          <w:sz w:val="32"/>
          <w:szCs w:val="32"/>
          <w:lang w:eastAsia="zh-CN"/>
        </w:rPr>
      </w:pPr>
      <w:r>
        <w:rPr>
          <w:rFonts w:hint="eastAsia"/>
          <w:b/>
          <w:sz w:val="32"/>
          <w:szCs w:val="32"/>
          <w:lang w:eastAsia="zh-CN"/>
        </w:rPr>
        <w:t>固定资产投资（不含农户）领域</w:t>
      </w:r>
      <w:r>
        <w:rPr>
          <w:rFonts w:hint="eastAsia" w:ascii="宋体" w:hAnsi="宋体"/>
          <w:b/>
          <w:bCs/>
          <w:color w:val="000000"/>
          <w:sz w:val="32"/>
          <w:szCs w:val="32"/>
          <w:lang w:eastAsia="zh-CN"/>
        </w:rPr>
        <w:t>统计范围、</w:t>
      </w:r>
    </w:p>
    <w:p>
      <w:pPr>
        <w:spacing w:after="0"/>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采集渠道和主要指标解释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numPr>
          <w:ilvl w:val="0"/>
          <w:numId w:val="1"/>
        </w:numPr>
        <w:spacing w:after="0" w:line="480" w:lineRule="auto"/>
        <w:ind w:firstLine="570"/>
        <w:rPr>
          <w:rFonts w:hint="eastAsia" w:ascii="宋体" w:hAnsi="宋体"/>
          <w:color w:val="000000"/>
          <w:sz w:val="28"/>
          <w:szCs w:val="28"/>
          <w:lang w:eastAsia="zh-CN"/>
        </w:rPr>
      </w:pPr>
      <w:r>
        <w:rPr>
          <w:rFonts w:hint="eastAsia" w:ascii="宋体" w:hAnsi="宋体"/>
          <w:b/>
          <w:bCs/>
          <w:color w:val="000000"/>
          <w:sz w:val="28"/>
          <w:szCs w:val="28"/>
          <w:lang w:eastAsia="zh-CN"/>
        </w:rPr>
        <w:t>采集渠道</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符合统计范围的固定资产投资项目单位按照《固定资产投资统计报表制度》、《房地产开发统计报表制度》的要求，通过统计联网直报平台上报统计数据。</w:t>
      </w:r>
    </w:p>
    <w:p>
      <w:pPr>
        <w:spacing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三、指标解释</w:t>
      </w:r>
    </w:p>
    <w:p>
      <w:r>
        <w:rPr>
          <w:rFonts w:hint="eastAsia" w:ascii="宋体" w:hAnsi="宋体"/>
          <w:b/>
          <w:color w:val="000000"/>
          <w:sz w:val="28"/>
          <w:szCs w:val="28"/>
          <w:lang w:eastAsia="zh-CN"/>
        </w:rPr>
        <w:t>固定资产投资：</w:t>
      </w:r>
      <w:r>
        <w:rPr>
          <w:rFonts w:hint="eastAsia" w:ascii="宋体" w:hAnsi="宋体"/>
          <w:color w:val="000000"/>
          <w:sz w:val="28"/>
          <w:szCs w:val="28"/>
          <w:lang w:eastAsia="zh-CN"/>
        </w:rPr>
        <w:t>是以货币形式表现的在一定时期内建造和购置固定资产的工作量以及与此有关的费用的总称。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BCA4"/>
    <w:multiLevelType w:val="singleLevel"/>
    <w:tmpl w:val="5FF6BCA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B51A3"/>
    <w:rsid w:val="0DA76243"/>
    <w:rsid w:val="6B0B5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2025-10-22T05:30:00Z</dcterms:created>
  <dc:creator>lei</dc:creator>
  <cp:lastModifiedBy>lei</cp:lastModifiedBy>
  <dcterms:modified xsi:type="dcterms:W3CDTF">2025-10-23T01:40:56Z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