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458"/>
        <w:gridCol w:w="656"/>
        <w:gridCol w:w="1118"/>
        <w:gridCol w:w="1114"/>
        <w:gridCol w:w="376"/>
        <w:gridCol w:w="320"/>
        <w:gridCol w:w="237"/>
        <w:gridCol w:w="557"/>
        <w:gridCol w:w="4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农业园区整治工作经费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农业农村局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金盏乡、崔各庄乡、孙河乡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吴迪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65094732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2747.06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2747.06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2747.06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2747.06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2747.06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2747.06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推进我区“大棚房”整治后续工作，保障各乡集体经济组织正常运行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“大棚房”</w:t>
            </w:r>
            <w:r>
              <w:rPr>
                <w:rFonts w:hint="eastAsia" w:ascii="楷体_GB2312" w:hAnsi="楷体_GB2312" w:eastAsia="楷体_GB2312" w:cs="楷体_GB2312"/>
                <w:b w:val="0"/>
                <w:kern w:val="0"/>
                <w:sz w:val="18"/>
                <w:szCs w:val="18"/>
                <w:lang w:eastAsia="zh-CN"/>
              </w:rPr>
              <w:t>Ⅰ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  <w:lang w:eastAsia="zh-CN"/>
              </w:rPr>
              <w:t>类问题拆除整改类点位全部整改到位。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完成“大棚房”I类问题拆除整改类建筑物拆除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大棚房”I类问题拆除整改类建筑物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eastAsia="zh-CN"/>
              </w:rPr>
              <w:t>全部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拆除完毕。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完成“大棚房”I类问题拆除整改类土山清运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完成“大棚房”I类问题拆除整改类土山清运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eastAsia="zh-CN"/>
              </w:rPr>
              <w:t>全部整改到位。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“大棚房”I类问题拆除整改类完成整改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完成整改并通过验收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2021年6月前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全部资金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支出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已全部支出完毕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总金额2747.06万元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已全部支出完毕</w:t>
            </w:r>
          </w:p>
          <w:p>
            <w:pPr>
              <w:widowControl/>
              <w:spacing w:line="240" w:lineRule="exact"/>
              <w:jc w:val="both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遏制农地非农化乱象、严守耕地红线的目标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“大棚房”回头看未发现反弹。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群众满意度达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7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吴迪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65094732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6040E"/>
    <w:rsid w:val="0A86040E"/>
    <w:rsid w:val="1AF0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2022-01-13T06:36:00Z</dcterms:created>
  <dc:creator>Administrator</dc:creator>
  <cp:lastModifiedBy>Administrator</cp:lastModifiedBy>
  <dcterms:modified xsi:type="dcterms:W3CDTF">2022-01-13T07:38:07Z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