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3435A">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文创实验区管委会</w:t>
      </w: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rPr>
        <w:t>年部门整体</w:t>
      </w:r>
    </w:p>
    <w:p w14:paraId="53475478">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绩效评价报告</w:t>
      </w:r>
    </w:p>
    <w:p w14:paraId="1D9CDB0E">
      <w:pPr>
        <w:spacing w:line="560" w:lineRule="exact"/>
        <w:jc w:val="center"/>
        <w:rPr>
          <w:rFonts w:hint="default" w:ascii="Times New Roman" w:hAnsi="Times New Roman" w:eastAsia="方正小标宋简体" w:cs="Times New Roman"/>
          <w:sz w:val="36"/>
          <w:szCs w:val="36"/>
        </w:rPr>
      </w:pPr>
    </w:p>
    <w:p w14:paraId="662DB96E">
      <w:pPr>
        <w:spacing w:line="600" w:lineRule="exact"/>
        <w:ind w:firstLine="640" w:firstLineChars="20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一、部门概况</w:t>
      </w:r>
    </w:p>
    <w:p w14:paraId="4C8AAD1C">
      <w:pPr>
        <w:spacing w:line="60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（一）机构设置及职责工作任务情况</w:t>
      </w:r>
    </w:p>
    <w:p w14:paraId="7E1830E5">
      <w:pPr>
        <w:spacing w:line="600" w:lineRule="exact"/>
        <w:ind w:firstLine="640" w:firstLineChars="200"/>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中共北京市朝阳区委国家文化产业创新实验区工作委员会(简称文创实验区党工委)是区委派出机构，北京朝阳国家文化产业创新实验区管理委员会(简称文创实验区管委会)是区政府派出机构，加挂北京国家广告产业园区管理办公室(简称广告园区管理办)牌子。文创实验区党工委与文创实验区管委会合署办公，为正处级。文创实验区党工委、文创实验区管委会贯彻落实党中央关于国家文化产业创新实验区(不含北京商务中心区)文化产业发展工作的方针政策、决策部署和市委、区委有关工作要求，在履行职责过程中坚持和加强党对国家文化产业创新实验区(不含北京商务中心区)工作的集中统一领导。</w:t>
      </w:r>
    </w:p>
    <w:p w14:paraId="42C44F96">
      <w:pPr>
        <w:spacing w:line="580" w:lineRule="exact"/>
        <w:ind w:firstLine="640" w:firstLineChars="200"/>
        <w:rPr>
          <w:rFonts w:hint="default" w:ascii="Times New Roman" w:hAnsi="Times New Roman" w:eastAsia="仿宋_GB2312" w:cs="Times New Roman"/>
          <w:i w:val="0"/>
          <w:iCs w:val="0"/>
          <w:caps w:val="0"/>
          <w:color w:val="404040"/>
          <w:spacing w:val="0"/>
          <w:sz w:val="24"/>
          <w:szCs w:val="24"/>
          <w:shd w:val="clear" w:fill="FFFFFF"/>
        </w:rPr>
      </w:pPr>
      <w:r>
        <w:rPr>
          <w:rFonts w:hint="default" w:ascii="Times New Roman" w:hAnsi="Times New Roman" w:eastAsia="仿宋_GB2312" w:cs="Times New Roman"/>
          <w:sz w:val="32"/>
          <w:szCs w:val="32"/>
        </w:rPr>
        <w:t>文创实验区管委会内设机构6个，分别为综合部、产业发展部、政策规划部、园区服务部、798艺术区管理服务办公室、党建工作部。下属事业单位1家，为北京市朝阳区文化创意产业发展中心。</w:t>
      </w:r>
    </w:p>
    <w:p w14:paraId="4489E941">
      <w:pPr>
        <w:numPr>
          <w:ilvl w:val="0"/>
          <w:numId w:val="1"/>
        </w:numPr>
        <w:spacing w:line="60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部门整体绩效目标设立情况</w:t>
      </w:r>
    </w:p>
    <w:p w14:paraId="237455D1">
      <w:pPr>
        <w:spacing w:line="580" w:lineRule="exact"/>
        <w:ind w:firstLine="640"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rPr>
        <w:t>根据绩效管理相关规定，文创实验区管委会在申报202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年度预算时，依据部门职责，围绕年度重点工作，合理确定年度绩效目标，坚持做到绩效目标涵盖各业务部门职责及工作要点，目标与职责任务匹配一致。</w:t>
      </w:r>
      <w:r>
        <w:rPr>
          <w:rFonts w:hint="default" w:ascii="Times New Roman" w:hAnsi="Times New Roman" w:eastAsia="仿宋_GB2312" w:cs="Times New Roman"/>
          <w:sz w:val="32"/>
          <w:szCs w:val="32"/>
          <w:highlight w:val="none"/>
          <w:u w:val="none"/>
        </w:rPr>
        <w:t>202</w:t>
      </w:r>
      <w:r>
        <w:rPr>
          <w:rFonts w:hint="default" w:ascii="Times New Roman" w:hAnsi="Times New Roman" w:eastAsia="仿宋_GB2312" w:cs="Times New Roman"/>
          <w:sz w:val="32"/>
          <w:szCs w:val="32"/>
          <w:highlight w:val="none"/>
          <w:u w:val="none"/>
          <w:lang w:val="en-US" w:eastAsia="zh-CN"/>
        </w:rPr>
        <w:t>4</w:t>
      </w:r>
      <w:r>
        <w:rPr>
          <w:rFonts w:hint="default" w:ascii="Times New Roman" w:hAnsi="Times New Roman" w:eastAsia="仿宋_GB2312" w:cs="Times New Roman"/>
          <w:sz w:val="32"/>
          <w:szCs w:val="32"/>
          <w:highlight w:val="none"/>
          <w:u w:val="none"/>
        </w:rPr>
        <w:t>年度部门整体绩效目标为：紧紧围绕全区发展大局和区委区政府的中心工作，聚焦朝阳区“1234”发展战略和“五宜”朝阳建设，坚持科技赋能文化创新、文化赋能城市发展，推动文创实验区及全区文化产业高质量发展，服务首都“全国文化中心”建设，引领全国文化产业创新发展。</w:t>
      </w:r>
    </w:p>
    <w:p w14:paraId="563A5AEE">
      <w:pPr>
        <w:numPr>
          <w:ilvl w:val="0"/>
          <w:numId w:val="2"/>
        </w:numPr>
        <w:spacing w:line="600" w:lineRule="exact"/>
        <w:ind w:firstLine="640" w:firstLineChars="20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当年预算执行情况</w:t>
      </w:r>
    </w:p>
    <w:p w14:paraId="032C2FDB">
      <w:pPr>
        <w:numPr>
          <w:ilvl w:val="0"/>
          <w:numId w:val="0"/>
        </w:numPr>
        <w:spacing w:line="60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202</w:t>
      </w:r>
      <w:r>
        <w:rPr>
          <w:rFonts w:hint="default"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年全年预算数</w:t>
      </w:r>
      <w:r>
        <w:rPr>
          <w:rFonts w:hint="default" w:ascii="Times New Roman" w:hAnsi="Times New Roman" w:eastAsia="仿宋_GB2312" w:cs="Times New Roman"/>
          <w:sz w:val="32"/>
          <w:szCs w:val="32"/>
        </w:rPr>
        <w:t>16,544.25</w:t>
      </w:r>
      <w:r>
        <w:rPr>
          <w:rFonts w:hint="default" w:ascii="Times New Roman" w:hAnsi="Times New Roman" w:eastAsia="仿宋_GB2312" w:cs="Times New Roman"/>
          <w:color w:val="000000"/>
          <w:kern w:val="0"/>
          <w:sz w:val="32"/>
          <w:szCs w:val="32"/>
        </w:rPr>
        <w:t>万元，其中，基本支出预算数</w:t>
      </w:r>
      <w:r>
        <w:rPr>
          <w:rFonts w:hint="default" w:ascii="Times New Roman" w:hAnsi="Times New Roman" w:eastAsia="仿宋_GB2312" w:cs="Times New Roman"/>
          <w:sz w:val="32"/>
          <w:szCs w:val="32"/>
        </w:rPr>
        <w:t>1,387.21</w:t>
      </w:r>
      <w:r>
        <w:rPr>
          <w:rFonts w:hint="default" w:ascii="Times New Roman" w:hAnsi="Times New Roman" w:eastAsia="仿宋_GB2312" w:cs="Times New Roman"/>
          <w:color w:val="000000"/>
          <w:kern w:val="0"/>
          <w:sz w:val="32"/>
          <w:szCs w:val="32"/>
        </w:rPr>
        <w:t>万元，项目支出预算数</w:t>
      </w:r>
      <w:r>
        <w:rPr>
          <w:rFonts w:hint="default" w:ascii="Times New Roman" w:hAnsi="Times New Roman" w:eastAsia="仿宋_GB2312" w:cs="Times New Roman"/>
          <w:sz w:val="32"/>
          <w:szCs w:val="32"/>
        </w:rPr>
        <w:t>15,157.04</w:t>
      </w:r>
      <w:r>
        <w:rPr>
          <w:rFonts w:hint="default" w:ascii="Times New Roman" w:hAnsi="Times New Roman" w:eastAsia="仿宋_GB2312" w:cs="Times New Roman"/>
          <w:color w:val="000000"/>
          <w:kern w:val="0"/>
          <w:sz w:val="32"/>
          <w:szCs w:val="32"/>
        </w:rPr>
        <w:t>万元。资金总体支出</w:t>
      </w:r>
      <w:r>
        <w:rPr>
          <w:rFonts w:hint="default" w:ascii="Times New Roman" w:hAnsi="Times New Roman" w:eastAsia="仿宋_GB2312" w:cs="Times New Roman"/>
          <w:color w:val="000000"/>
          <w:kern w:val="0"/>
          <w:sz w:val="32"/>
          <w:szCs w:val="32"/>
          <w:lang w:val="en-US" w:eastAsia="zh-CN"/>
        </w:rPr>
        <w:t>16518.01</w:t>
      </w:r>
      <w:r>
        <w:rPr>
          <w:rFonts w:hint="default" w:ascii="Times New Roman" w:hAnsi="Times New Roman" w:eastAsia="仿宋_GB2312" w:cs="Times New Roman"/>
          <w:color w:val="000000"/>
          <w:kern w:val="0"/>
          <w:sz w:val="32"/>
          <w:szCs w:val="32"/>
        </w:rPr>
        <w:t>万元，其中，基本支出</w:t>
      </w:r>
      <w:r>
        <w:rPr>
          <w:rFonts w:hint="default" w:ascii="Times New Roman" w:hAnsi="Times New Roman" w:eastAsia="仿宋_GB2312" w:cs="Times New Roman"/>
          <w:sz w:val="32"/>
          <w:szCs w:val="32"/>
        </w:rPr>
        <w:t>1,387.21</w:t>
      </w:r>
      <w:r>
        <w:rPr>
          <w:rFonts w:hint="default" w:ascii="Times New Roman" w:hAnsi="Times New Roman" w:eastAsia="仿宋_GB2312" w:cs="Times New Roman"/>
          <w:color w:val="000000"/>
          <w:kern w:val="0"/>
          <w:sz w:val="32"/>
          <w:szCs w:val="32"/>
        </w:rPr>
        <w:t>万元，项目支出</w:t>
      </w:r>
      <w:r>
        <w:rPr>
          <w:rFonts w:hint="default" w:ascii="Times New Roman" w:hAnsi="Times New Roman" w:eastAsia="仿宋_GB2312" w:cs="Times New Roman"/>
          <w:sz w:val="32"/>
          <w:szCs w:val="32"/>
        </w:rPr>
        <w:t>15,130.80</w:t>
      </w:r>
      <w:r>
        <w:rPr>
          <w:rFonts w:hint="default" w:ascii="Times New Roman" w:hAnsi="Times New Roman" w:eastAsia="仿宋_GB2312" w:cs="Times New Roman"/>
          <w:color w:val="000000"/>
          <w:kern w:val="0"/>
          <w:sz w:val="32"/>
          <w:szCs w:val="32"/>
        </w:rPr>
        <w:t>万元。预算执行率为99.8%。</w:t>
      </w:r>
    </w:p>
    <w:p w14:paraId="34A5C9AC">
      <w:pPr>
        <w:spacing w:line="600" w:lineRule="exact"/>
        <w:ind w:left="105" w:leftChars="50" w:firstLine="480" w:firstLineChars="15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三、整体绩效目标实现情况</w:t>
      </w:r>
    </w:p>
    <w:p w14:paraId="7B50838D">
      <w:pPr>
        <w:spacing w:line="600" w:lineRule="exact"/>
        <w:ind w:left="105" w:leftChars="50" w:firstLine="480" w:firstLineChars="15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（一）产出完成情况分析</w:t>
      </w:r>
    </w:p>
    <w:p w14:paraId="21670D5A">
      <w:pPr>
        <w:spacing w:line="600" w:lineRule="exact"/>
        <w:ind w:left="105" w:leftChars="50" w:firstLine="480" w:firstLineChars="15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1.产出数量</w:t>
      </w:r>
    </w:p>
    <w:p w14:paraId="0C5B0191">
      <w:pPr>
        <w:spacing w:line="58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2024年</w:t>
      </w:r>
      <w:r>
        <w:rPr>
          <w:rFonts w:hint="default"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rPr>
        <w:t>-12月，全区2751家规上文化企业实现收入3435.3亿元，占全市的14.9%。全区规模以上影视企业实现收入266.0亿元，占全市的33.5%。全区数字文化企业实现收入1426.1亿元，占全区文化产业比重41.5%</w:t>
      </w:r>
      <w:r>
        <w:rPr>
          <w:rFonts w:hint="default" w:ascii="Times New Roman" w:hAnsi="Times New Roman" w:eastAsia="仿宋_GB2312" w:cs="Times New Roman"/>
          <w:color w:val="000000"/>
          <w:kern w:val="0"/>
          <w:sz w:val="32"/>
          <w:szCs w:val="32"/>
          <w:lang w:eastAsia="zh-CN"/>
        </w:rPr>
        <w:t>。全年</w:t>
      </w:r>
      <w:r>
        <w:rPr>
          <w:rFonts w:hint="default" w:ascii="Times New Roman" w:hAnsi="Times New Roman" w:eastAsia="仿宋_GB2312" w:cs="Times New Roman"/>
          <w:color w:val="000000"/>
          <w:kern w:val="0"/>
          <w:sz w:val="32"/>
          <w:szCs w:val="32"/>
        </w:rPr>
        <w:t>文体娱实现收入691.5亿元，占全市比重28.5%，居全市首位。</w:t>
      </w:r>
    </w:p>
    <w:p w14:paraId="54C14380">
      <w:pPr>
        <w:numPr>
          <w:ilvl w:val="0"/>
          <w:numId w:val="0"/>
        </w:numPr>
        <w:spacing w:line="600" w:lineRule="exact"/>
        <w:ind w:leftChars="304"/>
        <w:rPr>
          <w:rFonts w:hint="default" w:ascii="Times New Roman" w:hAnsi="Times New Roman" w:eastAsia="仿宋_GB2312" w:cs="Times New Roman"/>
          <w:color w:val="000000"/>
          <w:kern w:val="0"/>
          <w:sz w:val="32"/>
          <w:szCs w:val="32"/>
        </w:rPr>
      </w:pPr>
      <w:r>
        <w:rPr>
          <w:rFonts w:hint="eastAsia"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产出质量</w:t>
      </w:r>
    </w:p>
    <w:p w14:paraId="031789D9">
      <w:pPr>
        <w:numPr>
          <w:ilvl w:val="0"/>
          <w:numId w:val="0"/>
        </w:numPr>
        <w:spacing w:line="600" w:lineRule="exact"/>
        <w:ind w:firstLine="640" w:firstLineChars="200"/>
        <w:rPr>
          <w:rFonts w:hint="default" w:ascii="Times New Roman" w:hAnsi="Times New Roman" w:eastAsia="仿宋_GB2312" w:cs="Times New Roman"/>
          <w:color w:val="000000"/>
          <w:kern w:val="0"/>
          <w:sz w:val="32"/>
          <w:szCs w:val="32"/>
          <w:lang w:val="en-US" w:eastAsia="zh-CN"/>
        </w:rPr>
      </w:pPr>
      <w:r>
        <w:rPr>
          <w:rFonts w:hint="eastAsia" w:eastAsia="仿宋_GB2312" w:cs="Times New Roman"/>
          <w:color w:val="000000"/>
          <w:kern w:val="0"/>
          <w:sz w:val="32"/>
          <w:szCs w:val="32"/>
          <w:lang w:val="en-US" w:eastAsia="zh-CN"/>
        </w:rPr>
        <w:t>2024年全区文化企业数量稳步提升，产业规模不断壮大，</w:t>
      </w:r>
      <w:r>
        <w:rPr>
          <w:rFonts w:hint="eastAsia" w:ascii="Times New Roman" w:hAnsi="Times New Roman" w:eastAsia="仿宋_GB2312"/>
          <w:b w:val="0"/>
          <w:bCs/>
          <w:sz w:val="32"/>
          <w:szCs w:val="32"/>
        </w:rPr>
        <w:t>产业结构持续优化。</w:t>
      </w:r>
    </w:p>
    <w:p w14:paraId="66A1D619">
      <w:pPr>
        <w:numPr>
          <w:ilvl w:val="0"/>
          <w:numId w:val="0"/>
        </w:numPr>
        <w:spacing w:line="600" w:lineRule="exact"/>
        <w:ind w:leftChars="304"/>
        <w:rPr>
          <w:rFonts w:hint="default" w:ascii="Times New Roman" w:hAnsi="Times New Roman" w:eastAsia="仿宋_GB2312" w:cs="Times New Roman"/>
          <w:color w:val="000000"/>
          <w:kern w:val="0"/>
          <w:sz w:val="32"/>
          <w:szCs w:val="32"/>
        </w:rPr>
      </w:pPr>
    </w:p>
    <w:p w14:paraId="42D34CAA">
      <w:pPr>
        <w:numPr>
          <w:ilvl w:val="0"/>
          <w:numId w:val="0"/>
        </w:numPr>
        <w:spacing w:line="600" w:lineRule="exact"/>
        <w:ind w:left="638" w:leftChars="304" w:firstLine="0" w:firstLineChars="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产出进度</w:t>
      </w:r>
    </w:p>
    <w:p w14:paraId="0B1F37D6">
      <w:pPr>
        <w:spacing w:line="58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根据年度各项工作安排，依据项目实际情况，持续加强资金支出管理，严格执行经费审批制度，及时根据工作变化做好预算调整，做到支出进度与工作进度相匹配，产出进度达到了年度绩效目标。</w:t>
      </w:r>
    </w:p>
    <w:p w14:paraId="5567200B">
      <w:pPr>
        <w:numPr>
          <w:ilvl w:val="0"/>
          <w:numId w:val="0"/>
        </w:numPr>
        <w:spacing w:line="600" w:lineRule="exact"/>
        <w:ind w:firstLine="640" w:firstLineChars="200"/>
        <w:rPr>
          <w:rFonts w:hint="default" w:ascii="Times New Roman" w:hAnsi="Times New Roman" w:eastAsia="仿宋_GB2312" w:cs="Times New Roman"/>
          <w:color w:val="000000"/>
          <w:kern w:val="0"/>
          <w:sz w:val="32"/>
          <w:szCs w:val="32"/>
        </w:rPr>
      </w:pPr>
      <w:r>
        <w:rPr>
          <w:rFonts w:hint="eastAsia"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 xml:space="preserve">产出成本 </w:t>
      </w:r>
    </w:p>
    <w:p w14:paraId="2967411E">
      <w:pPr>
        <w:numPr>
          <w:ilvl w:val="0"/>
          <w:numId w:val="0"/>
        </w:numPr>
        <w:spacing w:line="60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按照年度确定的工作目标和实际履职工作需要，202</w:t>
      </w:r>
      <w:r>
        <w:rPr>
          <w:rFonts w:hint="default"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 xml:space="preserve">年总支出 </w:t>
      </w:r>
      <w:r>
        <w:rPr>
          <w:rFonts w:hint="default" w:ascii="Times New Roman" w:hAnsi="Times New Roman" w:eastAsia="仿宋_GB2312" w:cs="Times New Roman"/>
          <w:color w:val="000000"/>
          <w:kern w:val="0"/>
          <w:sz w:val="32"/>
          <w:szCs w:val="32"/>
          <w:lang w:val="en-US" w:eastAsia="zh-CN"/>
        </w:rPr>
        <w:t>16518.01</w:t>
      </w:r>
      <w:r>
        <w:rPr>
          <w:rFonts w:hint="default" w:ascii="Times New Roman" w:hAnsi="Times New Roman" w:eastAsia="仿宋_GB2312" w:cs="Times New Roman"/>
          <w:color w:val="000000"/>
          <w:kern w:val="0"/>
          <w:sz w:val="32"/>
          <w:szCs w:val="32"/>
        </w:rPr>
        <w:t xml:space="preserve">万元，支出金额严格控制在预算批复范围内。                          </w:t>
      </w:r>
    </w:p>
    <w:p w14:paraId="1D597D14">
      <w:pPr>
        <w:spacing w:line="600" w:lineRule="exact"/>
        <w:ind w:left="105" w:leftChars="50" w:firstLine="480" w:firstLineChars="15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（二）效果实现情况分析</w:t>
      </w:r>
    </w:p>
    <w:p w14:paraId="635AF645">
      <w:pPr>
        <w:spacing w:line="600" w:lineRule="exact"/>
        <w:ind w:left="105" w:leftChars="50" w:firstLine="480" w:firstLineChars="15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1.经济效益</w:t>
      </w:r>
    </w:p>
    <w:p w14:paraId="25E41B93">
      <w:pPr>
        <w:spacing w:line="600" w:lineRule="exact"/>
        <w:ind w:left="105" w:leftChars="50" w:firstLine="480" w:firstLineChars="15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val="0"/>
          <w:bCs/>
          <w:kern w:val="0"/>
          <w:sz w:val="32"/>
          <w:szCs w:val="32"/>
        </w:rPr>
        <w:t>紧抓产业提升，引领经济提质发展</w:t>
      </w:r>
      <w:r>
        <w:rPr>
          <w:rFonts w:hint="default" w:ascii="Times New Roman" w:hAnsi="Times New Roman" w:eastAsia="仿宋_GB2312" w:cs="Times New Roman"/>
          <w:b w:val="0"/>
          <w:bCs/>
          <w:kern w:val="0"/>
          <w:sz w:val="32"/>
          <w:szCs w:val="32"/>
          <w:lang w:eastAsia="zh-CN"/>
        </w:rPr>
        <w:t>。</w:t>
      </w:r>
      <w:r>
        <w:rPr>
          <w:rFonts w:hint="default" w:ascii="Times New Roman" w:hAnsi="Times New Roman" w:eastAsia="仿宋_GB2312" w:cs="Times New Roman"/>
          <w:b w:val="0"/>
          <w:bCs w:val="0"/>
          <w:sz w:val="32"/>
          <w:szCs w:val="32"/>
        </w:rPr>
        <w:t>一是健全机制完善方案，建立领导包片工作机制，组建文体娱工作专班，</w:t>
      </w:r>
      <w:r>
        <w:rPr>
          <w:rFonts w:hint="default" w:ascii="Times New Roman" w:hAnsi="Times New Roman" w:eastAsia="仿宋_GB2312" w:cs="Times New Roman"/>
          <w:b w:val="0"/>
          <w:bCs w:val="0"/>
          <w:color w:val="0C0C0C"/>
          <w:sz w:val="32"/>
          <w:szCs w:val="32"/>
        </w:rPr>
        <w:t>研究制定工作方案和目标清单，</w:t>
      </w:r>
      <w:r>
        <w:rPr>
          <w:rFonts w:hint="default" w:ascii="Times New Roman" w:hAnsi="Times New Roman" w:eastAsia="仿宋_GB2312" w:cs="Times New Roman"/>
          <w:b w:val="0"/>
          <w:bCs w:val="0"/>
          <w:sz w:val="32"/>
          <w:szCs w:val="32"/>
        </w:rPr>
        <w:t>坚持“以商招商”机制和“五带”招商模式，稳定经济增长</w:t>
      </w:r>
      <w:r>
        <w:rPr>
          <w:rFonts w:hint="default" w:ascii="Times New Roman" w:hAnsi="Times New Roman" w:eastAsia="仿宋_GB2312" w:cs="Times New Roman"/>
          <w:b w:val="0"/>
          <w:bCs w:val="0"/>
          <w:color w:val="0C0C0C"/>
          <w:sz w:val="32"/>
          <w:szCs w:val="32"/>
        </w:rPr>
        <w:t>，</w:t>
      </w:r>
      <w:r>
        <w:rPr>
          <w:rFonts w:hint="default" w:ascii="Times New Roman" w:hAnsi="Times New Roman" w:eastAsia="仿宋_GB2312" w:cs="Times New Roman"/>
          <w:b w:val="0"/>
          <w:bCs w:val="0"/>
          <w:sz w:val="32"/>
          <w:szCs w:val="32"/>
        </w:rPr>
        <w:t>努力实现全年经济指标任务。二是稳定存量拓展增量，</w:t>
      </w:r>
      <w:r>
        <w:rPr>
          <w:rFonts w:hint="default" w:ascii="Times New Roman" w:hAnsi="Times New Roman" w:eastAsia="仿宋_GB2312" w:cs="Times New Roman"/>
          <w:b w:val="0"/>
          <w:bCs w:val="0"/>
          <w:color w:val="000000"/>
          <w:sz w:val="32"/>
          <w:szCs w:val="32"/>
        </w:rPr>
        <w:t>深化“服务包”“服务管家”机制，服务包企业增至26家，为</w:t>
      </w:r>
      <w:r>
        <w:rPr>
          <w:rFonts w:hint="default" w:ascii="Times New Roman" w:hAnsi="Times New Roman" w:eastAsia="仿宋_GB2312" w:cs="Times New Roman"/>
          <w:b w:val="0"/>
          <w:bCs w:val="0"/>
          <w:sz w:val="32"/>
          <w:szCs w:val="32"/>
        </w:rPr>
        <w:t>企业办理解决各类需求80余项，在全区服务企业协同考评中，企业诉求的解决率、满意率均为满分，总分排名名列前茅。深入实施“企业梯次培育计划”</w:t>
      </w:r>
      <w:r>
        <w:rPr>
          <w:rFonts w:hint="default" w:ascii="Times New Roman" w:hAnsi="Times New Roman" w:eastAsia="仿宋_GB2312" w:cs="Times New Roman"/>
          <w:b w:val="0"/>
          <w:bCs w:val="0"/>
          <w:color w:val="000000"/>
          <w:sz w:val="32"/>
          <w:szCs w:val="32"/>
        </w:rPr>
        <w:t>，认定5家“领航企业”、16家“领鹰企业”和114家“蜂鸟企业”。不断挖掘经济增量</w:t>
      </w:r>
      <w:r>
        <w:rPr>
          <w:rFonts w:hint="default" w:ascii="Times New Roman" w:hAnsi="Times New Roman" w:eastAsia="仿宋_GB2312" w:cs="Times New Roman"/>
          <w:b w:val="0"/>
          <w:bCs w:val="0"/>
          <w:color w:val="0C0C0C"/>
          <w:sz w:val="32"/>
          <w:szCs w:val="32"/>
        </w:rPr>
        <w:t>，</w:t>
      </w:r>
      <w:r>
        <w:rPr>
          <w:rFonts w:hint="default" w:ascii="Times New Roman" w:hAnsi="Times New Roman" w:eastAsia="仿宋_GB2312" w:cs="Times New Roman"/>
          <w:b w:val="0"/>
          <w:bCs w:val="0"/>
          <w:color w:val="0D0D0D"/>
          <w:sz w:val="32"/>
          <w:szCs w:val="32"/>
        </w:rPr>
        <w:t>提前1个季度完成落地项目区级任务</w:t>
      </w:r>
      <w:r>
        <w:rPr>
          <w:rFonts w:hint="default" w:ascii="Times New Roman" w:hAnsi="Times New Roman" w:eastAsia="仿宋_GB2312" w:cs="Times New Roman"/>
          <w:b w:val="0"/>
          <w:bCs w:val="0"/>
          <w:color w:val="0C0C0C"/>
          <w:sz w:val="32"/>
          <w:szCs w:val="32"/>
        </w:rPr>
        <w:t>。</w:t>
      </w:r>
      <w:r>
        <w:rPr>
          <w:rFonts w:hint="default" w:ascii="Times New Roman" w:hAnsi="Times New Roman" w:eastAsia="仿宋_GB2312" w:cs="Times New Roman"/>
          <w:b w:val="0"/>
          <w:bCs w:val="0"/>
          <w:sz w:val="32"/>
          <w:szCs w:val="32"/>
        </w:rPr>
        <w:t>三是优化结构创新业态，实施文化数字化发展战略，引导传统产业转型升级，大力发展网络视听、互动娱乐、数字出版等文化产业新兴业态，</w:t>
      </w:r>
      <w:r>
        <w:rPr>
          <w:rFonts w:hint="default" w:ascii="Times New Roman" w:hAnsi="Times New Roman" w:eastAsia="仿宋_GB2312" w:cs="Times New Roman"/>
          <w:bCs/>
          <w:sz w:val="32"/>
          <w:szCs w:val="32"/>
        </w:rPr>
        <w:t>不断创新文旅消费新模式。</w:t>
      </w:r>
    </w:p>
    <w:p w14:paraId="0193FECE">
      <w:pPr>
        <w:numPr>
          <w:ilvl w:val="0"/>
          <w:numId w:val="0"/>
        </w:numPr>
        <w:adjustRightInd w:val="0"/>
        <w:snapToGrid w:val="0"/>
        <w:spacing w:line="60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社会效益</w:t>
      </w:r>
    </w:p>
    <w:p w14:paraId="24C83B75">
      <w:pPr>
        <w:numPr>
          <w:ilvl w:val="0"/>
          <w:numId w:val="0"/>
        </w:numPr>
        <w:adjustRightInd w:val="0"/>
        <w:snapToGrid w:val="0"/>
        <w:spacing w:line="60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val="0"/>
          <w:bCs/>
          <w:kern w:val="0"/>
          <w:sz w:val="32"/>
          <w:szCs w:val="32"/>
        </w:rPr>
        <w:t>聚焦顶层设计，加强规划引领效能</w:t>
      </w:r>
      <w:r>
        <w:rPr>
          <w:rFonts w:hint="default" w:ascii="Times New Roman" w:hAnsi="Times New Roman" w:eastAsia="仿宋_GB2312" w:cs="Times New Roman"/>
          <w:b w:val="0"/>
          <w:bCs/>
          <w:kern w:val="0"/>
          <w:sz w:val="32"/>
          <w:szCs w:val="32"/>
          <w:lang w:eastAsia="zh-CN"/>
        </w:rPr>
        <w:t>。</w:t>
      </w:r>
      <w:r>
        <w:rPr>
          <w:rFonts w:hint="default" w:ascii="Times New Roman" w:hAnsi="Times New Roman" w:eastAsia="仿宋_GB2312" w:cs="Times New Roman"/>
          <w:b w:val="0"/>
          <w:bCs/>
          <w:sz w:val="32"/>
          <w:szCs w:val="32"/>
        </w:rPr>
        <w:t>一是优化政策体系供给，修订完善《朝阳区促进文化产业高质量发展的若干措施》，进一步突出园区综合效益、企业提质发展、文化科技融合以及文旅消费的支持力度，增加支持影视企业发展相关条款。提振企业发展信心。二是主动谋划发展，</w:t>
      </w:r>
      <w:r>
        <w:rPr>
          <w:rFonts w:hint="default" w:ascii="Times New Roman" w:hAnsi="Times New Roman" w:eastAsia="仿宋_GB2312" w:cs="Times New Roman"/>
          <w:b w:val="0"/>
          <w:bCs/>
          <w:sz w:val="32"/>
        </w:rPr>
        <w:t>开展《以文化科技深度融合加快培育文化产业新质生产力》课题研究工作，探索</w:t>
      </w:r>
      <w:r>
        <w:rPr>
          <w:rFonts w:hint="default" w:ascii="Times New Roman" w:hAnsi="Times New Roman" w:eastAsia="仿宋_GB2312" w:cs="Times New Roman"/>
          <w:b w:val="0"/>
          <w:bCs/>
          <w:sz w:val="32"/>
          <w:szCs w:val="32"/>
        </w:rPr>
        <w:t>新质生产力促进文化产业创新发展的新路径；开展“十五五”期间朝阳区文化产业及国家文化产业创新实验区高质量发展实施路径的前期研究。</w:t>
      </w:r>
    </w:p>
    <w:p w14:paraId="0A759485">
      <w:pPr>
        <w:numPr>
          <w:ilvl w:val="0"/>
          <w:numId w:val="0"/>
        </w:numPr>
        <w:adjustRightInd w:val="0"/>
        <w:snapToGrid w:val="0"/>
        <w:spacing w:line="60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环境效益</w:t>
      </w:r>
    </w:p>
    <w:p w14:paraId="0C8197D8">
      <w:pPr>
        <w:numPr>
          <w:ilvl w:val="0"/>
          <w:numId w:val="0"/>
        </w:numPr>
        <w:adjustRightInd w:val="0"/>
        <w:snapToGrid w:val="0"/>
        <w:spacing w:line="60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Cs/>
          <w:sz w:val="32"/>
          <w:szCs w:val="32"/>
        </w:rPr>
        <w:t>强化平台建设，营造优质</w:t>
      </w:r>
      <w:r>
        <w:rPr>
          <w:rFonts w:hint="eastAsia" w:eastAsia="仿宋_GB2312" w:cs="Times New Roman"/>
          <w:bCs/>
          <w:sz w:val="32"/>
          <w:szCs w:val="32"/>
          <w:lang w:eastAsia="zh-CN"/>
        </w:rPr>
        <w:t>营商环境</w:t>
      </w:r>
      <w:bookmarkStart w:id="0" w:name="_GoBack"/>
      <w:bookmarkEnd w:id="0"/>
      <w:r>
        <w:rPr>
          <w:rFonts w:hint="default" w:ascii="Times New Roman" w:hAnsi="Times New Roman" w:cs="Times New Roman"/>
          <w:bCs/>
          <w:sz w:val="32"/>
          <w:szCs w:val="32"/>
          <w:lang w:eastAsia="zh-CN"/>
        </w:rPr>
        <w:t>。</w:t>
      </w:r>
      <w:r>
        <w:rPr>
          <w:rFonts w:hint="default" w:ascii="Times New Roman" w:hAnsi="Times New Roman" w:eastAsia="仿宋_GB2312" w:cs="Times New Roman"/>
          <w:b w:val="0"/>
          <w:bCs/>
          <w:sz w:val="32"/>
          <w:szCs w:val="32"/>
        </w:rPr>
        <w:t>一是提高文化金融服务效能，发挥文创实验区企业信用促进会作用，深化信用融资服务体系建设，拓展文化企业融资渠道。举办2024北京朝阳文化金融思享汇，探讨数智时代金融服务数字文化产业发展的新路径。成立朝阳区网游电竞金融服务联合体，为网游电竞企业提供全方位、一站式、多元化金融和政务服务，促进区域网游电竞产业高质量健康发展。围绕AIGC、文化新消费、文旅融合发展等共举办5场文化金融项目融资路演活动。二是创新政务服务形式，依托广电政务审批帮办窗口、实验区政务服务工作站累计受理企业各类咨询百余次，引入“朝保宝”AI智能一体机开展社保服务。三是搭建公共服务平台，织密知识产权保护网，举办4·26知识产权宣传周主题活动，打造法官工作站、普法驿站、朝知云调解平台等法律服务品牌，推出特色化版权服务平台。联合区人力社保局、中国传媒大学共同策划开展朝阳区文化企业专场招聘会</w:t>
      </w:r>
      <w:r>
        <w:rPr>
          <w:rFonts w:hint="default" w:ascii="Times New Roman" w:hAnsi="Times New Roman" w:eastAsia="仿宋_GB2312" w:cs="Times New Roman"/>
          <w:b w:val="0"/>
          <w:bCs/>
          <w:color w:val="333333"/>
          <w:sz w:val="32"/>
          <w:szCs w:val="32"/>
        </w:rPr>
        <w:t>。</w:t>
      </w:r>
      <w:r>
        <w:rPr>
          <w:rFonts w:hint="default" w:ascii="Times New Roman" w:hAnsi="Times New Roman" w:eastAsia="仿宋_GB2312" w:cs="Times New Roman"/>
          <w:b w:val="0"/>
          <w:bCs/>
          <w:sz w:val="32"/>
          <w:szCs w:val="32"/>
        </w:rPr>
        <w:t>四是强化精英人才培养。举办2024年朝阳区文化产业高质量发展培训班，邀请知名高校、研究智库、文化企业的专家学者和负责人进行授课，有效</w:t>
      </w:r>
      <w:r>
        <w:rPr>
          <w:rFonts w:hint="default" w:ascii="Times New Roman" w:hAnsi="Times New Roman" w:eastAsia="仿宋" w:cs="Times New Roman"/>
          <w:b w:val="0"/>
          <w:bCs/>
          <w:sz w:val="32"/>
          <w:szCs w:val="32"/>
        </w:rPr>
        <w:t>提升文化产业人才经营管理能力及水平，更好推动全区文化产业高质量发展。</w:t>
      </w:r>
    </w:p>
    <w:p w14:paraId="19E873E2">
      <w:pPr>
        <w:numPr>
          <w:ilvl w:val="0"/>
          <w:numId w:val="0"/>
        </w:numPr>
        <w:spacing w:line="60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可持续性影响</w:t>
      </w:r>
    </w:p>
    <w:p w14:paraId="680538BA">
      <w:pPr>
        <w:numPr>
          <w:ilvl w:val="0"/>
          <w:numId w:val="0"/>
        </w:numPr>
        <w:spacing w:line="60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Cs/>
          <w:sz w:val="32"/>
          <w:szCs w:val="32"/>
        </w:rPr>
        <w:t>提升园区能级，夯实产业发展支撑</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 w:val="0"/>
          <w:bCs w:val="0"/>
          <w:sz w:val="32"/>
          <w:szCs w:val="32"/>
        </w:rPr>
        <w:t>一是实施“园区品质提升计划”，采取重点培育和“揭榜挂帅”相结合的机制</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二是深入推进智慧园区建设，定制生成国家文创实验区政策咨询数字人，开设“数字人每周播报”栏目，推出国产人工智能大模型免费试用服务。三是举办“北京798国际儿童艺术周”和“北京798艺术节”</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持续提升品牌影响力。四是打造文化消费新引擎，精心指导重点园区创新开展文化消费活动，服务“电竞北京2024”系列活动落地，丰富市民文化体验和供给。</w:t>
      </w:r>
    </w:p>
    <w:p w14:paraId="4E0F3495">
      <w:pPr>
        <w:spacing w:line="600" w:lineRule="exact"/>
        <w:ind w:left="105" w:leftChars="50" w:firstLine="480" w:firstLineChars="15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5.服务对象满意度</w:t>
      </w:r>
    </w:p>
    <w:p w14:paraId="1AFE3BB7">
      <w:pPr>
        <w:spacing w:line="600" w:lineRule="exact"/>
        <w:ind w:firstLine="640" w:firstLineChars="200"/>
        <w:rPr>
          <w:rFonts w:hint="default" w:ascii="Times New Roman" w:hAnsi="Times New Roman" w:eastAsia="仿宋_GB2312" w:cs="Times New Roman"/>
          <w:kern w:val="0"/>
          <w:sz w:val="32"/>
          <w:szCs w:val="32"/>
          <w:highlight w:val="yellow"/>
        </w:rPr>
      </w:pPr>
      <w:r>
        <w:rPr>
          <w:rFonts w:hint="default" w:ascii="Times New Roman" w:hAnsi="Times New Roman" w:eastAsia="仿宋_GB2312" w:cs="Times New Roman"/>
          <w:sz w:val="32"/>
          <w:szCs w:val="32"/>
        </w:rPr>
        <w:t>2024年</w:t>
      </w:r>
      <w:r>
        <w:rPr>
          <w:rFonts w:hint="default" w:ascii="Times New Roman" w:hAnsi="Times New Roman" w:eastAsia="仿宋_GB2312" w:cs="Times New Roman"/>
          <w:sz w:val="32"/>
          <w:szCs w:val="32"/>
          <w:lang w:eastAsia="zh-CN"/>
        </w:rPr>
        <w:t>，管委会</w:t>
      </w:r>
      <w:r>
        <w:rPr>
          <w:rFonts w:hint="default" w:ascii="Times New Roman" w:hAnsi="Times New Roman" w:eastAsia="仿宋_GB2312" w:cs="Times New Roman"/>
          <w:sz w:val="32"/>
          <w:szCs w:val="32"/>
        </w:rPr>
        <w:t>深入实施“文化+”发展战略，不断完善现代文化产业体系和市场体系，全区文化产业高质量发展取得显著成效，服务首都建设“全国文化中心”的贡献显著提高，引领全国文化产业创新发展的作用显著显现，高标准高质量完成了年度各项任务</w:t>
      </w:r>
      <w:r>
        <w:rPr>
          <w:rFonts w:hint="default" w:ascii="Times New Roman" w:hAnsi="Times New Roman" w:eastAsia="仿宋_GB2312" w:cs="Times New Roman"/>
          <w:sz w:val="32"/>
          <w:szCs w:val="32"/>
          <w:lang w:eastAsia="zh-CN"/>
        </w:rPr>
        <w:t>，服务对象满意度不断提升</w:t>
      </w:r>
      <w:r>
        <w:rPr>
          <w:rFonts w:hint="default" w:ascii="Times New Roman" w:hAnsi="Times New Roman" w:eastAsia="仿宋_GB2312" w:cs="Times New Roman"/>
          <w:sz w:val="32"/>
          <w:szCs w:val="32"/>
        </w:rPr>
        <w:t>。</w:t>
      </w:r>
    </w:p>
    <w:p w14:paraId="3480C16E">
      <w:pPr>
        <w:spacing w:line="600" w:lineRule="exact"/>
        <w:ind w:left="105" w:leftChars="50" w:firstLine="480" w:firstLineChars="15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四、预算管理情况分析</w:t>
      </w:r>
    </w:p>
    <w:p w14:paraId="3EF20F85">
      <w:pPr>
        <w:spacing w:line="600" w:lineRule="exact"/>
        <w:ind w:left="105" w:leftChars="50" w:firstLine="480" w:firstLineChars="15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（一）财务管理</w:t>
      </w:r>
    </w:p>
    <w:p w14:paraId="4E7A03DA">
      <w:pPr>
        <w:spacing w:line="580" w:lineRule="exact"/>
        <w:ind w:left="105" w:leftChars="50"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1.财务管理制度健全性</w:t>
      </w:r>
    </w:p>
    <w:p w14:paraId="55F1EBD9">
      <w:pPr>
        <w:spacing w:line="580" w:lineRule="exact"/>
        <w:ind w:left="105" w:leftChars="50"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为规范文创实验区管委会财务行为，提高财务管理水平，文创实验区管委会根据财务管理相关规定，结合本单位工作实际，不断完善制度机制、优化工作流程，夯实财务管理基础，形成了涵盖预算管理、支出管理、审批程序、固定资产、政府采购等较为健全的财务管理制度体系，为管委会财务管理工作提供了制度依据。</w:t>
      </w:r>
    </w:p>
    <w:p w14:paraId="1698BE32">
      <w:pPr>
        <w:spacing w:line="580" w:lineRule="exact"/>
        <w:ind w:left="105" w:leftChars="50"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2.资金使用合规性和安全性</w:t>
      </w:r>
    </w:p>
    <w:p w14:paraId="1A25402F">
      <w:pPr>
        <w:spacing w:line="580" w:lineRule="exact"/>
        <w:ind w:left="105" w:leftChars="50"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文创实验区管委会始终严格按照部门预算管理要求，强化资金使用管理，做到专款专用，合理合规使用各项资金。202</w:t>
      </w:r>
      <w:r>
        <w:rPr>
          <w:rFonts w:hint="default"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年，坚持从问题导向入手，不断筑牢风险防线，进一步提升资金使用的合规性和安全性。</w:t>
      </w:r>
      <w:r>
        <w:rPr>
          <w:rFonts w:hint="default" w:ascii="Times New Roman" w:hAnsi="Times New Roman" w:eastAsia="仿宋_GB2312" w:cs="Times New Roman"/>
          <w:b/>
          <w:color w:val="000000"/>
          <w:kern w:val="0"/>
          <w:sz w:val="32"/>
          <w:szCs w:val="32"/>
        </w:rPr>
        <w:t>一是</w:t>
      </w:r>
      <w:r>
        <w:rPr>
          <w:rFonts w:hint="default" w:ascii="Times New Roman" w:hAnsi="Times New Roman" w:eastAsia="仿宋_GB2312" w:cs="Times New Roman"/>
          <w:color w:val="000000"/>
          <w:kern w:val="0"/>
          <w:sz w:val="32"/>
          <w:szCs w:val="32"/>
        </w:rPr>
        <w:t>加强各类财经法规的学习培训，不断规范和加强资金使用，降低财务管理风险。</w:t>
      </w:r>
      <w:r>
        <w:rPr>
          <w:rFonts w:hint="default" w:ascii="Times New Roman" w:hAnsi="Times New Roman" w:eastAsia="仿宋_GB2312" w:cs="Times New Roman"/>
          <w:b/>
          <w:color w:val="000000"/>
          <w:kern w:val="0"/>
          <w:sz w:val="32"/>
          <w:szCs w:val="32"/>
        </w:rPr>
        <w:t>二是</w:t>
      </w:r>
      <w:r>
        <w:rPr>
          <w:rFonts w:hint="default" w:ascii="Times New Roman" w:hAnsi="Times New Roman" w:eastAsia="仿宋_GB2312" w:cs="Times New Roman"/>
          <w:color w:val="000000"/>
          <w:kern w:val="0"/>
          <w:sz w:val="32"/>
          <w:szCs w:val="32"/>
        </w:rPr>
        <w:t>扎实开展内部控制管理情况评价工作，查找在事项决策、采购实施、经费结算、资产管理、合同管理等方面的潜在风险并采取有效措施有效防范各项资金使用和管理风险。</w:t>
      </w:r>
    </w:p>
    <w:p w14:paraId="3F3D4570">
      <w:pPr>
        <w:spacing w:line="580" w:lineRule="exact"/>
        <w:ind w:left="105" w:leftChars="50"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3.会计基础信息完善性</w:t>
      </w:r>
    </w:p>
    <w:p w14:paraId="64C8DEBD">
      <w:pPr>
        <w:spacing w:line="580" w:lineRule="exact"/>
        <w:ind w:left="105" w:leftChars="50"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文创实验区管委会积极参加区财政局、区审计局举办的各类培训，及时掌握新规定、新要求，严格按照政府会计制度组织会计核算，办理会计业务，确保会计信息合法、真实、准确、及时、完整。</w:t>
      </w:r>
    </w:p>
    <w:p w14:paraId="7E1741AC">
      <w:pPr>
        <w:spacing w:line="580" w:lineRule="exact"/>
        <w:ind w:left="105" w:leftChars="50"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（二）资产管理</w:t>
      </w:r>
    </w:p>
    <w:p w14:paraId="1C59B15A">
      <w:pPr>
        <w:spacing w:line="580" w:lineRule="exact"/>
        <w:ind w:left="105" w:leftChars="50"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文创实验区管委会严格落实资产管理相关规定，围绕部门工作特点和需求，以落实资产管理主体责任制为抓手，以强化资产的日常管理为出发点和落脚点，扎实落实资产管理工作。</w:t>
      </w:r>
      <w:r>
        <w:rPr>
          <w:rFonts w:hint="default" w:ascii="Times New Roman" w:hAnsi="Times New Roman" w:eastAsia="仿宋_GB2312" w:cs="Times New Roman"/>
          <w:b/>
          <w:color w:val="000000"/>
          <w:kern w:val="0"/>
          <w:sz w:val="32"/>
          <w:szCs w:val="32"/>
        </w:rPr>
        <w:t>一是</w:t>
      </w:r>
      <w:r>
        <w:rPr>
          <w:rFonts w:hint="default" w:ascii="Times New Roman" w:hAnsi="Times New Roman" w:eastAsia="仿宋_GB2312" w:cs="Times New Roman"/>
          <w:color w:val="000000"/>
          <w:kern w:val="0"/>
          <w:sz w:val="32"/>
          <w:szCs w:val="32"/>
        </w:rPr>
        <w:t>狠抓业务学习，及时组织干部学习上级关于加强资产管理工作的指示要求，将资产管理各项制度作为重点学习内容，同资产月报、年报、盘点等具体工作有效结合起来，进一步增强了干部的法规意识，有效提升了资产管理的科学化精细化水平；</w:t>
      </w:r>
      <w:r>
        <w:rPr>
          <w:rFonts w:hint="default" w:ascii="Times New Roman" w:hAnsi="Times New Roman" w:eastAsia="仿宋_GB2312" w:cs="Times New Roman"/>
          <w:b/>
          <w:color w:val="000000"/>
          <w:kern w:val="0"/>
          <w:sz w:val="32"/>
          <w:szCs w:val="32"/>
        </w:rPr>
        <w:t>二是</w:t>
      </w:r>
      <w:r>
        <w:rPr>
          <w:rFonts w:hint="default" w:ascii="Times New Roman" w:hAnsi="Times New Roman" w:eastAsia="仿宋_GB2312" w:cs="Times New Roman"/>
          <w:color w:val="000000"/>
          <w:kern w:val="0"/>
          <w:sz w:val="32"/>
          <w:szCs w:val="32"/>
        </w:rPr>
        <w:t>切实摸清底数，对我单位固定资产定期进行盘点清查登记，进一步摸清了单位资产情况，为更加规范管理资产、配置资产提供了科学的参考。</w:t>
      </w:r>
      <w:r>
        <w:rPr>
          <w:rFonts w:hint="default" w:ascii="Times New Roman" w:hAnsi="Times New Roman" w:eastAsia="仿宋_GB2312" w:cs="Times New Roman"/>
          <w:b/>
          <w:color w:val="000000"/>
          <w:kern w:val="0"/>
          <w:sz w:val="32"/>
          <w:szCs w:val="32"/>
        </w:rPr>
        <w:t>三是</w:t>
      </w:r>
      <w:r>
        <w:rPr>
          <w:rFonts w:hint="default" w:ascii="Times New Roman" w:hAnsi="Times New Roman" w:eastAsia="仿宋_GB2312" w:cs="Times New Roman"/>
          <w:color w:val="000000"/>
          <w:kern w:val="0"/>
          <w:sz w:val="32"/>
          <w:szCs w:val="32"/>
        </w:rPr>
        <w:t>强化过程管理，合理预算安排，科学配置资产，确保了财政资金的高效使用。加强对固定资产的处置管理，进一步严格审批流程，完善审批手续，有效降低了国有资产流失的风险。</w:t>
      </w:r>
    </w:p>
    <w:p w14:paraId="1F4FCBE2">
      <w:pPr>
        <w:spacing w:line="580" w:lineRule="exact"/>
        <w:ind w:left="105" w:leftChars="50"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（三）绩效管理</w:t>
      </w:r>
    </w:p>
    <w:p w14:paraId="42B6455B">
      <w:pPr>
        <w:spacing w:line="580" w:lineRule="exact"/>
        <w:ind w:left="105" w:leftChars="50"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文创实验区管委会贯彻落实全面预算绩效管理要求，深化全过程预算绩效管理，建立涵盖绩效目标编制、绩效运行监控、绩效评价的“全过程、全覆盖”绩效管理工作流程并严格执行。按要求设定部门整体及各项目的绩效目标，对全部项目开展预算绩效监控及评价工作，进一步提高项目的规范化、科学化、精细化管理水平，为充分发挥财政资金使用效益提供了指导建议。</w:t>
      </w:r>
    </w:p>
    <w:p w14:paraId="38D4C7F9">
      <w:pPr>
        <w:numPr>
          <w:ilvl w:val="0"/>
          <w:numId w:val="0"/>
        </w:numPr>
        <w:spacing w:line="600" w:lineRule="exact"/>
        <w:ind w:leftChars="200" w:firstLine="320" w:firstLineChars="1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（四）</w:t>
      </w:r>
      <w:r>
        <w:rPr>
          <w:rFonts w:hint="default" w:ascii="Times New Roman" w:hAnsi="Times New Roman" w:eastAsia="楷体_GB2312" w:cs="Times New Roman"/>
          <w:sz w:val="32"/>
          <w:szCs w:val="32"/>
        </w:rPr>
        <w:t>结转结余率</w:t>
      </w:r>
    </w:p>
    <w:p w14:paraId="684CCC19">
      <w:pPr>
        <w:numPr>
          <w:ilvl w:val="0"/>
          <w:numId w:val="0"/>
        </w:numPr>
        <w:spacing w:line="600" w:lineRule="exact"/>
        <w:ind w:firstLine="640" w:firstLineChars="200"/>
        <w:rPr>
          <w:rFonts w:hint="default" w:ascii="Times New Roman" w:hAnsi="Times New Roman" w:eastAsia="黑体"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val="en-US" w:eastAsia="zh-CN"/>
        </w:rPr>
        <w:t>2024年，</w:t>
      </w:r>
      <w:r>
        <w:rPr>
          <w:rFonts w:hint="default" w:ascii="Times New Roman" w:hAnsi="Times New Roman" w:eastAsia="仿宋_GB2312" w:cs="Times New Roman"/>
          <w:color w:val="000000"/>
          <w:kern w:val="0"/>
          <w:sz w:val="32"/>
          <w:szCs w:val="32"/>
        </w:rPr>
        <w:t>年末结转和结余</w:t>
      </w:r>
      <w:r>
        <w:rPr>
          <w:rFonts w:hint="default" w:ascii="Times New Roman" w:hAnsi="Times New Roman" w:eastAsia="宋体" w:cs="Times New Roman"/>
          <w:sz w:val="32"/>
          <w:szCs w:val="32"/>
        </w:rPr>
        <w:t>26.24</w:t>
      </w:r>
      <w:r>
        <w:rPr>
          <w:rFonts w:hint="default" w:ascii="Times New Roman" w:hAnsi="Times New Roman" w:eastAsia="仿宋_GB2312" w:cs="Times New Roman"/>
          <w:color w:val="000000"/>
          <w:kern w:val="0"/>
          <w:sz w:val="32"/>
          <w:szCs w:val="32"/>
        </w:rPr>
        <w:t>万元，结转结余率</w:t>
      </w:r>
      <w:r>
        <w:rPr>
          <w:rFonts w:hint="default" w:ascii="Times New Roman" w:hAnsi="Times New Roman" w:eastAsia="仿宋_GB2312" w:cs="Times New Roman"/>
          <w:color w:val="000000"/>
          <w:kern w:val="0"/>
          <w:sz w:val="32"/>
          <w:szCs w:val="32"/>
          <w:lang w:val="en-US" w:eastAsia="zh-CN"/>
        </w:rPr>
        <w:t>0.15</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rPr>
        <w:t>。</w:t>
      </w:r>
    </w:p>
    <w:p w14:paraId="4A8659F5">
      <w:pPr>
        <w:numPr>
          <w:ilvl w:val="0"/>
          <w:numId w:val="3"/>
        </w:numPr>
        <w:spacing w:line="600" w:lineRule="exact"/>
        <w:ind w:left="105" w:leftChars="50" w:firstLine="480" w:firstLineChars="15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部门预决算差异率</w:t>
      </w:r>
    </w:p>
    <w:p w14:paraId="5810C05B">
      <w:pPr>
        <w:widowControl w:val="0"/>
        <w:numPr>
          <w:ilvl w:val="0"/>
          <w:numId w:val="0"/>
        </w:numPr>
        <w:spacing w:line="600" w:lineRule="exact"/>
        <w:ind w:firstLine="640" w:firstLineChars="200"/>
        <w:jc w:val="both"/>
        <w:rPr>
          <w:rFonts w:hint="default" w:ascii="Times New Roman" w:hAnsi="Times New Roman" w:eastAsia="楷体_GB2312" w:cs="Times New Roman"/>
          <w:sz w:val="32"/>
          <w:szCs w:val="32"/>
          <w:lang w:eastAsia="zh-CN"/>
        </w:rPr>
      </w:pPr>
      <w:r>
        <w:rPr>
          <w:rFonts w:hint="default" w:ascii="Times New Roman" w:hAnsi="Times New Roman" w:eastAsia="仿宋_GB2312" w:cs="Times New Roman"/>
          <w:color w:val="000000"/>
          <w:kern w:val="0"/>
          <w:sz w:val="32"/>
          <w:szCs w:val="32"/>
        </w:rPr>
        <w:t>202</w:t>
      </w:r>
      <w:r>
        <w:rPr>
          <w:rFonts w:hint="default"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年，部门</w:t>
      </w:r>
      <w:r>
        <w:rPr>
          <w:rFonts w:hint="eastAsia" w:eastAsia="仿宋_GB2312" w:cs="Times New Roman"/>
          <w:color w:val="000000"/>
          <w:kern w:val="0"/>
          <w:sz w:val="32"/>
          <w:szCs w:val="32"/>
          <w:lang w:eastAsia="zh-CN"/>
        </w:rPr>
        <w:t>年初</w:t>
      </w:r>
      <w:r>
        <w:rPr>
          <w:rFonts w:hint="default" w:ascii="Times New Roman" w:hAnsi="Times New Roman" w:eastAsia="仿宋_GB2312" w:cs="Times New Roman"/>
          <w:color w:val="000000"/>
          <w:kern w:val="0"/>
          <w:sz w:val="32"/>
          <w:szCs w:val="32"/>
        </w:rPr>
        <w:t>预算数</w:t>
      </w:r>
      <w:r>
        <w:rPr>
          <w:rFonts w:hint="eastAsia" w:eastAsia="仿宋_GB2312" w:cs="Times New Roman"/>
          <w:sz w:val="32"/>
          <w:szCs w:val="32"/>
          <w:lang w:val="en-US" w:eastAsia="zh-CN"/>
        </w:rPr>
        <w:t>16593.98</w:t>
      </w:r>
      <w:r>
        <w:rPr>
          <w:rFonts w:hint="default" w:ascii="Times New Roman" w:hAnsi="Times New Roman" w:eastAsia="仿宋_GB2312" w:cs="Times New Roman"/>
          <w:color w:val="000000"/>
          <w:kern w:val="0"/>
          <w:sz w:val="32"/>
          <w:szCs w:val="32"/>
        </w:rPr>
        <w:t>万元，决算数</w:t>
      </w:r>
      <w:r>
        <w:rPr>
          <w:rFonts w:hint="default" w:ascii="Times New Roman" w:hAnsi="Times New Roman" w:eastAsia="仿宋_GB2312" w:cs="Times New Roman"/>
          <w:sz w:val="32"/>
          <w:szCs w:val="32"/>
        </w:rPr>
        <w:t>16544.25</w:t>
      </w:r>
      <w:r>
        <w:rPr>
          <w:rFonts w:hint="default" w:ascii="Times New Roman" w:hAnsi="Times New Roman" w:eastAsia="仿宋_GB2312" w:cs="Times New Roman"/>
          <w:color w:val="000000"/>
          <w:kern w:val="0"/>
          <w:sz w:val="32"/>
          <w:szCs w:val="32"/>
        </w:rPr>
        <w:t>万元，部门预决算差异率为</w:t>
      </w:r>
      <w:r>
        <w:rPr>
          <w:rFonts w:hint="eastAsia" w:eastAsia="仿宋_GB2312" w:cs="Times New Roman"/>
          <w:color w:val="000000"/>
          <w:kern w:val="0"/>
          <w:sz w:val="32"/>
          <w:szCs w:val="32"/>
          <w:lang w:val="en-US" w:eastAsia="zh-CN"/>
        </w:rPr>
        <w:t>0.30</w:t>
      </w:r>
      <w:r>
        <w:rPr>
          <w:rFonts w:hint="default" w:ascii="Times New Roman" w:hAnsi="Times New Roman" w:eastAsia="仿宋_GB2312" w:cs="Times New Roman"/>
          <w:color w:val="000000"/>
          <w:kern w:val="0"/>
          <w:sz w:val="32"/>
          <w:szCs w:val="32"/>
        </w:rPr>
        <w:t>%。</w:t>
      </w:r>
    </w:p>
    <w:p w14:paraId="3C04BF2C">
      <w:pPr>
        <w:spacing w:line="580" w:lineRule="exact"/>
        <w:ind w:left="105" w:leftChars="50" w:firstLine="640" w:firstLineChars="200"/>
        <w:rPr>
          <w:rFonts w:hint="default" w:ascii="Times New Roman" w:hAnsi="Times New Roman" w:eastAsia="楷体_GB2312" w:cs="Times New Roman"/>
          <w:i/>
          <w:sz w:val="32"/>
          <w:szCs w:val="32"/>
        </w:rPr>
      </w:pPr>
      <w:r>
        <w:rPr>
          <w:rFonts w:hint="default" w:ascii="Times New Roman" w:hAnsi="Times New Roman" w:eastAsia="楷体_GB2312" w:cs="Times New Roman"/>
          <w:sz w:val="32"/>
          <w:szCs w:val="32"/>
        </w:rPr>
        <w:t>（一）评价得分情况</w:t>
      </w:r>
    </w:p>
    <w:p w14:paraId="41D1A626">
      <w:pPr>
        <w:spacing w:line="600" w:lineRule="exact"/>
        <w:ind w:left="0" w:leftChars="0" w:firstLine="838" w:firstLineChars="262"/>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文创实验区管委会部门整体绩效评价得分为99.99分。</w:t>
      </w:r>
    </w:p>
    <w:p w14:paraId="34899813">
      <w:pPr>
        <w:spacing w:line="580" w:lineRule="exact"/>
        <w:ind w:left="105" w:leftChars="50"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（二）存在的问题及原因分析</w:t>
      </w:r>
    </w:p>
    <w:p w14:paraId="171DBC35">
      <w:pPr>
        <w:spacing w:line="580" w:lineRule="exact"/>
        <w:ind w:left="0" w:leftChars="0" w:firstLine="838" w:firstLineChars="262"/>
        <w:rPr>
          <w:rFonts w:hint="eastAsia" w:eastAsia="仿宋_GB2312" w:cs="Times New Roman"/>
          <w:color w:val="000000"/>
          <w:kern w:val="0"/>
          <w:sz w:val="32"/>
          <w:szCs w:val="32"/>
          <w:lang w:eastAsia="zh-CN"/>
        </w:rPr>
      </w:pPr>
      <w:r>
        <w:rPr>
          <w:rFonts w:hint="eastAsia" w:eastAsia="仿宋_GB2312" w:cs="Times New Roman"/>
          <w:color w:val="000000"/>
          <w:kern w:val="0"/>
          <w:sz w:val="32"/>
          <w:szCs w:val="32"/>
          <w:lang w:eastAsia="zh-CN"/>
        </w:rPr>
        <w:t>无</w:t>
      </w:r>
    </w:p>
    <w:p w14:paraId="6723EB37">
      <w:pPr>
        <w:spacing w:line="580" w:lineRule="exact"/>
        <w:ind w:firstLine="640" w:firstLineChars="20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六、措施建议</w:t>
      </w:r>
    </w:p>
    <w:p w14:paraId="63DD943F">
      <w:pPr>
        <w:spacing w:line="600" w:lineRule="exact"/>
        <w:ind w:left="0" w:leftChars="0" w:firstLine="838" w:firstLineChars="262"/>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rPr>
        <w:t>下一步，文创实验区管委会将继续学习贯彻落实预算绩效管理相关规定，进一步强化预算绩效管理理念及目标导向，在保证资金安全的情况下，强化预算执行，注重预算执行进度与时间进度的匹配度，更好地发挥积极财政政策作用，</w:t>
      </w:r>
      <w:r>
        <w:rPr>
          <w:rFonts w:hint="default" w:ascii="Times New Roman" w:hAnsi="Times New Roman" w:eastAsia="仿宋_GB2312" w:cs="Times New Roman"/>
          <w:sz w:val="32"/>
          <w:szCs w:val="32"/>
        </w:rPr>
        <w:t>提升财政资金的使用效益。</w:t>
      </w:r>
    </w:p>
    <w:p w14:paraId="030F2CCB">
      <w:pPr>
        <w:spacing w:line="600" w:lineRule="exact"/>
        <w:ind w:left="0" w:leftChars="0" w:firstLine="838" w:firstLineChars="262"/>
        <w:rPr>
          <w:rFonts w:hint="default" w:ascii="Times New Roman" w:hAnsi="Times New Roman" w:eastAsia="仿宋_GB2312" w:cs="Times New Roman"/>
          <w:sz w:val="32"/>
          <w:szCs w:val="32"/>
        </w:rPr>
      </w:pPr>
    </w:p>
    <w:p w14:paraId="7F31051D">
      <w:pPr>
        <w:jc w:val="right"/>
        <w:rPr>
          <w:rFonts w:hint="default" w:ascii="Times New Roman" w:hAnsi="Times New Roman" w:cs="Times New Roman"/>
        </w:rPr>
      </w:pPr>
    </w:p>
    <w:p w14:paraId="57C26D8C">
      <w:pPr>
        <w:rPr>
          <w:rFonts w:hint="default" w:ascii="Times New Roman" w:hAnsi="Times New Roman" w:cs="Times New Roman"/>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1C300">
    <w:pPr>
      <w:pStyle w:val="3"/>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C3C35">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AC3C35">
                    <w:pPr>
                      <w:pStyle w:val="3"/>
                    </w:pPr>
                    <w:r>
                      <w:fldChar w:fldCharType="begin"/>
                    </w:r>
                    <w:r>
                      <w:instrText xml:space="preserve"> PAGE  \* MERGEFORMAT </w:instrText>
                    </w:r>
                    <w:r>
                      <w:fldChar w:fldCharType="separate"/>
                    </w:r>
                    <w:r>
                      <w:t>- 1 -</w:t>
                    </w:r>
                    <w:r>
                      <w:fldChar w:fldCharType="end"/>
                    </w:r>
                  </w:p>
                </w:txbxContent>
              </v:textbox>
            </v:shape>
          </w:pict>
        </mc:Fallback>
      </mc:AlternateContent>
    </w:r>
  </w:p>
  <w:p w14:paraId="55086D98">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F711F">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30C43"/>
    <w:multiLevelType w:val="singleLevel"/>
    <w:tmpl w:val="9E530C43"/>
    <w:lvl w:ilvl="0" w:tentative="0">
      <w:start w:val="2"/>
      <w:numFmt w:val="chineseCounting"/>
      <w:suff w:val="nothing"/>
      <w:lvlText w:val="%1、"/>
      <w:lvlJc w:val="left"/>
      <w:rPr>
        <w:rFonts w:hint="eastAsia"/>
      </w:rPr>
    </w:lvl>
  </w:abstractNum>
  <w:abstractNum w:abstractNumId="1">
    <w:nsid w:val="C443286C"/>
    <w:multiLevelType w:val="singleLevel"/>
    <w:tmpl w:val="C443286C"/>
    <w:lvl w:ilvl="0" w:tentative="0">
      <w:start w:val="2"/>
      <w:numFmt w:val="chineseCounting"/>
      <w:suff w:val="nothing"/>
      <w:lvlText w:val="（%1）"/>
      <w:lvlJc w:val="left"/>
      <w:rPr>
        <w:rFonts w:hint="eastAsia"/>
      </w:rPr>
    </w:lvl>
  </w:abstractNum>
  <w:abstractNum w:abstractNumId="2">
    <w:nsid w:val="CC0A9B1D"/>
    <w:multiLevelType w:val="singleLevel"/>
    <w:tmpl w:val="CC0A9B1D"/>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39DF"/>
    <w:rsid w:val="001C7834"/>
    <w:rsid w:val="0057202C"/>
    <w:rsid w:val="005E3946"/>
    <w:rsid w:val="00B03B70"/>
    <w:rsid w:val="00CF07EE"/>
    <w:rsid w:val="00E617B2"/>
    <w:rsid w:val="00F42C33"/>
    <w:rsid w:val="013E61E2"/>
    <w:rsid w:val="060F45F1"/>
    <w:rsid w:val="09462281"/>
    <w:rsid w:val="0AF62277"/>
    <w:rsid w:val="0E2A74F9"/>
    <w:rsid w:val="14C173FE"/>
    <w:rsid w:val="16AB2114"/>
    <w:rsid w:val="19A90B8D"/>
    <w:rsid w:val="1A3A7BAD"/>
    <w:rsid w:val="1CFA34F8"/>
    <w:rsid w:val="210963B5"/>
    <w:rsid w:val="218C3639"/>
    <w:rsid w:val="21BA320B"/>
    <w:rsid w:val="234F201B"/>
    <w:rsid w:val="255D778F"/>
    <w:rsid w:val="2EFF0FAA"/>
    <w:rsid w:val="2F321339"/>
    <w:rsid w:val="30AA08EF"/>
    <w:rsid w:val="34802092"/>
    <w:rsid w:val="3AAF3EA4"/>
    <w:rsid w:val="3BF963B4"/>
    <w:rsid w:val="3CBE19AA"/>
    <w:rsid w:val="3D8B5960"/>
    <w:rsid w:val="3DFA317F"/>
    <w:rsid w:val="3F740A45"/>
    <w:rsid w:val="426C1EA8"/>
    <w:rsid w:val="4BE15060"/>
    <w:rsid w:val="52991883"/>
    <w:rsid w:val="55592760"/>
    <w:rsid w:val="5627460C"/>
    <w:rsid w:val="585D60C3"/>
    <w:rsid w:val="5AFA409D"/>
    <w:rsid w:val="5B1D39DF"/>
    <w:rsid w:val="5E423AFE"/>
    <w:rsid w:val="62392A6E"/>
    <w:rsid w:val="63F975E8"/>
    <w:rsid w:val="65745A7F"/>
    <w:rsid w:val="65931376"/>
    <w:rsid w:val="673E6231"/>
    <w:rsid w:val="69C91FDD"/>
    <w:rsid w:val="6D8C05DE"/>
    <w:rsid w:val="72E70C0D"/>
    <w:rsid w:val="74757A7E"/>
    <w:rsid w:val="75126D7A"/>
    <w:rsid w:val="7C086E90"/>
    <w:rsid w:val="7E933E58"/>
    <w:rsid w:val="7F941D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line="440" w:lineRule="exact"/>
    </w:pPr>
    <w:rPr>
      <w:rFonts w:eastAsia="仿宋_GB2312"/>
      <w:sz w:val="32"/>
    </w:rPr>
  </w:style>
  <w:style w:type="paragraph" w:styleId="3">
    <w:name w:val="footer"/>
    <w:basedOn w:val="1"/>
    <w:qFormat/>
    <w:uiPriority w:val="0"/>
    <w:pPr>
      <w:tabs>
        <w:tab w:val="center" w:pos="4153"/>
        <w:tab w:val="right" w:pos="8306"/>
      </w:tabs>
      <w:snapToGrid w:val="0"/>
      <w:jc w:val="left"/>
    </w:pPr>
    <w:rPr>
      <w:sz w:val="18"/>
      <w:szCs w:val="20"/>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imes New Roman" w:hAnsi="Times New Roman" w:eastAsia="宋体" w:cs="Times New Roman"/>
      <w:kern w:val="2"/>
      <w:sz w:val="18"/>
      <w:szCs w:val="18"/>
    </w:rPr>
  </w:style>
  <w:style w:type="paragraph" w:customStyle="1" w:styleId="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3656</Words>
  <Characters>3865</Characters>
  <Lines>3</Lines>
  <Paragraphs>1</Paragraphs>
  <TotalTime>126</TotalTime>
  <ScaleCrop>false</ScaleCrop>
  <LinksUpToDate>false</LinksUpToDate>
  <CharactersWithSpaces>3893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2024-01-18T03:00:00Z</dcterms:created>
  <dc:creator>Administrator</dc:creator>
  <cp:lastModifiedBy>李霖</cp:lastModifiedBy>
  <cp:lastPrinted>2025-02-13T08:16:00Z</cp:lastPrinted>
  <dcterms:modified xsi:type="dcterms:W3CDTF">2025-09-03T05:38:03Z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eyJoZGlkIjoiMDMxZDgyMTZkYWMyNTgzZWMxZGY2YjM5OWExNjcwMWEiLCJ1c2VySWQiOiI2OTA5NTM5ODcifQ==</vt:lpwstr>
  </property>
  <property fmtid="{D5CDD505-2E9C-101B-9397-08002B2CF9AE}" pid="4" name="ICV">
    <vt:lpwstr>1A14F58B42884736A38D75A8E92D34D3_12</vt:lpwstr>
  </property>
</Properties>
</file>