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Times New Roman" w:eastAsia="方正小标宋简体"/>
          <w:color w:val="000000" w:themeColor="text1"/>
          <w:sz w:val="44"/>
          <w:szCs w:val="44"/>
        </w:rPr>
      </w:pPr>
    </w:p>
    <w:p>
      <w:pPr>
        <w:pStyle w:val="2"/>
      </w:pPr>
    </w:p>
    <w:p>
      <w:pPr>
        <w:spacing w:line="600" w:lineRule="exact"/>
        <w:ind w:firstLine="880" w:firstLineChars="200"/>
        <w:jc w:val="center"/>
        <w:rPr>
          <w:rFonts w:ascii="Times New Roman" w:eastAsia="方正小标宋简体"/>
          <w:color w:val="000000" w:themeColor="text1"/>
          <w:sz w:val="44"/>
          <w:szCs w:val="44"/>
        </w:rPr>
      </w:pPr>
    </w:p>
    <w:p>
      <w:pPr>
        <w:spacing w:line="600" w:lineRule="exact"/>
        <w:ind w:firstLine="880" w:firstLineChars="200"/>
        <w:jc w:val="center"/>
        <w:rPr>
          <w:rFonts w:ascii="Times New Roman" w:eastAsia="方正小标宋简体"/>
          <w:color w:val="000000" w:themeColor="text1"/>
          <w:sz w:val="44"/>
          <w:szCs w:val="44"/>
        </w:rPr>
      </w:pPr>
    </w:p>
    <w:p>
      <w:pPr>
        <w:jc w:val="center"/>
        <w:rPr>
          <w:rFonts w:ascii="Times New Roman" w:eastAsia="方正小标宋简体" w:cs="方正小标宋简体"/>
          <w:kern w:val="0"/>
          <w:sz w:val="44"/>
          <w:szCs w:val="44"/>
        </w:rPr>
      </w:pPr>
      <w:r>
        <w:rPr>
          <w:rFonts w:hint="eastAsia" w:ascii="Times New Roman" w:eastAsia="方正小标宋简体" w:cs="方正小标宋简体"/>
          <w:kern w:val="0"/>
          <w:sz w:val="44"/>
          <w:szCs w:val="44"/>
        </w:rPr>
        <w:t>北京市朝阳区“十四五”时期</w:t>
      </w:r>
      <w:bookmarkStart w:id="90" w:name="_GoBack"/>
      <w:bookmarkEnd w:id="90"/>
    </w:p>
    <w:p>
      <w:pPr>
        <w:jc w:val="center"/>
        <w:rPr>
          <w:rFonts w:ascii="Times New Roman" w:eastAsia="方正小标宋简体" w:cs="方正小标宋简体"/>
          <w:kern w:val="0"/>
          <w:sz w:val="44"/>
          <w:szCs w:val="44"/>
        </w:rPr>
      </w:pPr>
      <w:r>
        <w:rPr>
          <w:rFonts w:hint="eastAsia" w:ascii="Times New Roman" w:eastAsia="方正小标宋简体" w:cs="方正小标宋简体"/>
          <w:kern w:val="0"/>
          <w:sz w:val="44"/>
          <w:szCs w:val="44"/>
        </w:rPr>
        <w:t>水务发展规划</w:t>
      </w:r>
    </w:p>
    <w:p>
      <w:pPr>
        <w:snapToGrid w:val="0"/>
        <w:spacing w:before="159" w:beforeLines="50" w:line="560" w:lineRule="exact"/>
        <w:jc w:val="center"/>
        <w:rPr>
          <w:rFonts w:ascii="Times New Roman" w:eastAsia="楷体_GB2312" w:cs="楷体_GB2312"/>
          <w:b/>
          <w:bCs/>
          <w:szCs w:val="32"/>
        </w:rPr>
      </w:pPr>
    </w:p>
    <w:p>
      <w:pPr>
        <w:adjustRightInd w:val="0"/>
        <w:snapToGrid w:val="0"/>
        <w:spacing w:line="580" w:lineRule="exact"/>
        <w:ind w:firstLine="640" w:firstLineChars="200"/>
        <w:rPr>
          <w:rFonts w:ascii="Times New Roman"/>
          <w:color w:val="000000" w:themeColor="text1"/>
          <w:szCs w:val="32"/>
        </w:rPr>
      </w:pPr>
    </w:p>
    <w:p>
      <w:pPr>
        <w:adjustRightInd w:val="0"/>
        <w:snapToGrid w:val="0"/>
        <w:spacing w:line="580" w:lineRule="exact"/>
        <w:ind w:firstLine="640" w:firstLineChars="200"/>
        <w:rPr>
          <w:rFonts w:ascii="Times New Roman"/>
          <w:color w:val="000000" w:themeColor="text1"/>
          <w:szCs w:val="32"/>
        </w:rPr>
      </w:pPr>
    </w:p>
    <w:p>
      <w:pPr>
        <w:adjustRightInd w:val="0"/>
        <w:snapToGrid w:val="0"/>
        <w:spacing w:line="580" w:lineRule="exact"/>
        <w:ind w:firstLine="640" w:firstLineChars="200"/>
        <w:rPr>
          <w:rFonts w:ascii="Times New Roman"/>
          <w:color w:val="000000" w:themeColor="text1"/>
          <w:szCs w:val="32"/>
        </w:rPr>
      </w:pPr>
    </w:p>
    <w:p>
      <w:pPr>
        <w:adjustRightInd w:val="0"/>
        <w:snapToGrid w:val="0"/>
        <w:spacing w:line="580" w:lineRule="exact"/>
        <w:ind w:firstLine="640" w:firstLineChars="200"/>
        <w:rPr>
          <w:rFonts w:ascii="Times New Roman"/>
          <w:color w:val="000000" w:themeColor="text1"/>
          <w:szCs w:val="32"/>
        </w:rPr>
      </w:pPr>
    </w:p>
    <w:p>
      <w:pPr>
        <w:adjustRightInd w:val="0"/>
        <w:snapToGrid w:val="0"/>
        <w:spacing w:line="580" w:lineRule="exact"/>
        <w:ind w:firstLine="640" w:firstLineChars="200"/>
        <w:rPr>
          <w:rFonts w:ascii="Times New Roman"/>
          <w:color w:val="000000" w:themeColor="text1"/>
          <w:szCs w:val="32"/>
        </w:rPr>
      </w:pPr>
    </w:p>
    <w:p>
      <w:pPr>
        <w:adjustRightInd w:val="0"/>
        <w:snapToGrid w:val="0"/>
        <w:spacing w:line="580" w:lineRule="exact"/>
        <w:ind w:firstLine="640" w:firstLineChars="200"/>
        <w:rPr>
          <w:rFonts w:ascii="Times New Roman"/>
          <w:color w:val="000000" w:themeColor="text1"/>
          <w:szCs w:val="32"/>
        </w:rPr>
      </w:pPr>
    </w:p>
    <w:p>
      <w:pPr>
        <w:adjustRightInd w:val="0"/>
        <w:snapToGrid w:val="0"/>
        <w:spacing w:line="580" w:lineRule="exact"/>
        <w:ind w:firstLine="640" w:firstLineChars="200"/>
        <w:rPr>
          <w:rFonts w:ascii="Times New Roman"/>
          <w:color w:val="000000" w:themeColor="text1"/>
          <w:szCs w:val="32"/>
        </w:rPr>
      </w:pPr>
    </w:p>
    <w:p>
      <w:pPr>
        <w:adjustRightInd w:val="0"/>
        <w:snapToGrid w:val="0"/>
        <w:spacing w:line="580" w:lineRule="exact"/>
        <w:ind w:firstLine="640" w:firstLineChars="200"/>
        <w:rPr>
          <w:rFonts w:ascii="Times New Roman"/>
          <w:color w:val="000000" w:themeColor="text1"/>
          <w:szCs w:val="32"/>
        </w:rPr>
      </w:pPr>
    </w:p>
    <w:p>
      <w:pPr>
        <w:adjustRightInd w:val="0"/>
        <w:snapToGrid w:val="0"/>
        <w:spacing w:line="580" w:lineRule="exact"/>
        <w:ind w:firstLine="640" w:firstLineChars="200"/>
        <w:rPr>
          <w:rFonts w:ascii="Times New Roman"/>
          <w:color w:val="000000" w:themeColor="text1"/>
          <w:szCs w:val="32"/>
        </w:rPr>
      </w:pPr>
    </w:p>
    <w:p>
      <w:pPr>
        <w:adjustRightInd w:val="0"/>
        <w:snapToGrid w:val="0"/>
        <w:spacing w:line="580" w:lineRule="exact"/>
        <w:ind w:firstLine="640" w:firstLineChars="200"/>
        <w:rPr>
          <w:rFonts w:ascii="Times New Roman"/>
          <w:color w:val="000000" w:themeColor="text1"/>
          <w:szCs w:val="32"/>
        </w:rPr>
      </w:pPr>
    </w:p>
    <w:p>
      <w:pPr>
        <w:adjustRightInd w:val="0"/>
        <w:snapToGrid w:val="0"/>
        <w:spacing w:line="580" w:lineRule="exact"/>
        <w:ind w:firstLine="640" w:firstLineChars="200"/>
        <w:rPr>
          <w:rFonts w:ascii="Times New Roman"/>
          <w:color w:val="000000" w:themeColor="text1"/>
          <w:szCs w:val="32"/>
        </w:rPr>
      </w:pPr>
    </w:p>
    <w:p>
      <w:pPr>
        <w:adjustRightInd w:val="0"/>
        <w:snapToGrid w:val="0"/>
        <w:spacing w:line="580" w:lineRule="exact"/>
        <w:ind w:firstLine="640" w:firstLineChars="200"/>
        <w:rPr>
          <w:rFonts w:ascii="Times New Roman"/>
          <w:color w:val="000000" w:themeColor="text1"/>
          <w:szCs w:val="32"/>
        </w:rPr>
      </w:pPr>
    </w:p>
    <w:p>
      <w:pPr>
        <w:spacing w:line="600" w:lineRule="exact"/>
        <w:jc w:val="center"/>
        <w:rPr>
          <w:rFonts w:ascii="Times New Roman"/>
          <w:b/>
          <w:bCs/>
          <w:color w:val="000000" w:themeColor="text1"/>
          <w:szCs w:val="32"/>
        </w:rPr>
      </w:pPr>
      <w:r>
        <w:rPr>
          <w:rFonts w:ascii="Times New Roman"/>
          <w:b/>
          <w:bCs/>
          <w:color w:val="000000" w:themeColor="text1"/>
          <w:szCs w:val="32"/>
        </w:rPr>
        <w:t>北京市朝阳区人民政府</w:t>
      </w:r>
    </w:p>
    <w:p>
      <w:pPr>
        <w:pStyle w:val="60"/>
        <w:rPr>
          <w:rFonts w:eastAsia="仿宋"/>
          <w:sz w:val="24"/>
          <w:szCs w:val="24"/>
        </w:rPr>
      </w:pPr>
      <w:r>
        <w:rPr>
          <w:rFonts w:eastAsia="仿宋_GB2312"/>
          <w:b/>
          <w:bCs/>
          <w:color w:val="000000" w:themeColor="text1"/>
          <w:sz w:val="32"/>
          <w:szCs w:val="32"/>
        </w:rPr>
        <w:t>二</w:t>
      </w:r>
      <w:r>
        <w:rPr>
          <w:rFonts w:eastAsia="宋体"/>
          <w:b/>
          <w:bCs/>
          <w:color w:val="000000" w:themeColor="text1"/>
          <w:sz w:val="32"/>
          <w:szCs w:val="32"/>
        </w:rPr>
        <w:t>〇</w:t>
      </w:r>
      <w:r>
        <w:rPr>
          <w:rFonts w:eastAsia="仿宋_GB2312"/>
          <w:b/>
          <w:bCs/>
          <w:color w:val="000000" w:themeColor="text1"/>
          <w:sz w:val="32"/>
          <w:szCs w:val="32"/>
        </w:rPr>
        <w:t>二</w:t>
      </w:r>
      <w:r>
        <w:rPr>
          <w:rFonts w:hint="eastAsia" w:eastAsia="仿宋_GB2312"/>
          <w:b/>
          <w:bCs/>
          <w:color w:val="000000" w:themeColor="text1"/>
          <w:sz w:val="32"/>
          <w:szCs w:val="32"/>
        </w:rPr>
        <w:t>二</w:t>
      </w:r>
      <w:r>
        <w:rPr>
          <w:rFonts w:eastAsia="仿宋_GB2312"/>
          <w:b/>
          <w:bCs/>
          <w:color w:val="000000" w:themeColor="text1"/>
          <w:sz w:val="32"/>
          <w:szCs w:val="32"/>
        </w:rPr>
        <w:t>年</w:t>
      </w:r>
      <w:r>
        <w:rPr>
          <w:rFonts w:hint="eastAsia" w:eastAsia="仿宋_GB2312"/>
          <w:b/>
          <w:bCs/>
          <w:color w:val="000000" w:themeColor="text1"/>
          <w:sz w:val="32"/>
          <w:szCs w:val="32"/>
        </w:rPr>
        <w:t>一</w:t>
      </w:r>
      <w:r>
        <w:rPr>
          <w:rFonts w:eastAsia="仿宋_GB2312"/>
          <w:b/>
          <w:bCs/>
          <w:color w:val="000000" w:themeColor="text1"/>
          <w:sz w:val="32"/>
          <w:szCs w:val="32"/>
        </w:rPr>
        <w:t>月</w:t>
      </w:r>
    </w:p>
    <w:p>
      <w:pPr>
        <w:pStyle w:val="60"/>
        <w:rPr>
          <w:rFonts w:eastAsia="仿宋"/>
          <w:sz w:val="24"/>
          <w:szCs w:val="24"/>
        </w:rPr>
      </w:pPr>
    </w:p>
    <w:p>
      <w:pPr>
        <w:pStyle w:val="9"/>
        <w:ind w:left="0" w:leftChars="0" w:firstLine="640" w:firstLineChars="200"/>
        <w:rPr>
          <w:rFonts w:ascii="Times New Roman" w:eastAsia="黑体"/>
        </w:rPr>
        <w:sectPr>
          <w:footerReference r:id="rId3" w:type="default"/>
          <w:pgSz w:w="11906" w:h="16838"/>
          <w:pgMar w:top="1417" w:right="1474" w:bottom="1417" w:left="1587" w:header="851" w:footer="992" w:gutter="0"/>
          <w:pgNumType w:start="1"/>
          <w:cols w:space="0" w:num="1"/>
          <w:docGrid w:type="lines" w:linePitch="319" w:charSpace="0"/>
        </w:sectPr>
      </w:pPr>
      <w:bookmarkStart w:id="0" w:name="_Toc76564542"/>
      <w:bookmarkStart w:id="1" w:name="_Toc79421814"/>
    </w:p>
    <w:p>
      <w:pPr>
        <w:pStyle w:val="61"/>
        <w:pageBreakBefore/>
        <w:spacing w:before="319" w:after="319"/>
        <w:jc w:val="center"/>
        <w:outlineLvl w:val="9"/>
        <w:rPr>
          <w:rFonts w:ascii="Times New Roman" w:hAnsi="Times New Roman" w:eastAsia="仿宋" w:cs="Times New Roman"/>
          <w:color w:val="000000"/>
          <w:sz w:val="24"/>
          <w:szCs w:val="24"/>
        </w:rPr>
      </w:pPr>
      <w:bookmarkStart w:id="2" w:name="_Toc86305093"/>
      <w:bookmarkStart w:id="3" w:name="_Toc97729930"/>
      <w:bookmarkStart w:id="4" w:name="_Toc89953718"/>
      <w:bookmarkStart w:id="5" w:name="_Toc97564378"/>
      <w:r>
        <w:rPr>
          <w:rFonts w:hint="eastAsia" w:ascii="Times New Roman" w:hAnsi="Times New Roman" w:eastAsia="方正小标宋简体" w:cs="方正小标宋简体"/>
          <w:sz w:val="44"/>
          <w:szCs w:val="44"/>
        </w:rPr>
        <w:t>目  录</w:t>
      </w:r>
      <w:bookmarkEnd w:id="0"/>
      <w:bookmarkEnd w:id="1"/>
      <w:bookmarkEnd w:id="2"/>
      <w:bookmarkEnd w:id="3"/>
      <w:bookmarkEnd w:id="4"/>
      <w:bookmarkEnd w:id="5"/>
    </w:p>
    <w:p>
      <w:pPr>
        <w:pStyle w:val="14"/>
        <w:tabs>
          <w:tab w:val="right" w:leader="dot" w:pos="8835"/>
        </w:tabs>
        <w:rPr>
          <w:rFonts w:ascii="Times New Roman" w:hAnsi="Times New Roman" w:cs="Times New Roman" w:eastAsiaTheme="minorEastAsia"/>
          <w:b w:val="0"/>
          <w:bCs w:val="0"/>
          <w:caps w:val="0"/>
          <w:sz w:val="32"/>
          <w:szCs w:val="32"/>
        </w:rPr>
      </w:pPr>
      <w:r>
        <w:rPr>
          <w:rFonts w:ascii="Times New Roman" w:hAnsi="Times New Roman" w:eastAsia="仿宋" w:cs="Times New Roman"/>
          <w:b w:val="0"/>
          <w:bCs w:val="0"/>
          <w:caps w:val="0"/>
          <w:color w:val="000000"/>
          <w:sz w:val="32"/>
          <w:szCs w:val="32"/>
        </w:rPr>
        <w:fldChar w:fldCharType="begin"/>
      </w:r>
      <w:r>
        <w:rPr>
          <w:rFonts w:ascii="Times New Roman" w:hAnsi="Times New Roman" w:eastAsia="仿宋" w:cs="Times New Roman"/>
          <w:b w:val="0"/>
          <w:bCs w:val="0"/>
          <w:caps w:val="0"/>
          <w:color w:val="000000"/>
          <w:sz w:val="32"/>
          <w:szCs w:val="32"/>
        </w:rPr>
        <w:instrText xml:space="preserve"> TOC \o "1-2" \h \z \u </w:instrText>
      </w:r>
      <w:r>
        <w:rPr>
          <w:rFonts w:ascii="Times New Roman" w:hAnsi="Times New Roman" w:eastAsia="仿宋" w:cs="Times New Roman"/>
          <w:b w:val="0"/>
          <w:bCs w:val="0"/>
          <w:caps w:val="0"/>
          <w:color w:val="000000"/>
          <w:sz w:val="32"/>
          <w:szCs w:val="32"/>
        </w:rPr>
        <w:fldChar w:fldCharType="separate"/>
      </w:r>
      <w:r>
        <w:fldChar w:fldCharType="begin"/>
      </w:r>
      <w:r>
        <w:instrText xml:space="preserve"> HYPERLINK \l "_Toc97729931" </w:instrText>
      </w:r>
      <w:r>
        <w:fldChar w:fldCharType="separate"/>
      </w:r>
      <w:r>
        <w:rPr>
          <w:rStyle w:val="19"/>
          <w:rFonts w:ascii="黑体" w:hAnsi="黑体" w:eastAsia="黑体" w:cs="Times New Roman"/>
          <w:b w:val="0"/>
          <w:sz w:val="32"/>
          <w:szCs w:val="32"/>
          <w:u w:val="none"/>
        </w:rPr>
        <w:t>前</w:t>
      </w:r>
      <w:r>
        <w:rPr>
          <w:rStyle w:val="19"/>
          <w:rFonts w:hint="eastAsia" w:ascii="黑体" w:hAnsi="黑体" w:eastAsia="黑体" w:cs="Times New Roman"/>
          <w:b w:val="0"/>
          <w:sz w:val="32"/>
          <w:szCs w:val="32"/>
          <w:u w:val="none"/>
        </w:rPr>
        <w:t xml:space="preserve">  </w:t>
      </w:r>
      <w:r>
        <w:rPr>
          <w:rStyle w:val="19"/>
          <w:rFonts w:ascii="黑体" w:hAnsi="黑体" w:eastAsia="黑体" w:cs="Times New Roman"/>
          <w:b w:val="0"/>
          <w:sz w:val="32"/>
          <w:szCs w:val="32"/>
          <w:u w:val="none"/>
        </w:rPr>
        <w:t>言</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_Toc97729931 \h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4"/>
        <w:tabs>
          <w:tab w:val="right" w:leader="dot" w:pos="8835"/>
        </w:tabs>
        <w:rPr>
          <w:rFonts w:ascii="Times New Roman" w:hAnsi="Times New Roman" w:cs="Times New Roman" w:eastAsiaTheme="minorEastAsia"/>
          <w:b w:val="0"/>
          <w:bCs w:val="0"/>
          <w:caps w:val="0"/>
          <w:sz w:val="32"/>
          <w:szCs w:val="32"/>
        </w:rPr>
      </w:pPr>
      <w:r>
        <w:fldChar w:fldCharType="begin"/>
      </w:r>
      <w:r>
        <w:instrText xml:space="preserve"> HYPERLINK \l "_Toc97729932" </w:instrText>
      </w:r>
      <w:r>
        <w:fldChar w:fldCharType="separate"/>
      </w:r>
      <w:r>
        <w:rPr>
          <w:rStyle w:val="19"/>
          <w:rFonts w:ascii="黑体" w:hAnsi="黑体" w:eastAsia="黑体" w:cs="Times New Roman"/>
          <w:b w:val="0"/>
          <w:sz w:val="32"/>
          <w:szCs w:val="32"/>
          <w:u w:val="none"/>
        </w:rPr>
        <w:t>一、“十三五”水务发展主要成效</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_Toc97729932 \h </w:instrText>
      </w:r>
      <w:r>
        <w:rPr>
          <w:rFonts w:ascii="Times New Roman" w:hAnsi="Times New Roman" w:cs="Times New Roman"/>
          <w:sz w:val="32"/>
          <w:szCs w:val="32"/>
        </w:rPr>
        <w:fldChar w:fldCharType="separate"/>
      </w:r>
      <w:r>
        <w:rPr>
          <w:rFonts w:ascii="Times New Roman" w:hAnsi="Times New Roman" w:cs="Times New Roman"/>
          <w:sz w:val="32"/>
          <w:szCs w:val="32"/>
        </w:rPr>
        <w:t>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835"/>
        </w:tabs>
        <w:rPr>
          <w:rFonts w:ascii="Times New Roman" w:hAnsi="Times New Roman" w:eastAsia="楷体" w:cs="Times New Roman"/>
          <w:smallCaps w:val="0"/>
          <w:sz w:val="32"/>
          <w:szCs w:val="32"/>
        </w:rPr>
      </w:pPr>
      <w:r>
        <w:fldChar w:fldCharType="begin"/>
      </w:r>
      <w:r>
        <w:instrText xml:space="preserve"> HYPERLINK \l "_Toc97729933" </w:instrText>
      </w:r>
      <w:r>
        <w:fldChar w:fldCharType="separate"/>
      </w:r>
      <w:r>
        <w:rPr>
          <w:rStyle w:val="19"/>
          <w:rFonts w:ascii="Times New Roman" w:hAnsi="Times New Roman" w:eastAsia="楷体" w:cs="Times New Roman"/>
          <w:spacing w:val="-8"/>
          <w:sz w:val="32"/>
          <w:szCs w:val="32"/>
          <w:u w:val="none"/>
        </w:rPr>
        <w:t>（一</w:t>
      </w:r>
      <w:r>
        <w:rPr>
          <w:rStyle w:val="19"/>
          <w:rFonts w:ascii="楷体" w:hAnsi="楷体" w:eastAsia="楷体" w:cs="Times New Roman"/>
          <w:spacing w:val="-8"/>
          <w:sz w:val="32"/>
          <w:szCs w:val="32"/>
          <w:u w:val="none"/>
        </w:rPr>
        <w:t>）“清水朝阳”目标全面实现，治污“翻身仗”取</w:t>
      </w:r>
      <w:r>
        <w:rPr>
          <w:rStyle w:val="19"/>
          <w:rFonts w:ascii="Times New Roman" w:hAnsi="Times New Roman" w:eastAsia="楷体" w:cs="Times New Roman"/>
          <w:spacing w:val="-8"/>
          <w:sz w:val="32"/>
          <w:szCs w:val="32"/>
          <w:u w:val="none"/>
        </w:rPr>
        <w:t>得胜利</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_Toc97729933 \h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3</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15"/>
        <w:tabs>
          <w:tab w:val="right" w:leader="dot" w:pos="8835"/>
        </w:tabs>
        <w:rPr>
          <w:rFonts w:ascii="Times New Roman" w:hAnsi="Times New Roman" w:eastAsia="楷体" w:cs="Times New Roman"/>
          <w:smallCaps w:val="0"/>
          <w:sz w:val="32"/>
          <w:szCs w:val="32"/>
        </w:rPr>
      </w:pPr>
      <w:r>
        <w:fldChar w:fldCharType="begin"/>
      </w:r>
      <w:r>
        <w:instrText xml:space="preserve"> HYPERLINK \l "_Toc97729934" </w:instrText>
      </w:r>
      <w:r>
        <w:fldChar w:fldCharType="separate"/>
      </w:r>
      <w:r>
        <w:rPr>
          <w:rStyle w:val="19"/>
          <w:rFonts w:ascii="Times New Roman" w:hAnsi="Times New Roman" w:eastAsia="楷体" w:cs="Times New Roman"/>
          <w:spacing w:val="-8"/>
          <w:sz w:val="32"/>
          <w:szCs w:val="32"/>
          <w:u w:val="none"/>
        </w:rPr>
        <w:t>（二）</w:t>
      </w:r>
      <w:r>
        <w:rPr>
          <w:rStyle w:val="19"/>
          <w:rFonts w:ascii="楷体" w:hAnsi="楷体" w:eastAsia="楷体" w:cs="Times New Roman"/>
          <w:spacing w:val="-8"/>
          <w:sz w:val="32"/>
          <w:szCs w:val="32"/>
          <w:u w:val="none"/>
        </w:rPr>
        <w:t>“亲水朝阳”建</w:t>
      </w:r>
      <w:r>
        <w:rPr>
          <w:rStyle w:val="19"/>
          <w:rFonts w:ascii="Times New Roman" w:hAnsi="Times New Roman" w:eastAsia="楷体" w:cs="Times New Roman"/>
          <w:spacing w:val="-8"/>
          <w:sz w:val="32"/>
          <w:szCs w:val="32"/>
          <w:u w:val="none"/>
        </w:rPr>
        <w:t>设初见成效，开创水城共融治河新典范</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_Toc97729934 \h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3</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15"/>
        <w:tabs>
          <w:tab w:val="right" w:leader="dot" w:pos="8835"/>
        </w:tabs>
        <w:rPr>
          <w:rFonts w:ascii="Times New Roman" w:hAnsi="Times New Roman" w:eastAsia="楷体" w:cs="Times New Roman"/>
          <w:smallCaps w:val="0"/>
          <w:sz w:val="32"/>
          <w:szCs w:val="32"/>
        </w:rPr>
      </w:pPr>
      <w:r>
        <w:fldChar w:fldCharType="begin"/>
      </w:r>
      <w:r>
        <w:instrText xml:space="preserve"> HYPERLINK \l "_Toc97729935" </w:instrText>
      </w:r>
      <w:r>
        <w:fldChar w:fldCharType="separate"/>
      </w:r>
      <w:r>
        <w:rPr>
          <w:rStyle w:val="19"/>
          <w:rFonts w:ascii="Times New Roman" w:hAnsi="Times New Roman" w:eastAsia="楷体" w:cs="Times New Roman"/>
          <w:spacing w:val="-8"/>
          <w:sz w:val="32"/>
          <w:szCs w:val="32"/>
          <w:u w:val="none"/>
        </w:rPr>
        <w:t>（三）节水型区创建完成，开启用水精细化管理新思路</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_Toc97729935 \h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4</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15"/>
        <w:tabs>
          <w:tab w:val="right" w:leader="dot" w:pos="8835"/>
        </w:tabs>
        <w:rPr>
          <w:rFonts w:ascii="Times New Roman" w:hAnsi="Times New Roman" w:eastAsia="楷体" w:cs="Times New Roman"/>
          <w:smallCaps w:val="0"/>
          <w:sz w:val="32"/>
          <w:szCs w:val="32"/>
        </w:rPr>
      </w:pPr>
      <w:r>
        <w:fldChar w:fldCharType="begin"/>
      </w:r>
      <w:r>
        <w:instrText xml:space="preserve"> HYPERLINK \l "_Toc97729936" </w:instrText>
      </w:r>
      <w:r>
        <w:fldChar w:fldCharType="separate"/>
      </w:r>
      <w:r>
        <w:rPr>
          <w:rStyle w:val="19"/>
          <w:rFonts w:ascii="Times New Roman" w:hAnsi="Times New Roman" w:eastAsia="楷体" w:cs="Times New Roman"/>
          <w:spacing w:val="-8"/>
          <w:sz w:val="32"/>
          <w:szCs w:val="32"/>
          <w:u w:val="none"/>
        </w:rPr>
        <w:t>（四）城乡供水条件持续改善，高压态势管控地下水取用</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_Toc97729936 \h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5</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15"/>
        <w:tabs>
          <w:tab w:val="right" w:leader="dot" w:pos="8835"/>
        </w:tabs>
        <w:rPr>
          <w:rFonts w:ascii="Times New Roman" w:hAnsi="Times New Roman" w:eastAsia="楷体" w:cs="Times New Roman"/>
          <w:smallCaps w:val="0"/>
          <w:sz w:val="32"/>
          <w:szCs w:val="32"/>
        </w:rPr>
      </w:pPr>
      <w:r>
        <w:fldChar w:fldCharType="begin"/>
      </w:r>
      <w:r>
        <w:instrText xml:space="preserve"> HYPERLINK \l "_Toc97729937" </w:instrText>
      </w:r>
      <w:r>
        <w:fldChar w:fldCharType="separate"/>
      </w:r>
      <w:r>
        <w:rPr>
          <w:rStyle w:val="19"/>
          <w:rFonts w:ascii="Times New Roman" w:hAnsi="Times New Roman" w:eastAsia="楷体" w:cs="Times New Roman"/>
          <w:spacing w:val="-8"/>
          <w:sz w:val="32"/>
          <w:szCs w:val="32"/>
          <w:u w:val="none"/>
        </w:rPr>
        <w:t>（五）洪涝灾害防御体系不断完善，防汛安全得到有力保障</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_Toc97729937 \h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6</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15"/>
        <w:tabs>
          <w:tab w:val="right" w:leader="dot" w:pos="8835"/>
        </w:tabs>
        <w:rPr>
          <w:rFonts w:ascii="Times New Roman" w:hAnsi="Times New Roman" w:eastAsia="楷体" w:cs="Times New Roman"/>
          <w:smallCaps w:val="0"/>
          <w:sz w:val="32"/>
          <w:szCs w:val="32"/>
        </w:rPr>
      </w:pPr>
      <w:r>
        <w:fldChar w:fldCharType="begin"/>
      </w:r>
      <w:r>
        <w:instrText xml:space="preserve"> HYPERLINK \l "_Toc97729938" </w:instrText>
      </w:r>
      <w:r>
        <w:fldChar w:fldCharType="separate"/>
      </w:r>
      <w:r>
        <w:rPr>
          <w:rStyle w:val="19"/>
          <w:rFonts w:ascii="Times New Roman" w:hAnsi="Times New Roman" w:eastAsia="楷体" w:cs="Times New Roman"/>
          <w:spacing w:val="-8"/>
          <w:sz w:val="32"/>
          <w:szCs w:val="32"/>
          <w:u w:val="none"/>
        </w:rPr>
        <w:t>（六）三级河长制全面建立，推进各项工作取得实效</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_Toc97729938 \h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7</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15"/>
        <w:tabs>
          <w:tab w:val="right" w:leader="dot" w:pos="8835"/>
        </w:tabs>
        <w:rPr>
          <w:rFonts w:ascii="Times New Roman" w:hAnsi="Times New Roman" w:eastAsia="楷体" w:cs="Times New Roman"/>
          <w:smallCaps w:val="0"/>
          <w:sz w:val="32"/>
          <w:szCs w:val="32"/>
        </w:rPr>
      </w:pPr>
      <w:r>
        <w:fldChar w:fldCharType="begin"/>
      </w:r>
      <w:r>
        <w:instrText xml:space="preserve"> HYPERLINK \l "_Toc97729939" </w:instrText>
      </w:r>
      <w:r>
        <w:fldChar w:fldCharType="separate"/>
      </w:r>
      <w:r>
        <w:rPr>
          <w:rStyle w:val="19"/>
          <w:rFonts w:ascii="Times New Roman" w:hAnsi="Times New Roman" w:eastAsia="楷体" w:cs="Times New Roman"/>
          <w:spacing w:val="-8"/>
          <w:sz w:val="32"/>
          <w:szCs w:val="32"/>
          <w:u w:val="none"/>
        </w:rPr>
        <w:t>（七）水务治理体系趋于完善，水行政管理能力不断提升</w:t>
      </w:r>
      <w:r>
        <w:rPr>
          <w:rFonts w:ascii="Times New Roman" w:hAnsi="Times New Roman" w:eastAsia="楷体" w:cs="Times New Roman"/>
          <w:sz w:val="32"/>
          <w:szCs w:val="32"/>
        </w:rPr>
        <w:tab/>
      </w: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PAGEREF _Toc97729939 \h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rPr>
        <w:t>7</w:t>
      </w:r>
      <w:r>
        <w:rPr>
          <w:rFonts w:ascii="Times New Roman" w:hAnsi="Times New Roman" w:eastAsia="楷体" w:cs="Times New Roman"/>
          <w:sz w:val="32"/>
          <w:szCs w:val="32"/>
        </w:rPr>
        <w:fldChar w:fldCharType="end"/>
      </w:r>
      <w:r>
        <w:rPr>
          <w:rFonts w:ascii="Times New Roman" w:hAnsi="Times New Roman" w:eastAsia="楷体" w:cs="Times New Roman"/>
          <w:sz w:val="32"/>
          <w:szCs w:val="32"/>
        </w:rPr>
        <w:fldChar w:fldCharType="end"/>
      </w:r>
    </w:p>
    <w:p>
      <w:pPr>
        <w:pStyle w:val="14"/>
        <w:tabs>
          <w:tab w:val="right" w:leader="dot" w:pos="8835"/>
        </w:tabs>
        <w:rPr>
          <w:rFonts w:ascii="Times New Roman" w:hAnsi="Times New Roman" w:cs="Times New Roman" w:eastAsiaTheme="minorEastAsia"/>
          <w:b w:val="0"/>
          <w:bCs w:val="0"/>
          <w:caps w:val="0"/>
          <w:sz w:val="32"/>
          <w:szCs w:val="32"/>
        </w:rPr>
      </w:pPr>
      <w:r>
        <w:fldChar w:fldCharType="begin"/>
      </w:r>
      <w:r>
        <w:instrText xml:space="preserve"> HYPERLINK \l "_Toc97729940" </w:instrText>
      </w:r>
      <w:r>
        <w:fldChar w:fldCharType="separate"/>
      </w:r>
      <w:r>
        <w:rPr>
          <w:rStyle w:val="19"/>
          <w:rFonts w:ascii="黑体" w:hAnsi="黑体" w:eastAsia="黑体" w:cs="Times New Roman"/>
          <w:b w:val="0"/>
          <w:sz w:val="32"/>
          <w:szCs w:val="32"/>
          <w:u w:val="none"/>
        </w:rPr>
        <w:t>二、“十四五”水务发展面临的形势与挑战</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_Toc97729940 \h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835"/>
        </w:tabs>
        <w:rPr>
          <w:rFonts w:ascii="Times New Roman" w:hAnsi="Times New Roman" w:cs="Times New Roman" w:eastAsiaTheme="minorEastAsia"/>
          <w:smallCaps w:val="0"/>
          <w:sz w:val="32"/>
          <w:szCs w:val="32"/>
        </w:rPr>
      </w:pPr>
      <w:r>
        <w:fldChar w:fldCharType="begin"/>
      </w:r>
      <w:r>
        <w:instrText xml:space="preserve"> HYPERLINK \l "_Toc97729941" </w:instrText>
      </w:r>
      <w:r>
        <w:fldChar w:fldCharType="separate"/>
      </w:r>
      <w:r>
        <w:rPr>
          <w:rStyle w:val="19"/>
          <w:rFonts w:ascii="Times New Roman" w:hAnsi="Times New Roman" w:eastAsia="楷体_GB2312" w:cs="Times New Roman"/>
          <w:sz w:val="32"/>
          <w:szCs w:val="32"/>
          <w:u w:val="none"/>
        </w:rPr>
        <w:t>（一）面临的形势</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_Toc97729941 \h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835"/>
        </w:tabs>
        <w:rPr>
          <w:rFonts w:ascii="Times New Roman" w:hAnsi="Times New Roman" w:cs="Times New Roman" w:eastAsiaTheme="minorEastAsia"/>
          <w:smallCaps w:val="0"/>
          <w:sz w:val="32"/>
          <w:szCs w:val="32"/>
        </w:rPr>
      </w:pPr>
      <w:r>
        <w:fldChar w:fldCharType="begin"/>
      </w:r>
      <w:r>
        <w:instrText xml:space="preserve"> HYPERLINK \l "_Toc97729942" </w:instrText>
      </w:r>
      <w:r>
        <w:fldChar w:fldCharType="separate"/>
      </w:r>
      <w:r>
        <w:rPr>
          <w:rStyle w:val="19"/>
          <w:rFonts w:ascii="Times New Roman" w:hAnsi="Times New Roman" w:eastAsia="楷体_GB2312" w:cs="Times New Roman"/>
          <w:sz w:val="32"/>
          <w:szCs w:val="32"/>
          <w:u w:val="none"/>
        </w:rPr>
        <w:t>（二）面临的挑战</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_Toc97729942 \h </w:instrText>
      </w:r>
      <w:r>
        <w:rPr>
          <w:rFonts w:ascii="Times New Roman" w:hAnsi="Times New Roman" w:cs="Times New Roman"/>
          <w:sz w:val="32"/>
          <w:szCs w:val="32"/>
        </w:rPr>
        <w:fldChar w:fldCharType="separate"/>
      </w:r>
      <w:r>
        <w:rPr>
          <w:rFonts w:ascii="Times New Roman" w:hAnsi="Times New Roman" w:cs="Times New Roman"/>
          <w:sz w:val="32"/>
          <w:szCs w:val="32"/>
        </w:rPr>
        <w:t>10</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4"/>
        <w:tabs>
          <w:tab w:val="right" w:leader="dot" w:pos="8835"/>
        </w:tabs>
        <w:rPr>
          <w:rFonts w:ascii="Times New Roman" w:hAnsi="Times New Roman" w:cs="Times New Roman" w:eastAsiaTheme="minorEastAsia"/>
          <w:b w:val="0"/>
          <w:bCs w:val="0"/>
          <w:caps w:val="0"/>
          <w:sz w:val="32"/>
          <w:szCs w:val="32"/>
        </w:rPr>
      </w:pPr>
      <w:r>
        <w:fldChar w:fldCharType="begin"/>
      </w:r>
      <w:r>
        <w:instrText xml:space="preserve"> HYPERLINK \l "_Toc97729943" </w:instrText>
      </w:r>
      <w:r>
        <w:fldChar w:fldCharType="separate"/>
      </w:r>
      <w:r>
        <w:rPr>
          <w:rStyle w:val="19"/>
          <w:rFonts w:ascii="黑体" w:hAnsi="黑体" w:eastAsia="黑体" w:cs="Times New Roman"/>
          <w:b w:val="0"/>
          <w:sz w:val="32"/>
          <w:szCs w:val="32"/>
          <w:u w:val="none"/>
        </w:rPr>
        <w:t>三、规划指导思想及目标</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_Toc97729943 \h </w:instrText>
      </w:r>
      <w:r>
        <w:rPr>
          <w:rFonts w:ascii="Times New Roman" w:hAnsi="Times New Roman" w:cs="Times New Roman"/>
          <w:sz w:val="32"/>
          <w:szCs w:val="32"/>
        </w:rPr>
        <w:fldChar w:fldCharType="separate"/>
      </w:r>
      <w:r>
        <w:rPr>
          <w:rFonts w:ascii="Times New Roman" w:hAnsi="Times New Roman" w:cs="Times New Roman"/>
          <w:sz w:val="32"/>
          <w:szCs w:val="32"/>
        </w:rPr>
        <w:t>11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835"/>
        </w:tabs>
        <w:rPr>
          <w:rFonts w:ascii="Times New Roman" w:hAnsi="Times New Roman" w:cs="Times New Roman" w:eastAsiaTheme="minorEastAsia"/>
          <w:smallCaps w:val="0"/>
          <w:sz w:val="32"/>
          <w:szCs w:val="32"/>
        </w:rPr>
      </w:pPr>
      <w:r>
        <w:fldChar w:fldCharType="begin"/>
      </w:r>
      <w:r>
        <w:instrText xml:space="preserve"> HYPERLINK \l "_Toc97729944" </w:instrText>
      </w:r>
      <w:r>
        <w:fldChar w:fldCharType="separate"/>
      </w:r>
      <w:r>
        <w:rPr>
          <w:rStyle w:val="19"/>
          <w:rFonts w:ascii="Times New Roman" w:hAnsi="Times New Roman" w:eastAsia="楷体_GB2312" w:cs="Times New Roman"/>
          <w:sz w:val="32"/>
          <w:szCs w:val="32"/>
          <w:u w:val="none"/>
        </w:rPr>
        <w:t>（一）指导思想</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_Toc97729944 \h </w:instrText>
      </w:r>
      <w:r>
        <w:rPr>
          <w:rFonts w:ascii="Times New Roman" w:hAnsi="Times New Roman" w:cs="Times New Roman"/>
          <w:sz w:val="32"/>
          <w:szCs w:val="32"/>
        </w:rPr>
        <w:fldChar w:fldCharType="separate"/>
      </w:r>
      <w:r>
        <w:rPr>
          <w:rFonts w:ascii="Times New Roman" w:hAnsi="Times New Roman" w:cs="Times New Roman"/>
          <w:sz w:val="32"/>
          <w:szCs w:val="32"/>
        </w:rPr>
        <w:t>11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835"/>
        </w:tabs>
        <w:rPr>
          <w:rFonts w:ascii="Times New Roman" w:hAnsi="Times New Roman" w:cs="Times New Roman" w:eastAsiaTheme="minorEastAsia"/>
          <w:smallCaps w:val="0"/>
          <w:sz w:val="32"/>
          <w:szCs w:val="32"/>
        </w:rPr>
      </w:pPr>
      <w:r>
        <w:fldChar w:fldCharType="begin"/>
      </w:r>
      <w:r>
        <w:instrText xml:space="preserve"> HYPERLINK \l "_Toc97729945" </w:instrText>
      </w:r>
      <w:r>
        <w:fldChar w:fldCharType="separate"/>
      </w:r>
      <w:r>
        <w:rPr>
          <w:rStyle w:val="19"/>
          <w:rFonts w:ascii="Times New Roman" w:hAnsi="Times New Roman" w:eastAsia="楷体_GB2312" w:cs="Times New Roman"/>
          <w:sz w:val="32"/>
          <w:szCs w:val="32"/>
          <w:u w:val="none"/>
        </w:rPr>
        <w:t>（二）规划原则</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_Toc97729945 \h </w:instrText>
      </w:r>
      <w:r>
        <w:rPr>
          <w:rFonts w:ascii="Times New Roman" w:hAnsi="Times New Roman" w:cs="Times New Roman"/>
          <w:sz w:val="32"/>
          <w:szCs w:val="32"/>
        </w:rPr>
        <w:fldChar w:fldCharType="separate"/>
      </w:r>
      <w:r>
        <w:rPr>
          <w:rFonts w:ascii="Times New Roman" w:hAnsi="Times New Roman" w:cs="Times New Roman"/>
          <w:sz w:val="32"/>
          <w:szCs w:val="32"/>
        </w:rPr>
        <w:t>12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835"/>
        </w:tabs>
        <w:rPr>
          <w:rFonts w:ascii="Times New Roman" w:hAnsi="Times New Roman" w:cs="Times New Roman" w:eastAsiaTheme="minorEastAsia"/>
          <w:smallCaps w:val="0"/>
          <w:sz w:val="32"/>
          <w:szCs w:val="32"/>
        </w:rPr>
      </w:pPr>
      <w:r>
        <w:fldChar w:fldCharType="begin"/>
      </w:r>
      <w:r>
        <w:instrText xml:space="preserve"> HYPERLINK \l "_Toc97729946" </w:instrText>
      </w:r>
      <w:r>
        <w:fldChar w:fldCharType="separate"/>
      </w:r>
      <w:r>
        <w:rPr>
          <w:rStyle w:val="19"/>
          <w:rFonts w:ascii="Times New Roman" w:hAnsi="Times New Roman" w:eastAsia="楷体_GB2312" w:cs="Times New Roman"/>
          <w:sz w:val="32"/>
          <w:szCs w:val="32"/>
          <w:u w:val="none"/>
        </w:rPr>
        <w:t>（三）规划目标</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_Toc97729946 \h </w:instrText>
      </w:r>
      <w:r>
        <w:rPr>
          <w:rFonts w:ascii="Times New Roman" w:hAnsi="Times New Roman" w:cs="Times New Roman"/>
          <w:sz w:val="32"/>
          <w:szCs w:val="32"/>
        </w:rPr>
        <w:fldChar w:fldCharType="separate"/>
      </w:r>
      <w:r>
        <w:rPr>
          <w:rFonts w:ascii="Times New Roman" w:hAnsi="Times New Roman" w:cs="Times New Roman"/>
          <w:sz w:val="32"/>
          <w:szCs w:val="32"/>
        </w:rPr>
        <w:t>13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4"/>
        <w:tabs>
          <w:tab w:val="right" w:leader="dot" w:pos="8835"/>
        </w:tabs>
        <w:rPr>
          <w:rFonts w:ascii="Times New Roman" w:hAnsi="Times New Roman" w:cs="Times New Roman" w:eastAsiaTheme="minorEastAsia"/>
          <w:b w:val="0"/>
          <w:bCs w:val="0"/>
          <w:caps w:val="0"/>
          <w:sz w:val="32"/>
          <w:szCs w:val="32"/>
        </w:rPr>
      </w:pPr>
      <w:r>
        <w:fldChar w:fldCharType="begin"/>
      </w:r>
      <w:r>
        <w:instrText xml:space="preserve"> HYPERLINK \l "_Toc97729947" </w:instrText>
      </w:r>
      <w:r>
        <w:fldChar w:fldCharType="separate"/>
      </w:r>
      <w:r>
        <w:rPr>
          <w:rStyle w:val="19"/>
          <w:rFonts w:ascii="黑体" w:hAnsi="黑体" w:eastAsia="黑体" w:cs="Times New Roman"/>
          <w:b w:val="0"/>
          <w:sz w:val="32"/>
          <w:szCs w:val="32"/>
          <w:u w:val="none"/>
        </w:rPr>
        <w:t>四、“十四五”时期主要任务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_Toc97729947 \h </w:instrText>
      </w:r>
      <w:r>
        <w:rPr>
          <w:rFonts w:ascii="Times New Roman" w:hAnsi="Times New Roman" w:cs="Times New Roman"/>
          <w:sz w:val="32"/>
          <w:szCs w:val="32"/>
        </w:rPr>
        <w:fldChar w:fldCharType="separate"/>
      </w:r>
      <w:r>
        <w:rPr>
          <w:rFonts w:ascii="Times New Roman" w:hAnsi="Times New Roman" w:cs="Times New Roman"/>
          <w:sz w:val="32"/>
          <w:szCs w:val="32"/>
        </w:rPr>
        <w:t>16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835"/>
        </w:tabs>
        <w:rPr>
          <w:rFonts w:ascii="Times New Roman" w:hAnsi="Times New Roman" w:cs="Times New Roman" w:eastAsiaTheme="minorEastAsia"/>
          <w:smallCaps w:val="0"/>
          <w:sz w:val="32"/>
          <w:szCs w:val="32"/>
        </w:rPr>
      </w:pPr>
      <w:r>
        <w:fldChar w:fldCharType="begin"/>
      </w:r>
      <w:r>
        <w:instrText xml:space="preserve"> HYPERLINK \l "_Toc97729948" </w:instrText>
      </w:r>
      <w:r>
        <w:fldChar w:fldCharType="separate"/>
      </w:r>
      <w:r>
        <w:rPr>
          <w:rStyle w:val="19"/>
          <w:rFonts w:ascii="Times New Roman" w:hAnsi="Times New Roman" w:eastAsia="楷体_GB2312" w:cs="Times New Roman"/>
          <w:sz w:val="32"/>
          <w:szCs w:val="32"/>
          <w:u w:val="none"/>
        </w:rPr>
        <w:t>（一）综合治理，提升城市韧性</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_Toc97729948 \h </w:instrText>
      </w:r>
      <w:r>
        <w:rPr>
          <w:rFonts w:ascii="Times New Roman" w:hAnsi="Times New Roman" w:cs="Times New Roman"/>
          <w:sz w:val="32"/>
          <w:szCs w:val="32"/>
        </w:rPr>
        <w:fldChar w:fldCharType="separate"/>
      </w:r>
      <w:r>
        <w:rPr>
          <w:rFonts w:ascii="Times New Roman" w:hAnsi="Times New Roman" w:cs="Times New Roman"/>
          <w:sz w:val="32"/>
          <w:szCs w:val="32"/>
        </w:rPr>
        <w:t>16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835"/>
        </w:tabs>
        <w:rPr>
          <w:rFonts w:ascii="Times New Roman" w:hAnsi="Times New Roman" w:cs="Times New Roman" w:eastAsiaTheme="minorEastAsia"/>
          <w:smallCaps w:val="0"/>
          <w:sz w:val="32"/>
          <w:szCs w:val="32"/>
        </w:rPr>
      </w:pPr>
      <w:r>
        <w:fldChar w:fldCharType="begin"/>
      </w:r>
      <w:r>
        <w:instrText xml:space="preserve"> HYPERLINK \l "_Toc97729949" </w:instrText>
      </w:r>
      <w:r>
        <w:fldChar w:fldCharType="separate"/>
      </w:r>
      <w:r>
        <w:rPr>
          <w:rStyle w:val="19"/>
          <w:rFonts w:ascii="Times New Roman" w:hAnsi="Times New Roman" w:eastAsia="楷体_GB2312" w:cs="Times New Roman"/>
          <w:sz w:val="32"/>
          <w:szCs w:val="32"/>
          <w:u w:val="none"/>
        </w:rPr>
        <w:t>（二）节水优先，助力区域高质量发展</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_Toc97729949 \h </w:instrText>
      </w:r>
      <w:r>
        <w:rPr>
          <w:rFonts w:ascii="Times New Roman" w:hAnsi="Times New Roman" w:cs="Times New Roman"/>
          <w:sz w:val="32"/>
          <w:szCs w:val="32"/>
        </w:rPr>
        <w:fldChar w:fldCharType="separate"/>
      </w:r>
      <w:r>
        <w:rPr>
          <w:rFonts w:ascii="Times New Roman" w:hAnsi="Times New Roman" w:cs="Times New Roman"/>
          <w:sz w:val="32"/>
          <w:szCs w:val="32"/>
        </w:rPr>
        <w:t>17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835"/>
        </w:tabs>
        <w:rPr>
          <w:rFonts w:ascii="Times New Roman" w:hAnsi="Times New Roman" w:cs="Times New Roman" w:eastAsiaTheme="minorEastAsia"/>
          <w:smallCaps w:val="0"/>
          <w:sz w:val="32"/>
          <w:szCs w:val="32"/>
        </w:rPr>
      </w:pPr>
      <w:r>
        <w:fldChar w:fldCharType="begin"/>
      </w:r>
      <w:r>
        <w:instrText xml:space="preserve"> HYPERLINK \l "_Toc97729950" </w:instrText>
      </w:r>
      <w:r>
        <w:fldChar w:fldCharType="separate"/>
      </w:r>
      <w:r>
        <w:rPr>
          <w:rStyle w:val="19"/>
          <w:rFonts w:ascii="Times New Roman" w:hAnsi="Times New Roman" w:eastAsia="楷体_GB2312" w:cs="Times New Roman"/>
          <w:sz w:val="32"/>
          <w:szCs w:val="32"/>
          <w:u w:val="none"/>
        </w:rPr>
        <w:t>（三）压采涵养，完善城乡一体化供水体系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_Toc97729950 \h </w:instrText>
      </w:r>
      <w:r>
        <w:rPr>
          <w:rFonts w:ascii="Times New Roman" w:hAnsi="Times New Roman" w:cs="Times New Roman"/>
          <w:sz w:val="32"/>
          <w:szCs w:val="32"/>
        </w:rPr>
        <w:fldChar w:fldCharType="separate"/>
      </w:r>
      <w:r>
        <w:rPr>
          <w:rFonts w:ascii="Times New Roman" w:hAnsi="Times New Roman" w:cs="Times New Roman"/>
          <w:sz w:val="32"/>
          <w:szCs w:val="32"/>
        </w:rPr>
        <w:t>19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835"/>
        </w:tabs>
        <w:rPr>
          <w:rFonts w:ascii="Times New Roman" w:hAnsi="Times New Roman" w:cs="Times New Roman" w:eastAsiaTheme="minorEastAsia"/>
          <w:smallCaps w:val="0"/>
          <w:sz w:val="32"/>
          <w:szCs w:val="32"/>
        </w:rPr>
      </w:pPr>
      <w:r>
        <w:fldChar w:fldCharType="begin"/>
      </w:r>
      <w:r>
        <w:instrText xml:space="preserve"> HYPERLINK \l "_Toc97729951" </w:instrText>
      </w:r>
      <w:r>
        <w:fldChar w:fldCharType="separate"/>
      </w:r>
      <w:r>
        <w:rPr>
          <w:rStyle w:val="19"/>
          <w:rFonts w:ascii="Times New Roman" w:hAnsi="Times New Roman" w:eastAsia="楷体_GB2312" w:cs="Times New Roman"/>
          <w:sz w:val="32"/>
          <w:szCs w:val="32"/>
          <w:u w:val="none"/>
        </w:rPr>
        <w:t>（四）溯源治污，全面提高水环境质量</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_Toc97729951 \h </w:instrText>
      </w:r>
      <w:r>
        <w:rPr>
          <w:rFonts w:ascii="Times New Roman" w:hAnsi="Times New Roman" w:cs="Times New Roman"/>
          <w:sz w:val="32"/>
          <w:szCs w:val="32"/>
        </w:rPr>
        <w:fldChar w:fldCharType="separate"/>
      </w:r>
      <w:r>
        <w:rPr>
          <w:rFonts w:ascii="Times New Roman" w:hAnsi="Times New Roman" w:cs="Times New Roman"/>
          <w:sz w:val="32"/>
          <w:szCs w:val="32"/>
        </w:rPr>
        <w:t>20</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835"/>
        </w:tabs>
        <w:rPr>
          <w:rFonts w:ascii="Times New Roman" w:hAnsi="Times New Roman" w:cs="Times New Roman" w:eastAsiaTheme="minorEastAsia"/>
          <w:smallCaps w:val="0"/>
          <w:sz w:val="32"/>
          <w:szCs w:val="32"/>
        </w:rPr>
      </w:pPr>
      <w:r>
        <w:fldChar w:fldCharType="begin"/>
      </w:r>
      <w:r>
        <w:instrText xml:space="preserve"> HYPERLINK \l "_Toc97729952" </w:instrText>
      </w:r>
      <w:r>
        <w:fldChar w:fldCharType="separate"/>
      </w:r>
      <w:r>
        <w:rPr>
          <w:rStyle w:val="19"/>
          <w:rFonts w:ascii="Times New Roman" w:hAnsi="Times New Roman" w:eastAsia="楷体_GB2312" w:cs="Times New Roman"/>
          <w:sz w:val="32"/>
          <w:szCs w:val="32"/>
          <w:u w:val="none"/>
        </w:rPr>
        <w:t>（五）水城共融，构建</w:t>
      </w:r>
      <w:r>
        <w:rPr>
          <w:rStyle w:val="19"/>
          <w:rFonts w:ascii="楷体" w:hAnsi="楷体" w:eastAsia="楷体" w:cs="Times New Roman"/>
          <w:spacing w:val="-8"/>
          <w:sz w:val="32"/>
          <w:szCs w:val="32"/>
          <w:u w:val="none"/>
        </w:rPr>
        <w:t>“亲水朝阳”的水</w:t>
      </w:r>
      <w:r>
        <w:rPr>
          <w:rStyle w:val="19"/>
          <w:rFonts w:ascii="Times New Roman" w:hAnsi="Times New Roman" w:eastAsia="楷体_GB2312" w:cs="Times New Roman"/>
          <w:sz w:val="32"/>
          <w:szCs w:val="32"/>
          <w:u w:val="none"/>
        </w:rPr>
        <w:t>网体系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_Toc97729952 \h </w:instrText>
      </w:r>
      <w:r>
        <w:rPr>
          <w:rFonts w:ascii="Times New Roman" w:hAnsi="Times New Roman" w:cs="Times New Roman"/>
          <w:sz w:val="32"/>
          <w:szCs w:val="32"/>
        </w:rPr>
        <w:fldChar w:fldCharType="separate"/>
      </w:r>
      <w:r>
        <w:rPr>
          <w:rFonts w:ascii="Times New Roman" w:hAnsi="Times New Roman" w:cs="Times New Roman"/>
          <w:sz w:val="32"/>
          <w:szCs w:val="32"/>
        </w:rPr>
        <w:t>20</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835"/>
        </w:tabs>
        <w:rPr>
          <w:rFonts w:ascii="Times New Roman" w:hAnsi="Times New Roman" w:cs="Times New Roman" w:eastAsiaTheme="minorEastAsia"/>
          <w:smallCaps w:val="0"/>
          <w:sz w:val="32"/>
          <w:szCs w:val="32"/>
        </w:rPr>
      </w:pPr>
      <w:r>
        <w:fldChar w:fldCharType="begin"/>
      </w:r>
      <w:r>
        <w:instrText xml:space="preserve"> HYPERLINK \l "_Toc97729953" </w:instrText>
      </w:r>
      <w:r>
        <w:fldChar w:fldCharType="separate"/>
      </w:r>
      <w:r>
        <w:rPr>
          <w:rStyle w:val="19"/>
          <w:rFonts w:ascii="Times New Roman" w:hAnsi="Times New Roman" w:eastAsia="楷体_GB2312" w:cs="Times New Roman"/>
          <w:sz w:val="32"/>
          <w:szCs w:val="32"/>
          <w:u w:val="none"/>
        </w:rPr>
        <w:t>（六）完善制度，提高水务管理服务能力</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_Toc97729953 \h </w:instrText>
      </w:r>
      <w:r>
        <w:rPr>
          <w:rFonts w:ascii="Times New Roman" w:hAnsi="Times New Roman" w:cs="Times New Roman"/>
          <w:sz w:val="32"/>
          <w:szCs w:val="32"/>
        </w:rPr>
        <w:fldChar w:fldCharType="separate"/>
      </w:r>
      <w:r>
        <w:rPr>
          <w:rFonts w:ascii="Times New Roman" w:hAnsi="Times New Roman" w:cs="Times New Roman"/>
          <w:sz w:val="32"/>
          <w:szCs w:val="32"/>
        </w:rPr>
        <w:t>22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835"/>
        </w:tabs>
        <w:rPr>
          <w:rFonts w:ascii="Times New Roman" w:hAnsi="Times New Roman" w:cs="Times New Roman" w:eastAsiaTheme="minorEastAsia"/>
          <w:smallCaps w:val="0"/>
          <w:sz w:val="32"/>
          <w:szCs w:val="32"/>
        </w:rPr>
      </w:pPr>
      <w:r>
        <w:fldChar w:fldCharType="begin"/>
      </w:r>
      <w:r>
        <w:instrText xml:space="preserve"> HYPERLINK \l "_Toc97729954" </w:instrText>
      </w:r>
      <w:r>
        <w:fldChar w:fldCharType="separate"/>
      </w:r>
      <w:r>
        <w:rPr>
          <w:rStyle w:val="19"/>
          <w:rFonts w:ascii="Times New Roman" w:hAnsi="Times New Roman" w:eastAsia="楷体_GB2312" w:cs="Times New Roman"/>
          <w:sz w:val="32"/>
          <w:szCs w:val="32"/>
          <w:u w:val="none"/>
        </w:rPr>
        <w:t>（七）智慧赋能，推动水务管理再上新台阶</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_Toc97729954 \h </w:instrText>
      </w:r>
      <w:r>
        <w:rPr>
          <w:rFonts w:ascii="Times New Roman" w:hAnsi="Times New Roman" w:cs="Times New Roman"/>
          <w:sz w:val="32"/>
          <w:szCs w:val="32"/>
        </w:rPr>
        <w:fldChar w:fldCharType="separate"/>
      </w:r>
      <w:r>
        <w:rPr>
          <w:rFonts w:ascii="Times New Roman" w:hAnsi="Times New Roman" w:cs="Times New Roman"/>
          <w:sz w:val="32"/>
          <w:szCs w:val="32"/>
        </w:rPr>
        <w:t>24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4"/>
        <w:tabs>
          <w:tab w:val="right" w:leader="dot" w:pos="8835"/>
        </w:tabs>
        <w:rPr>
          <w:rFonts w:ascii="Times New Roman" w:hAnsi="Times New Roman" w:cs="Times New Roman" w:eastAsiaTheme="minorEastAsia"/>
          <w:b w:val="0"/>
          <w:bCs w:val="0"/>
          <w:caps w:val="0"/>
          <w:sz w:val="32"/>
          <w:szCs w:val="32"/>
        </w:rPr>
      </w:pPr>
      <w:r>
        <w:fldChar w:fldCharType="begin"/>
      </w:r>
      <w:r>
        <w:instrText xml:space="preserve"> HYPERLINK \l "_Toc97729955" </w:instrText>
      </w:r>
      <w:r>
        <w:fldChar w:fldCharType="separate"/>
      </w:r>
      <w:r>
        <w:rPr>
          <w:rStyle w:val="19"/>
          <w:rFonts w:ascii="黑体" w:hAnsi="黑体" w:eastAsia="黑体" w:cs="Times New Roman"/>
          <w:b w:val="0"/>
          <w:sz w:val="32"/>
          <w:szCs w:val="32"/>
          <w:u w:val="none"/>
        </w:rPr>
        <w:t>五、保障措施</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_Toc97729955 \h </w:instrText>
      </w:r>
      <w:r>
        <w:rPr>
          <w:rFonts w:ascii="Times New Roman" w:hAnsi="Times New Roman" w:cs="Times New Roman"/>
          <w:sz w:val="32"/>
          <w:szCs w:val="32"/>
        </w:rPr>
        <w:fldChar w:fldCharType="separate"/>
      </w:r>
      <w:r>
        <w:rPr>
          <w:rFonts w:ascii="Times New Roman" w:hAnsi="Times New Roman" w:cs="Times New Roman"/>
          <w:sz w:val="32"/>
          <w:szCs w:val="32"/>
        </w:rPr>
        <w:t>25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835"/>
        </w:tabs>
        <w:rPr>
          <w:rFonts w:ascii="Times New Roman" w:hAnsi="Times New Roman" w:cs="Times New Roman" w:eastAsiaTheme="minorEastAsia"/>
          <w:smallCaps w:val="0"/>
          <w:sz w:val="32"/>
          <w:szCs w:val="32"/>
        </w:rPr>
      </w:pPr>
      <w:r>
        <w:fldChar w:fldCharType="begin"/>
      </w:r>
      <w:r>
        <w:instrText xml:space="preserve"> HYPERLINK \l "_Toc97729956" </w:instrText>
      </w:r>
      <w:r>
        <w:fldChar w:fldCharType="separate"/>
      </w:r>
      <w:r>
        <w:rPr>
          <w:rStyle w:val="19"/>
          <w:rFonts w:ascii="Times New Roman" w:hAnsi="Times New Roman" w:eastAsia="楷体_GB2312" w:cs="Times New Roman"/>
          <w:sz w:val="32"/>
          <w:szCs w:val="32"/>
          <w:u w:val="none"/>
        </w:rPr>
        <w:t>（一）组织保障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_Toc97729956 \h </w:instrText>
      </w:r>
      <w:r>
        <w:rPr>
          <w:rFonts w:ascii="Times New Roman" w:hAnsi="Times New Roman" w:cs="Times New Roman"/>
          <w:sz w:val="32"/>
          <w:szCs w:val="32"/>
        </w:rPr>
        <w:fldChar w:fldCharType="separate"/>
      </w:r>
      <w:r>
        <w:rPr>
          <w:rFonts w:ascii="Times New Roman" w:hAnsi="Times New Roman" w:cs="Times New Roman"/>
          <w:sz w:val="32"/>
          <w:szCs w:val="32"/>
        </w:rPr>
        <w:t>25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835"/>
        </w:tabs>
        <w:rPr>
          <w:rFonts w:ascii="Times New Roman" w:hAnsi="Times New Roman" w:cs="Times New Roman" w:eastAsiaTheme="minorEastAsia"/>
          <w:smallCaps w:val="0"/>
          <w:sz w:val="32"/>
          <w:szCs w:val="32"/>
        </w:rPr>
      </w:pPr>
      <w:r>
        <w:fldChar w:fldCharType="begin"/>
      </w:r>
      <w:r>
        <w:instrText xml:space="preserve"> HYPERLINK \l "_Toc97729957" </w:instrText>
      </w:r>
      <w:r>
        <w:fldChar w:fldCharType="separate"/>
      </w:r>
      <w:r>
        <w:rPr>
          <w:rStyle w:val="19"/>
          <w:rFonts w:ascii="Times New Roman" w:hAnsi="Times New Roman" w:eastAsia="楷体_GB2312" w:cs="Times New Roman"/>
          <w:sz w:val="32"/>
          <w:szCs w:val="32"/>
          <w:u w:val="none"/>
        </w:rPr>
        <w:t>（二）制度保障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_Toc97729957 \h </w:instrText>
      </w:r>
      <w:r>
        <w:rPr>
          <w:rFonts w:ascii="Times New Roman" w:hAnsi="Times New Roman" w:cs="Times New Roman"/>
          <w:sz w:val="32"/>
          <w:szCs w:val="32"/>
        </w:rPr>
        <w:fldChar w:fldCharType="separate"/>
      </w:r>
      <w:r>
        <w:rPr>
          <w:rFonts w:ascii="Times New Roman" w:hAnsi="Times New Roman" w:cs="Times New Roman"/>
          <w:sz w:val="32"/>
          <w:szCs w:val="32"/>
        </w:rPr>
        <w:t>25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835"/>
        </w:tabs>
        <w:rPr>
          <w:rFonts w:ascii="Times New Roman" w:hAnsi="Times New Roman" w:cs="Times New Roman" w:eastAsiaTheme="minorEastAsia"/>
          <w:smallCaps w:val="0"/>
          <w:sz w:val="32"/>
          <w:szCs w:val="32"/>
        </w:rPr>
      </w:pPr>
      <w:r>
        <w:fldChar w:fldCharType="begin"/>
      </w:r>
      <w:r>
        <w:instrText xml:space="preserve"> HYPERLINK \l "_Toc97729958" </w:instrText>
      </w:r>
      <w:r>
        <w:fldChar w:fldCharType="separate"/>
      </w:r>
      <w:r>
        <w:rPr>
          <w:rStyle w:val="19"/>
          <w:rFonts w:ascii="Times New Roman" w:hAnsi="Times New Roman" w:eastAsia="楷体_GB2312" w:cs="Times New Roman"/>
          <w:sz w:val="32"/>
          <w:szCs w:val="32"/>
          <w:u w:val="none"/>
        </w:rPr>
        <w:t>（三）宣传保障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_Toc97729958 \h </w:instrText>
      </w:r>
      <w:r>
        <w:rPr>
          <w:rFonts w:ascii="Times New Roman" w:hAnsi="Times New Roman" w:cs="Times New Roman"/>
          <w:sz w:val="32"/>
          <w:szCs w:val="32"/>
        </w:rPr>
        <w:fldChar w:fldCharType="separate"/>
      </w:r>
      <w:r>
        <w:rPr>
          <w:rFonts w:ascii="Times New Roman" w:hAnsi="Times New Roman" w:cs="Times New Roman"/>
          <w:sz w:val="32"/>
          <w:szCs w:val="32"/>
        </w:rPr>
        <w:t>26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720"/>
        </w:tabs>
        <w:spacing w:line="600" w:lineRule="exact"/>
        <w:rPr>
          <w:rFonts w:ascii="Times New Roman" w:hAnsi="Times New Roman" w:eastAsia="仿宋" w:cs="Times New Roman"/>
          <w:smallCaps w:val="0"/>
          <w:color w:val="000000"/>
          <w:sz w:val="32"/>
          <w:szCs w:val="32"/>
        </w:rPr>
      </w:pPr>
      <w:r>
        <w:rPr>
          <w:rFonts w:ascii="Times New Roman" w:hAnsi="Times New Roman" w:eastAsia="仿宋" w:cs="Times New Roman"/>
          <w:b/>
          <w:bCs/>
          <w:smallCaps w:val="0"/>
          <w:color w:val="000000"/>
          <w:sz w:val="32"/>
          <w:szCs w:val="32"/>
        </w:rPr>
        <w:fldChar w:fldCharType="end"/>
      </w:r>
    </w:p>
    <w:p>
      <w:pPr>
        <w:rPr>
          <w:rFonts w:ascii="Times New Roman"/>
        </w:rPr>
        <w:sectPr>
          <w:footerReference r:id="rId4" w:type="default"/>
          <w:pgSz w:w="11906" w:h="16838"/>
          <w:pgMar w:top="1417" w:right="1474" w:bottom="1417" w:left="1587" w:header="851" w:footer="992" w:gutter="0"/>
          <w:pgNumType w:fmt="upperRoman" w:start="1"/>
          <w:cols w:space="0" w:num="1"/>
          <w:docGrid w:type="lines" w:linePitch="319" w:charSpace="0"/>
        </w:sectPr>
      </w:pPr>
    </w:p>
    <w:p>
      <w:pPr>
        <w:pStyle w:val="61"/>
        <w:spacing w:before="319" w:after="319" w:line="600" w:lineRule="exact"/>
        <w:jc w:val="center"/>
        <w:rPr>
          <w:rFonts w:ascii="Times New Roman" w:hAnsi="Times New Roman" w:cs="Times New Roman"/>
          <w:sz w:val="32"/>
          <w:szCs w:val="32"/>
        </w:rPr>
      </w:pPr>
      <w:bookmarkStart w:id="6" w:name="_Toc72337796"/>
      <w:bookmarkStart w:id="7" w:name="_Toc97729931"/>
      <w:bookmarkStart w:id="8" w:name="_Toc49608151"/>
      <w:bookmarkStart w:id="9" w:name="_Toc42172319"/>
      <w:r>
        <w:rPr>
          <w:rFonts w:hint="eastAsia" w:ascii="Times New Roman" w:hAnsi="Times New Roman" w:cs="黑体"/>
          <w:sz w:val="32"/>
          <w:szCs w:val="32"/>
        </w:rPr>
        <w:t>前  言</w:t>
      </w:r>
      <w:bookmarkEnd w:id="6"/>
      <w:bookmarkEnd w:id="7"/>
    </w:p>
    <w:p>
      <w:pPr>
        <w:pStyle w:val="39"/>
        <w:spacing w:line="600" w:lineRule="exact"/>
        <w:ind w:firstLine="640"/>
        <w:rPr>
          <w:rFonts w:eastAsia="仿宋_GB2312"/>
          <w:color w:val="000000"/>
        </w:rPr>
      </w:pPr>
      <w:r>
        <w:rPr>
          <w:rFonts w:hint="eastAsia" w:ascii="仿宋_GB2312" w:eastAsia="仿宋_GB2312" w:cs="仿宋_GB2312"/>
          <w:color w:val="000000"/>
          <w:szCs w:val="20"/>
          <w:lang w:val="en-US"/>
        </w:rPr>
        <w:t>“十四五”时期是我国全面建成小康社会、实现第一个百年奋斗目标之后，乘势而上开启全面建设社会主义现代化国家新征程、向第二个百年奋斗目标进军的第一个五年；是北京市深入落实首都城市战略定位、建设国际一流和谐宜居之都的关键时期。朝阳区作为</w:t>
      </w:r>
      <w:r>
        <w:rPr>
          <w:rFonts w:hint="eastAsia" w:ascii="仿宋_GB2312" w:eastAsia="仿宋_GB2312" w:cs="仿宋_GB2312"/>
          <w:kern w:val="0"/>
          <w:szCs w:val="20"/>
          <w:lang w:val="en-US"/>
        </w:rPr>
        <w:t>首都功能的重要承载区和国际交往的重要窗口</w:t>
      </w:r>
      <w:r>
        <w:rPr>
          <w:rFonts w:hint="eastAsia" w:ascii="仿宋_GB2312" w:eastAsia="仿宋_GB2312" w:cs="仿宋_GB2312"/>
          <w:color w:val="000000"/>
          <w:szCs w:val="20"/>
          <w:lang w:val="en-US"/>
        </w:rPr>
        <w:t>，未来五年肩负着服务首都“四个中心”建设，不断提升“四个服务”水平</w:t>
      </w:r>
      <w:r>
        <w:rPr>
          <w:rFonts w:hint="eastAsia" w:eastAsia="仿宋_GB2312" w:cs="仿宋_GB2312"/>
          <w:color w:val="000000"/>
        </w:rPr>
        <w:t>的</w:t>
      </w:r>
      <w:r>
        <w:rPr>
          <w:rFonts w:hint="eastAsia" w:eastAsia="仿宋_GB2312" w:cs="仿宋_GB2312"/>
          <w:color w:val="000000"/>
          <w:lang w:val="en-US"/>
        </w:rPr>
        <w:t>重要</w:t>
      </w:r>
      <w:r>
        <w:rPr>
          <w:rFonts w:hint="eastAsia" w:eastAsia="仿宋_GB2312" w:cs="仿宋_GB2312"/>
          <w:color w:val="000000"/>
        </w:rPr>
        <w:t>使命，</w:t>
      </w:r>
      <w:r>
        <w:rPr>
          <w:rFonts w:hint="eastAsia" w:eastAsia="仿宋_GB2312" w:cs="仿宋_GB2312"/>
          <w:color w:val="000000"/>
          <w:lang w:val="en-US"/>
        </w:rPr>
        <w:t>将</w:t>
      </w:r>
      <w:r>
        <w:rPr>
          <w:rFonts w:hint="eastAsia" w:eastAsia="仿宋_GB2312" w:cs="仿宋_GB2312"/>
          <w:color w:val="000000"/>
        </w:rPr>
        <w:t>建设</w:t>
      </w:r>
      <w:r>
        <w:rPr>
          <w:rFonts w:hint="eastAsia" w:eastAsia="仿宋_GB2312" w:cs="仿宋_GB2312"/>
          <w:color w:val="000000"/>
          <w:lang w:val="en-US"/>
        </w:rPr>
        <w:t>成为</w:t>
      </w:r>
      <w:r>
        <w:rPr>
          <w:rFonts w:hint="eastAsia" w:eastAsia="仿宋_GB2312" w:cs="仿宋_GB2312"/>
          <w:color w:val="000000"/>
        </w:rPr>
        <w:t>具有国际影响力和竞争力的和谐宜居国际化城区。</w:t>
      </w:r>
    </w:p>
    <w:p>
      <w:pPr>
        <w:pStyle w:val="39"/>
        <w:spacing w:line="600" w:lineRule="exact"/>
        <w:ind w:firstLine="640"/>
        <w:rPr>
          <w:rFonts w:eastAsia="仿宋_GB2312"/>
          <w:color w:val="000000"/>
        </w:rPr>
      </w:pPr>
      <w:r>
        <w:rPr>
          <w:rFonts w:hint="eastAsia" w:ascii="仿宋_GB2312" w:eastAsia="仿宋_GB2312" w:cs="仿宋_GB2312"/>
          <w:color w:val="000000"/>
          <w:szCs w:val="20"/>
          <w:lang w:val="en-US"/>
        </w:rPr>
        <w:t>按照朝阳区委、区政府关于编制“十四五”规划和北京市水务局关于编制“十四五”时期水务发展规划的要求，依据《北京城市总体规划（</w:t>
      </w:r>
      <w:r>
        <w:rPr>
          <w:rFonts w:ascii="仿宋_GB2312" w:eastAsia="仿宋_GB2312" w:cs="Times New Roman"/>
          <w:color w:val="000000"/>
          <w:szCs w:val="20"/>
          <w:lang w:val="en-US"/>
        </w:rPr>
        <w:t>2016</w:t>
      </w:r>
      <w:r>
        <w:rPr>
          <w:rFonts w:hint="eastAsia" w:ascii="仿宋_GB2312" w:eastAsia="仿宋_GB2312" w:cs="仿宋_GB2312"/>
          <w:color w:val="000000"/>
          <w:szCs w:val="20"/>
          <w:lang w:val="en-US"/>
        </w:rPr>
        <w:t>年</w:t>
      </w:r>
      <w:r>
        <w:rPr>
          <w:rFonts w:hint="eastAsia" w:ascii="仿宋_GB2312" w:eastAsia="仿宋_GB2312" w:cs="Times New Roman"/>
          <w:color w:val="000000"/>
          <w:szCs w:val="20"/>
          <w:lang w:val="en-US"/>
        </w:rPr>
        <w:t>—</w:t>
      </w:r>
      <w:r>
        <w:rPr>
          <w:rFonts w:ascii="仿宋_GB2312" w:eastAsia="仿宋_GB2312" w:cs="Times New Roman"/>
          <w:color w:val="000000"/>
          <w:szCs w:val="20"/>
          <w:lang w:val="en-US"/>
        </w:rPr>
        <w:t>2035</w:t>
      </w:r>
      <w:r>
        <w:rPr>
          <w:rFonts w:hint="eastAsia" w:ascii="仿宋_GB2312" w:eastAsia="仿宋_GB2312" w:cs="仿宋_GB2312"/>
          <w:color w:val="000000"/>
          <w:szCs w:val="20"/>
          <w:lang w:val="en-US"/>
        </w:rPr>
        <w:t>年）》《朝阳分区规划（国土空间规划）（</w:t>
      </w:r>
      <w:r>
        <w:rPr>
          <w:rFonts w:ascii="仿宋_GB2312" w:eastAsia="仿宋_GB2312" w:cs="Times New Roman"/>
          <w:color w:val="000000"/>
          <w:szCs w:val="20"/>
          <w:lang w:val="en-US"/>
        </w:rPr>
        <w:t>2017</w:t>
      </w:r>
      <w:r>
        <w:rPr>
          <w:rFonts w:hint="eastAsia" w:ascii="仿宋_GB2312" w:eastAsia="仿宋_GB2312" w:cs="仿宋_GB2312"/>
          <w:color w:val="000000"/>
          <w:szCs w:val="20"/>
          <w:lang w:val="en-US"/>
        </w:rPr>
        <w:t>年</w:t>
      </w:r>
      <w:r>
        <w:rPr>
          <w:rFonts w:hint="eastAsia" w:ascii="仿宋_GB2312" w:eastAsia="仿宋_GB2312" w:cs="Times New Roman"/>
          <w:color w:val="000000"/>
          <w:szCs w:val="20"/>
          <w:lang w:val="en-US"/>
        </w:rPr>
        <w:t>—</w:t>
      </w:r>
      <w:r>
        <w:rPr>
          <w:rFonts w:ascii="仿宋_GB2312" w:eastAsia="仿宋_GB2312" w:cs="Times New Roman"/>
          <w:color w:val="000000"/>
          <w:szCs w:val="20"/>
          <w:lang w:val="en-US"/>
        </w:rPr>
        <w:t>2035</w:t>
      </w:r>
      <w:r>
        <w:rPr>
          <w:rFonts w:hint="eastAsia" w:ascii="仿宋_GB2312" w:eastAsia="仿宋_GB2312" w:cs="仿宋_GB2312"/>
          <w:color w:val="000000"/>
          <w:szCs w:val="20"/>
          <w:lang w:val="en-US"/>
        </w:rPr>
        <w:t>年）》和《北京市朝阳区国民经济和社会发展第十四个五年规划和二</w:t>
      </w:r>
      <w:r>
        <w:rPr>
          <w:rFonts w:hint="eastAsia" w:ascii="仿宋_GB2312" w:eastAsia="宋体" w:cs="宋体"/>
          <w:color w:val="000000"/>
          <w:szCs w:val="20"/>
          <w:lang w:val="en-US"/>
        </w:rPr>
        <w:t>〇</w:t>
      </w:r>
      <w:r>
        <w:rPr>
          <w:rFonts w:hint="eastAsia" w:ascii="仿宋_GB2312" w:eastAsia="仿宋_GB2312" w:cs="仿宋_GB2312"/>
          <w:color w:val="000000"/>
          <w:szCs w:val="20"/>
          <w:lang w:val="en-US"/>
        </w:rPr>
        <w:t>三五年远景目标纲要》，以保障首都水安全为核心，紧紧围绕“亲水朝阳”的建设目标，编制了《朝阳区“十四五”时期水务发展规划》（以下简称《规划》）。《规划》坚持目标导向和问题导向，在全面总结“十三五”水务发展成效基础上，深入分析朝阳区水务发展存在的主要短板及问题，根据朝阳区功能定位、发展目标及经济社会发展等对水务的要求，明确了“十四五”时期聚力实施</w:t>
      </w:r>
      <w:r>
        <w:rPr>
          <w:rFonts w:hint="eastAsia" w:ascii="仿宋_GB2312" w:eastAsia="仿宋_GB2312" w:cs="仿宋_GB2312"/>
          <w:color w:val="000000" w:themeColor="text1"/>
          <w:szCs w:val="20"/>
          <w:lang w:val="en-US"/>
        </w:rPr>
        <w:t>“</w:t>
      </w:r>
      <w:r>
        <w:rPr>
          <w:rFonts w:ascii="仿宋_GB2312" w:eastAsia="仿宋_GB2312" w:cs="Times New Roman"/>
          <w:color w:val="000000" w:themeColor="text1"/>
          <w:szCs w:val="20"/>
          <w:lang w:val="en-US"/>
        </w:rPr>
        <w:t>571</w:t>
      </w:r>
      <w:r>
        <w:rPr>
          <w:rFonts w:hint="eastAsia" w:ascii="仿宋_GB2312" w:eastAsia="仿宋_GB2312" w:cs="仿宋_GB2312"/>
          <w:color w:val="000000" w:themeColor="text1"/>
          <w:szCs w:val="20"/>
          <w:lang w:val="en-US"/>
        </w:rPr>
        <w:t>”</w:t>
      </w:r>
      <w:r>
        <w:rPr>
          <w:rFonts w:hint="eastAsia" w:ascii="仿宋_GB2312" w:eastAsia="仿宋_GB2312" w:cs="仿宋_GB2312"/>
          <w:color w:val="000000"/>
          <w:szCs w:val="20"/>
          <w:lang w:val="en-US"/>
        </w:rPr>
        <w:t>朝阳水务高质量发展蓝图的目标和任务。</w:t>
      </w:r>
    </w:p>
    <w:p>
      <w:pPr>
        <w:pStyle w:val="39"/>
        <w:spacing w:line="600" w:lineRule="exact"/>
        <w:ind w:firstLine="640"/>
        <w:rPr>
          <w:rFonts w:eastAsia="仿宋_GB2312"/>
          <w:color w:val="000000"/>
        </w:rPr>
      </w:pPr>
      <w:r>
        <w:rPr>
          <w:rFonts w:hint="eastAsia" w:eastAsia="仿宋_GB2312" w:cs="仿宋_GB2312"/>
          <w:color w:val="000000"/>
        </w:rPr>
        <w:t>《规划》作为《北京市朝阳区国民经济和社会发展第十四个五年规划和二</w:t>
      </w:r>
      <w:r>
        <w:rPr>
          <w:rFonts w:hint="eastAsia" w:eastAsia="宋体" w:cs="宋体"/>
          <w:color w:val="000000"/>
        </w:rPr>
        <w:t>〇</w:t>
      </w:r>
      <w:r>
        <w:rPr>
          <w:rFonts w:hint="eastAsia" w:eastAsia="仿宋_GB2312" w:cs="仿宋_GB2312"/>
          <w:color w:val="000000"/>
        </w:rPr>
        <w:t>三五年远景目标纲要》在水务领域的落实和延伸，是“十四五”期间水务建设与管理的指导性文件，对于加快建设现代化水务基础设施体系、全面提高管理服务水平具有重要意义。</w:t>
      </w:r>
    </w:p>
    <w:p>
      <w:pPr>
        <w:spacing w:line="560" w:lineRule="exact"/>
        <w:ind w:firstLine="480" w:firstLineChars="200"/>
        <w:outlineLvl w:val="0"/>
        <w:rPr>
          <w:rFonts w:ascii="Times New Roman" w:eastAsia="仿宋"/>
          <w:color w:val="000000"/>
          <w:sz w:val="24"/>
          <w:szCs w:val="24"/>
        </w:rPr>
        <w:sectPr>
          <w:footerReference r:id="rId5" w:type="default"/>
          <w:footerReference r:id="rId6" w:type="even"/>
          <w:pgSz w:w="11906" w:h="16838"/>
          <w:pgMar w:top="1418" w:right="1588" w:bottom="1418" w:left="1588" w:header="851" w:footer="992" w:gutter="0"/>
          <w:pgNumType w:start="1"/>
          <w:cols w:space="0" w:num="1"/>
          <w:docGrid w:type="lines" w:linePitch="319" w:charSpace="0"/>
        </w:sectPr>
      </w:pPr>
    </w:p>
    <w:bookmarkEnd w:id="8"/>
    <w:bookmarkEnd w:id="9"/>
    <w:p>
      <w:pPr>
        <w:pStyle w:val="61"/>
        <w:spacing w:beforeLines="0" w:afterLines="0" w:line="600" w:lineRule="exact"/>
        <w:ind w:firstLine="640" w:firstLineChars="200"/>
        <w:rPr>
          <w:rFonts w:ascii="Times New Roman" w:hAnsi="Times New Roman" w:cs="Times New Roman"/>
          <w:sz w:val="32"/>
          <w:szCs w:val="32"/>
        </w:rPr>
      </w:pPr>
      <w:bookmarkStart w:id="10" w:name="_Toc97729932"/>
      <w:bookmarkStart w:id="11" w:name="_Toc42172322"/>
      <w:bookmarkStart w:id="12" w:name="_Toc49608154"/>
      <w:r>
        <w:rPr>
          <w:rFonts w:hint="eastAsia" w:ascii="Times New Roman" w:hAnsi="Times New Roman" w:cs="黑体"/>
          <w:sz w:val="32"/>
          <w:szCs w:val="32"/>
        </w:rPr>
        <w:t>一、“十三五”水务发展主要成效</w:t>
      </w:r>
      <w:bookmarkEnd w:id="10"/>
    </w:p>
    <w:p>
      <w:pPr>
        <w:pStyle w:val="39"/>
        <w:spacing w:line="600" w:lineRule="exact"/>
        <w:ind w:firstLine="640"/>
        <w:rPr>
          <w:sz w:val="24"/>
          <w:szCs w:val="24"/>
        </w:rPr>
      </w:pPr>
      <w:r>
        <w:rPr>
          <w:rFonts w:hint="eastAsia" w:ascii="仿宋_GB2312" w:eastAsia="仿宋_GB2312" w:cs="仿宋_GB2312"/>
          <w:szCs w:val="20"/>
          <w:lang w:val="en-US"/>
        </w:rPr>
        <w:t>“十三五”期间，朝阳区坚持“节水优先、空间均衡、系统治理、两手发力”的治水思路，以落实最严格的水资源管理制度为主线，以全面实施河长制为抓手，以污水治理和水环境改善为重点，以水生态廊道建设为示范，以民生治水为核心，创新治水理念，完善治水体系，建成节水型区，全面实现“清水朝阳”目标，“亲水朝阳”建设初见成效，区域水环境实现跨越式提升。</w:t>
      </w:r>
    </w:p>
    <w:p>
      <w:pPr>
        <w:pStyle w:val="62"/>
        <w:spacing w:beforeLines="0" w:line="600" w:lineRule="exact"/>
        <w:ind w:firstLine="608"/>
        <w:outlineLvl w:val="1"/>
        <w:rPr>
          <w:rFonts w:eastAsia="楷体_GB2312" w:cs="楷体_GB2312"/>
          <w:b w:val="0"/>
          <w:bCs w:val="0"/>
          <w:spacing w:val="-8"/>
        </w:rPr>
      </w:pPr>
      <w:bookmarkStart w:id="13" w:name="_Toc74301034"/>
      <w:bookmarkStart w:id="14" w:name="_Toc72328754"/>
      <w:bookmarkStart w:id="15" w:name="_Toc97729933"/>
      <w:r>
        <w:rPr>
          <w:rFonts w:hint="eastAsia" w:eastAsia="楷体_GB2312" w:cs="楷体_GB2312"/>
          <w:b w:val="0"/>
          <w:bCs w:val="0"/>
          <w:spacing w:val="-8"/>
        </w:rPr>
        <w:t>（一）“清水朝阳”目标全面实现，</w:t>
      </w:r>
      <w:bookmarkEnd w:id="13"/>
      <w:bookmarkEnd w:id="14"/>
      <w:r>
        <w:rPr>
          <w:rFonts w:hint="eastAsia" w:eastAsia="楷体_GB2312" w:cs="楷体_GB2312"/>
          <w:b w:val="0"/>
          <w:bCs w:val="0"/>
          <w:spacing w:val="-8"/>
        </w:rPr>
        <w:t>治污“翻身仗”取得胜利</w:t>
      </w:r>
      <w:bookmarkEnd w:id="15"/>
    </w:p>
    <w:p>
      <w:pPr>
        <w:pStyle w:val="39"/>
        <w:spacing w:line="600" w:lineRule="exact"/>
        <w:ind w:firstLine="640"/>
        <w:rPr>
          <w:rFonts w:eastAsia="仿宋_GB2312"/>
        </w:rPr>
      </w:pPr>
      <w:r>
        <w:rPr>
          <w:rFonts w:hint="eastAsia" w:eastAsia="仿宋_GB2312" w:cs="仿宋_GB2312"/>
        </w:rPr>
        <w:t>区域污水处理能力显著提升。完成第二个三年治污行动方案，清河第二、高安屯、定福庄</w:t>
      </w:r>
      <w:r>
        <w:rPr>
          <w:rFonts w:eastAsia="仿宋_GB2312"/>
        </w:rPr>
        <w:t>3</w:t>
      </w:r>
      <w:r>
        <w:rPr>
          <w:rFonts w:hint="eastAsia" w:eastAsia="仿宋_GB2312" w:cs="仿宋_GB2312"/>
        </w:rPr>
        <w:t>座再生水厂、温榆河流域</w:t>
      </w:r>
      <w:r>
        <w:rPr>
          <w:rFonts w:eastAsia="仿宋_GB2312"/>
        </w:rPr>
        <w:t>4</w:t>
      </w:r>
      <w:r>
        <w:rPr>
          <w:rFonts w:hint="eastAsia" w:eastAsia="仿宋_GB2312" w:cs="仿宋_GB2312"/>
        </w:rPr>
        <w:t>座污水处理站及配套管线建成投运，基本实现污水全收集、全处理。</w:t>
      </w:r>
    </w:p>
    <w:p>
      <w:pPr>
        <w:pStyle w:val="39"/>
        <w:spacing w:line="600" w:lineRule="exact"/>
        <w:ind w:firstLine="616"/>
        <w:rPr>
          <w:rFonts w:eastAsia="仿宋_GB2312"/>
          <w:spacing w:val="-6"/>
        </w:rPr>
      </w:pPr>
      <w:r>
        <w:rPr>
          <w:rFonts w:hint="eastAsia" w:eastAsia="仿宋_GB2312" w:cs="仿宋_GB2312"/>
          <w:spacing w:val="-6"/>
        </w:rPr>
        <w:t>城乡水环境质量明显改善。全面消除</w:t>
      </w:r>
      <w:r>
        <w:rPr>
          <w:rFonts w:eastAsia="仿宋_GB2312"/>
          <w:spacing w:val="-6"/>
        </w:rPr>
        <w:t>34</w:t>
      </w:r>
      <w:r>
        <w:rPr>
          <w:rFonts w:hint="eastAsia" w:eastAsia="仿宋_GB2312" w:cs="仿宋_GB2312"/>
          <w:spacing w:val="-6"/>
        </w:rPr>
        <w:t>条段、</w:t>
      </w:r>
      <w:r>
        <w:rPr>
          <w:rFonts w:eastAsia="仿宋_GB2312"/>
          <w:spacing w:val="-6"/>
        </w:rPr>
        <w:t>106</w:t>
      </w:r>
      <w:r>
        <w:rPr>
          <w:rFonts w:hint="eastAsia" w:eastAsia="仿宋_GB2312" w:cs="仿宋_GB2312"/>
          <w:spacing w:val="-6"/>
        </w:rPr>
        <w:t>公里黑臭水体，在全市率先完成小微水体治理。通过实施综合治理，国家、市级考核断面全面达标并持续向好，流入城市副中心的</w:t>
      </w:r>
      <w:r>
        <w:rPr>
          <w:rFonts w:eastAsia="仿宋_GB2312"/>
          <w:spacing w:val="-6"/>
        </w:rPr>
        <w:t>9</w:t>
      </w:r>
      <w:r>
        <w:rPr>
          <w:rFonts w:hint="eastAsia" w:eastAsia="仿宋_GB2312" w:cs="仿宋_GB2312"/>
          <w:spacing w:val="-6"/>
        </w:rPr>
        <w:t>条河道全部还清。</w:t>
      </w:r>
      <w:r>
        <w:rPr>
          <w:rFonts w:eastAsia="仿宋_GB2312" w:cs="仿宋_GB2312"/>
          <w:spacing w:val="-6"/>
        </w:rPr>
        <w:t>2019年全市水污染防治考核中</w:t>
      </w:r>
      <w:r>
        <w:rPr>
          <w:rFonts w:hint="eastAsia" w:eastAsia="仿宋_GB2312" w:cs="仿宋_GB2312"/>
          <w:spacing w:val="-6"/>
        </w:rPr>
        <w:t>我区</w:t>
      </w:r>
      <w:r>
        <w:rPr>
          <w:rFonts w:eastAsia="仿宋_GB2312" w:cs="仿宋_GB2312"/>
          <w:spacing w:val="-6"/>
        </w:rPr>
        <w:t>首次评为优秀</w:t>
      </w:r>
      <w:r>
        <w:rPr>
          <w:rFonts w:hint="eastAsia" w:eastAsia="仿宋_GB2312" w:cs="仿宋_GB2312"/>
          <w:spacing w:val="-6"/>
        </w:rPr>
        <w:t>。</w:t>
      </w:r>
    </w:p>
    <w:p>
      <w:pPr>
        <w:pStyle w:val="39"/>
        <w:spacing w:line="600" w:lineRule="exact"/>
        <w:ind w:firstLine="640"/>
        <w:rPr>
          <w:rFonts w:eastAsia="仿宋_GB2312"/>
        </w:rPr>
      </w:pPr>
      <w:r>
        <w:rPr>
          <w:rFonts w:hint="eastAsia" w:eastAsia="仿宋_GB2312" w:cs="仿宋_GB2312"/>
        </w:rPr>
        <w:t>溯源治污工作全面铺开。区水务局、属地街乡及排水集团三方协作，完成全区排水情况地毯式摸排及重点行业、系统的污水排水情况摸排工作。</w:t>
      </w:r>
    </w:p>
    <w:p>
      <w:pPr>
        <w:pStyle w:val="62"/>
        <w:spacing w:beforeLines="0" w:line="600" w:lineRule="exact"/>
        <w:ind w:firstLine="608"/>
        <w:outlineLvl w:val="1"/>
        <w:rPr>
          <w:rFonts w:eastAsia="楷体_GB2312" w:cs="楷体_GB2312"/>
          <w:b w:val="0"/>
          <w:bCs w:val="0"/>
          <w:spacing w:val="-8"/>
        </w:rPr>
      </w:pPr>
      <w:bookmarkStart w:id="16" w:name="_Toc72328755"/>
      <w:bookmarkStart w:id="17" w:name="_Toc74301035"/>
      <w:bookmarkStart w:id="18" w:name="_Toc97729934"/>
      <w:r>
        <w:rPr>
          <w:rFonts w:hint="eastAsia" w:eastAsia="楷体_GB2312" w:cs="楷体_GB2312"/>
          <w:b w:val="0"/>
          <w:bCs w:val="0"/>
          <w:spacing w:val="-8"/>
        </w:rPr>
        <w:t>（二）“亲水朝阳”建设初见成效，开创水城共融治河新典范</w:t>
      </w:r>
      <w:bookmarkEnd w:id="16"/>
      <w:bookmarkEnd w:id="17"/>
      <w:bookmarkEnd w:id="18"/>
    </w:p>
    <w:p>
      <w:pPr>
        <w:pStyle w:val="39"/>
        <w:spacing w:line="600" w:lineRule="exact"/>
        <w:ind w:firstLine="632"/>
        <w:rPr>
          <w:rFonts w:eastAsia="仿宋_GB2312" w:cs="仿宋_GB2312"/>
          <w:spacing w:val="-2"/>
        </w:rPr>
      </w:pPr>
      <w:r>
        <w:rPr>
          <w:rFonts w:hint="eastAsia" w:eastAsia="仿宋_GB2312" w:cs="仿宋_GB2312"/>
          <w:spacing w:val="-2"/>
        </w:rPr>
        <w:t>遵循新发展理念，践行“蓝绿交织，水城共融”，创新“共商、共治、共建、共管、共享、共赢”（“六共”）模式，高标准完成萧太后河、亮马河、坝河治理，完成蓝线规划编制，实施北水南引水系连通建设工程。亮马河国际风情水岸获得国际景观大奖，三环至朝阳公园通行游船，我区治河成效受到各界认可和好评。</w:t>
      </w:r>
    </w:p>
    <w:p>
      <w:pPr>
        <w:pStyle w:val="39"/>
        <w:spacing w:line="600" w:lineRule="exact"/>
        <w:ind w:firstLine="640"/>
        <w:rPr>
          <w:rFonts w:eastAsia="仿宋_GB2312"/>
        </w:rPr>
      </w:pPr>
      <w:r>
        <w:rPr>
          <w:rFonts w:hint="eastAsia" w:eastAsia="仿宋_GB2312" w:cs="仿宋_GB2312"/>
        </w:rPr>
        <w:t>萧太后河系综合治理及滨水绿色文化休闲廊道建设项目实现“水清、岸绿、景美、蕴深”的治河示范，治理效果受到广泛赞誉。亮马河四环以上段景观廊道建设工程创新“六共”模式，“蓝线、绿线和红线”三线融合，一河两岸“建筑</w:t>
      </w:r>
      <w:r>
        <w:rPr>
          <w:rFonts w:eastAsia="仿宋_GB2312" w:cs="仿宋_GB2312"/>
        </w:rPr>
        <w:t>-</w:t>
      </w:r>
      <w:r>
        <w:rPr>
          <w:rFonts w:hint="eastAsia" w:eastAsia="仿宋_GB2312" w:cs="仿宋_GB2312"/>
        </w:rPr>
        <w:t>绿地</w:t>
      </w:r>
      <w:r>
        <w:rPr>
          <w:rFonts w:eastAsia="仿宋_GB2312" w:cs="仿宋_GB2312"/>
        </w:rPr>
        <w:t>-</w:t>
      </w:r>
      <w:r>
        <w:rPr>
          <w:rFonts w:hint="eastAsia" w:eastAsia="仿宋_GB2312" w:cs="仿宋_GB2312"/>
        </w:rPr>
        <w:t>水”无缝衔接，将滨水步行街打造成为城市“新地标”。滨水空间拓展了沿岸的城市功能，优化了营商环境，增强沿岸企业和居民的获得感和幸福感，实现了经济、社会和生态效益的多维共赢。经过系统治理的坝河使馆区示范段已经呈现碧水绿荫、自然清新的优美景观形象，成为服务周边群众的幸福河，也为第四使馆区提供了高品质的生态型滨水开放空间。</w:t>
      </w:r>
    </w:p>
    <w:p>
      <w:pPr>
        <w:pStyle w:val="62"/>
        <w:spacing w:beforeLines="0" w:line="600" w:lineRule="exact"/>
        <w:ind w:firstLine="608"/>
        <w:outlineLvl w:val="1"/>
        <w:rPr>
          <w:rFonts w:eastAsia="楷体_GB2312" w:cs="楷体_GB2312"/>
          <w:b w:val="0"/>
          <w:bCs w:val="0"/>
          <w:spacing w:val="-8"/>
        </w:rPr>
      </w:pPr>
      <w:bookmarkStart w:id="19" w:name="_Toc74301036"/>
      <w:bookmarkStart w:id="20" w:name="_Toc97729935"/>
      <w:bookmarkStart w:id="21" w:name="_Toc72328756"/>
      <w:r>
        <w:rPr>
          <w:rFonts w:hint="eastAsia" w:eastAsia="楷体_GB2312" w:cs="楷体_GB2312"/>
          <w:b w:val="0"/>
          <w:bCs w:val="0"/>
          <w:spacing w:val="-8"/>
        </w:rPr>
        <w:t>（三）节水型区创建完成，开启用水精细化管理新思路</w:t>
      </w:r>
      <w:bookmarkEnd w:id="19"/>
      <w:bookmarkEnd w:id="20"/>
      <w:bookmarkEnd w:id="21"/>
    </w:p>
    <w:p>
      <w:pPr>
        <w:pStyle w:val="39"/>
        <w:spacing w:line="600" w:lineRule="exact"/>
        <w:ind w:firstLine="640"/>
        <w:rPr>
          <w:rFonts w:eastAsia="仿宋_GB2312"/>
        </w:rPr>
      </w:pPr>
      <w:r>
        <w:rPr>
          <w:rFonts w:hint="eastAsia" w:eastAsia="仿宋_GB2312" w:cs="仿宋_GB2312"/>
        </w:rPr>
        <w:t>严格计划用水管理。落实最严格水资源管理制度，用水总量得到有效控制。</w:t>
      </w:r>
    </w:p>
    <w:p>
      <w:pPr>
        <w:pStyle w:val="39"/>
        <w:spacing w:line="600" w:lineRule="exact"/>
        <w:ind w:firstLine="640"/>
        <w:rPr>
          <w:rFonts w:eastAsia="仿宋_GB2312"/>
        </w:rPr>
      </w:pPr>
      <w:r>
        <w:rPr>
          <w:rFonts w:hint="eastAsia" w:eastAsia="仿宋_GB2312" w:cs="仿宋_GB2312"/>
        </w:rPr>
        <w:t>推进用水精细化管理。组织区级部门、属地政府、自来水集团及社会力量，全面开展用水基础信息普查，完成基础信息摸底调查与数据开发利用。构建以社区（村）为单元的用水数据统计体系，基本实现社区（村）用水网格化、精细化管理。助推优化营商环境，提高管理效能，开发朝阳节水管理平台，网页版、企业版</w:t>
      </w:r>
      <w:r>
        <w:rPr>
          <w:rFonts w:eastAsia="仿宋_GB2312"/>
        </w:rPr>
        <w:t>APP</w:t>
      </w:r>
      <w:r>
        <w:rPr>
          <w:rFonts w:hint="eastAsia" w:eastAsia="仿宋_GB2312" w:cs="仿宋_GB2312"/>
        </w:rPr>
        <w:t>、管理版</w:t>
      </w:r>
      <w:r>
        <w:rPr>
          <w:rFonts w:eastAsia="仿宋_GB2312"/>
        </w:rPr>
        <w:t>APP</w:t>
      </w:r>
      <w:r>
        <w:rPr>
          <w:rFonts w:hint="eastAsia" w:eastAsia="仿宋_GB2312" w:cs="仿宋_GB2312"/>
        </w:rPr>
        <w:t>同时上线试运行，让数据多跑腿，让用户少跑路。</w:t>
      </w:r>
    </w:p>
    <w:p>
      <w:pPr>
        <w:pStyle w:val="39"/>
        <w:spacing w:line="600" w:lineRule="exact"/>
        <w:ind w:firstLine="640"/>
        <w:rPr>
          <w:rFonts w:eastAsia="仿宋_GB2312"/>
        </w:rPr>
      </w:pPr>
      <w:r>
        <w:rPr>
          <w:rFonts w:hint="eastAsia" w:eastAsia="仿宋_GB2312" w:cs="仿宋_GB2312"/>
        </w:rPr>
        <w:t>积极推进节水创建和节水宣传。</w:t>
      </w:r>
      <w:r>
        <w:rPr>
          <w:rFonts w:eastAsia="仿宋_GB2312"/>
        </w:rPr>
        <w:t>2018</w:t>
      </w:r>
      <w:r>
        <w:rPr>
          <w:rFonts w:hint="eastAsia" w:eastAsia="仿宋_GB2312" w:cs="仿宋_GB2312"/>
        </w:rPr>
        <w:t>年顺利通过节水型区创建。累计开展节水主题宣传活动</w:t>
      </w:r>
      <w:r>
        <w:rPr>
          <w:rFonts w:eastAsia="仿宋_GB2312"/>
        </w:rPr>
        <w:t>720</w:t>
      </w:r>
      <w:r>
        <w:rPr>
          <w:rFonts w:hint="eastAsia" w:eastAsia="仿宋_GB2312" w:cs="仿宋_GB2312"/>
        </w:rPr>
        <w:t>余场次，在全区范围内掀起节约用水活动高潮。</w:t>
      </w:r>
    </w:p>
    <w:p>
      <w:pPr>
        <w:pStyle w:val="39"/>
        <w:spacing w:line="600" w:lineRule="exact"/>
        <w:ind w:firstLine="640"/>
        <w:rPr>
          <w:rFonts w:eastAsia="仿宋_GB2312"/>
          <w:highlight w:val="yellow"/>
        </w:rPr>
      </w:pPr>
      <w:r>
        <w:rPr>
          <w:rFonts w:hint="eastAsia" w:eastAsia="仿宋_GB2312" w:cs="仿宋_GB2312"/>
        </w:rPr>
        <w:t>强化重点行业节水。开展“五个杜绝”专项检查，重点对高校、园林绿化等单位和特殊行业开展节水督导检查、整改工作；面向农业地块种植经营主体，宣传推广“两田一园”高效节水，为农业水资源税开征打好坚实基础；生活及公共服务业换装节水型生活器具</w:t>
      </w:r>
      <w:r>
        <w:rPr>
          <w:rFonts w:eastAsia="仿宋_GB2312"/>
        </w:rPr>
        <w:t>7</w:t>
      </w:r>
      <w:r>
        <w:rPr>
          <w:rFonts w:hint="eastAsia" w:eastAsia="仿宋_GB2312" w:cs="仿宋_GB2312"/>
        </w:rPr>
        <w:t>万套以上；大力推广非常规水源利用，建成金盏雨水利用工程及崔各庄乡雨水、再生水利用项目，联合市排水集团推进全区公共绿地、郊野公园再生水置换，加大河湖再生水利用，全区再生水使用量逐年提高。</w:t>
      </w:r>
    </w:p>
    <w:p>
      <w:pPr>
        <w:pStyle w:val="62"/>
        <w:spacing w:beforeLines="0" w:line="600" w:lineRule="exact"/>
        <w:ind w:firstLine="608"/>
        <w:outlineLvl w:val="1"/>
        <w:rPr>
          <w:rFonts w:eastAsia="楷体_GB2312" w:cs="楷体_GB2312"/>
          <w:b w:val="0"/>
          <w:bCs w:val="0"/>
          <w:spacing w:val="-8"/>
        </w:rPr>
      </w:pPr>
      <w:bookmarkStart w:id="22" w:name="_Toc72328757"/>
      <w:bookmarkStart w:id="23" w:name="_Toc74301037"/>
      <w:bookmarkStart w:id="24" w:name="_Toc97729936"/>
      <w:r>
        <w:rPr>
          <w:rFonts w:hint="eastAsia" w:eastAsia="楷体_GB2312" w:cs="楷体_GB2312"/>
          <w:b w:val="0"/>
          <w:bCs w:val="0"/>
          <w:spacing w:val="-8"/>
        </w:rPr>
        <w:t>（四）城乡供水条件持续改善，</w:t>
      </w:r>
      <w:bookmarkEnd w:id="22"/>
      <w:bookmarkEnd w:id="23"/>
      <w:r>
        <w:rPr>
          <w:rFonts w:hint="eastAsia" w:eastAsia="楷体_GB2312" w:cs="楷体_GB2312"/>
          <w:b w:val="0"/>
          <w:bCs w:val="0"/>
          <w:spacing w:val="-8"/>
        </w:rPr>
        <w:t>高压态势管控地下水取用</w:t>
      </w:r>
      <w:bookmarkEnd w:id="24"/>
    </w:p>
    <w:p>
      <w:pPr>
        <w:pStyle w:val="39"/>
        <w:spacing w:line="600" w:lineRule="exact"/>
        <w:ind w:firstLine="640"/>
        <w:rPr>
          <w:rFonts w:eastAsia="仿宋_GB2312"/>
        </w:rPr>
      </w:pPr>
      <w:r>
        <w:rPr>
          <w:rFonts w:hint="eastAsia" w:eastAsia="仿宋_GB2312" w:cs="仿宋_GB2312"/>
        </w:rPr>
        <w:t>全力推进自备井置换工作。累计完成</w:t>
      </w:r>
      <w:r>
        <w:rPr>
          <w:rFonts w:eastAsia="仿宋_GB2312"/>
        </w:rPr>
        <w:t>384</w:t>
      </w:r>
      <w:r>
        <w:rPr>
          <w:rFonts w:hint="eastAsia" w:eastAsia="仿宋_GB2312" w:cs="仿宋_GB2312"/>
        </w:rPr>
        <w:t>个企事业单位和居民小区自备井置换，受益人口</w:t>
      </w:r>
      <w:r>
        <w:rPr>
          <w:rFonts w:hint="eastAsia" w:eastAsia="仿宋_GB2312"/>
        </w:rPr>
        <w:t>50余</w:t>
      </w:r>
      <w:r>
        <w:rPr>
          <w:rFonts w:hint="eastAsia" w:eastAsia="仿宋_GB2312" w:cs="仿宋_GB2312"/>
        </w:rPr>
        <w:t>万人，居全市首位。加强农村饮水安全管理。落实农村饮水安全管理“三个责任”、“三个制度”，全面开展农村供水设施专项检查和集中供水厂规范化检查，实施城镇供水规范化管理考核与供水服务评价，加强农村生活饮水消毒设施专业运维与水质监督检查，推进集中供水厂水质信息公开。</w:t>
      </w:r>
    </w:p>
    <w:p>
      <w:pPr>
        <w:pStyle w:val="39"/>
        <w:spacing w:line="600" w:lineRule="exact"/>
        <w:ind w:firstLine="640"/>
        <w:rPr>
          <w:rFonts w:eastAsia="仿宋_GB2312"/>
        </w:rPr>
      </w:pPr>
      <w:r>
        <w:rPr>
          <w:rFonts w:hint="eastAsia" w:eastAsia="仿宋_GB2312" w:cs="仿宋_GB2312"/>
        </w:rPr>
        <w:t>严管严控地下水取用。大力推进区管机井封填工作，规范机井处置等管理流程，结合自备井置换、高尔夫球场清理整治等工作，区域地下水位</w:t>
      </w:r>
      <w:r>
        <w:rPr>
          <w:rFonts w:eastAsia="仿宋_GB2312" w:cs="仿宋_GB2312"/>
        </w:rPr>
        <w:t>下降趋势得到有效遏制</w:t>
      </w:r>
      <w:r>
        <w:rPr>
          <w:rFonts w:hint="eastAsia" w:eastAsia="仿宋_GB2312" w:cs="仿宋_GB2312"/>
        </w:rPr>
        <w:t>。规范取水许可管理，严格取水许可证发放，实现新凿机井许可零增长。</w:t>
      </w:r>
    </w:p>
    <w:p>
      <w:pPr>
        <w:pStyle w:val="39"/>
        <w:spacing w:line="600" w:lineRule="exact"/>
        <w:ind w:firstLine="640"/>
        <w:rPr>
          <w:rFonts w:eastAsia="仿宋_GB2312"/>
        </w:rPr>
      </w:pPr>
      <w:r>
        <w:rPr>
          <w:rFonts w:hint="eastAsia" w:eastAsia="仿宋_GB2312" w:cs="仿宋_GB2312"/>
        </w:rPr>
        <w:t>持续加强高尔夫球场等特殊行业用水监管。联合多部门开展涉水专项执法检查。引导督促高尔夫球场灌溉用水置换为再生水。现有营业球场全部完成水资源论证。</w:t>
      </w:r>
    </w:p>
    <w:p>
      <w:pPr>
        <w:pStyle w:val="62"/>
        <w:spacing w:beforeLines="0" w:line="600" w:lineRule="exact"/>
        <w:ind w:firstLine="608"/>
        <w:outlineLvl w:val="1"/>
        <w:rPr>
          <w:rFonts w:eastAsia="楷体_GB2312" w:cs="楷体_GB2312"/>
          <w:b w:val="0"/>
          <w:bCs w:val="0"/>
          <w:spacing w:val="-8"/>
        </w:rPr>
      </w:pPr>
      <w:bookmarkStart w:id="25" w:name="_Toc74301038"/>
      <w:bookmarkStart w:id="26" w:name="_Toc72328758"/>
      <w:bookmarkStart w:id="27" w:name="_Toc97729937"/>
      <w:r>
        <w:rPr>
          <w:rFonts w:hint="eastAsia" w:eastAsia="楷体_GB2312" w:cs="楷体_GB2312"/>
          <w:b w:val="0"/>
          <w:bCs w:val="0"/>
          <w:spacing w:val="-8"/>
        </w:rPr>
        <w:t>（五）洪涝灾害防御体系不断完善，防汛安全得到有力保障</w:t>
      </w:r>
      <w:bookmarkEnd w:id="25"/>
      <w:bookmarkEnd w:id="26"/>
      <w:bookmarkEnd w:id="27"/>
    </w:p>
    <w:p>
      <w:pPr>
        <w:pStyle w:val="39"/>
        <w:spacing w:line="600" w:lineRule="exact"/>
        <w:ind w:firstLine="640"/>
        <w:rPr>
          <w:rFonts w:eastAsia="仿宋_GB2312"/>
        </w:rPr>
      </w:pPr>
      <w:r>
        <w:rPr>
          <w:rFonts w:hint="eastAsia" w:eastAsia="仿宋_GB2312" w:cs="仿宋_GB2312"/>
        </w:rPr>
        <w:t>加强防洪排涝工程建设。四个阶段中小河道治理任务全面完成，河道行洪能力大幅提升。实施完成</w:t>
      </w:r>
      <w:r>
        <w:rPr>
          <w:rFonts w:eastAsia="仿宋_GB2312"/>
        </w:rPr>
        <w:t>20</w:t>
      </w:r>
      <w:r>
        <w:rPr>
          <w:rFonts w:hint="eastAsia" w:eastAsia="仿宋_GB2312" w:cs="仿宋_GB2312"/>
        </w:rPr>
        <w:t>余项防汛消隐工程及</w:t>
      </w:r>
      <w:r>
        <w:rPr>
          <w:rFonts w:eastAsia="仿宋_GB2312"/>
        </w:rPr>
        <w:t>63</w:t>
      </w:r>
      <w:r>
        <w:rPr>
          <w:rFonts w:hint="eastAsia" w:eastAsia="仿宋_GB2312" w:cs="仿宋_GB2312"/>
        </w:rPr>
        <w:t>处水毁修复工程，全面消除安全隐患。开展“清管行动”，全区非公共管网雨水管涵干支线</w:t>
      </w:r>
      <w:r>
        <w:rPr>
          <w:rFonts w:eastAsia="仿宋_GB2312"/>
        </w:rPr>
        <w:t>261</w:t>
      </w:r>
      <w:r>
        <w:rPr>
          <w:rFonts w:hint="eastAsia" w:eastAsia="仿宋_GB2312" w:cs="仿宋_GB2312"/>
        </w:rPr>
        <w:t>公里、小区红线内雨水箅子</w:t>
      </w:r>
      <w:r>
        <w:rPr>
          <w:rFonts w:eastAsia="仿宋_GB2312"/>
        </w:rPr>
        <w:t>13132</w:t>
      </w:r>
      <w:r>
        <w:rPr>
          <w:rFonts w:hint="eastAsia" w:eastAsia="仿宋_GB2312" w:cs="仿宋_GB2312"/>
        </w:rPr>
        <w:t>处实现汛前</w:t>
      </w:r>
      <w:r>
        <w:rPr>
          <w:rFonts w:eastAsia="仿宋_GB2312"/>
        </w:rPr>
        <w:t>100%</w:t>
      </w:r>
      <w:r>
        <w:rPr>
          <w:rFonts w:hint="eastAsia" w:eastAsia="仿宋_GB2312" w:cs="仿宋_GB2312"/>
        </w:rPr>
        <w:t>清理清掏。</w:t>
      </w:r>
    </w:p>
    <w:p>
      <w:pPr>
        <w:pStyle w:val="39"/>
        <w:spacing w:line="600" w:lineRule="exact"/>
        <w:ind w:firstLine="616"/>
        <w:rPr>
          <w:rFonts w:eastAsia="仿宋_GB2312"/>
          <w:spacing w:val="-6"/>
        </w:rPr>
      </w:pPr>
      <w:r>
        <w:rPr>
          <w:rFonts w:hint="eastAsia" w:eastAsia="仿宋_GB2312" w:cs="仿宋_GB2312"/>
          <w:spacing w:val="-6"/>
        </w:rPr>
        <w:t>创新防洪排涝管理措施。雨水箅子平改立、雨水口双包、施划禁停标识等“朝阳防汛经验”在全市推广。累计落实</w:t>
      </w:r>
      <w:r>
        <w:rPr>
          <w:rFonts w:eastAsia="仿宋_GB2312"/>
          <w:spacing w:val="-6"/>
        </w:rPr>
        <w:t>1264</w:t>
      </w:r>
      <w:r>
        <w:rPr>
          <w:rFonts w:hint="eastAsia" w:eastAsia="仿宋_GB2312" w:cs="仿宋_GB2312"/>
          <w:spacing w:val="-6"/>
        </w:rPr>
        <w:t>条路段、</w:t>
      </w:r>
      <w:r>
        <w:rPr>
          <w:rFonts w:eastAsia="仿宋_GB2312"/>
          <w:spacing w:val="-6"/>
        </w:rPr>
        <w:t>34452</w:t>
      </w:r>
      <w:r>
        <w:rPr>
          <w:rFonts w:hint="eastAsia" w:eastAsia="仿宋_GB2312" w:cs="仿宋_GB2312"/>
          <w:spacing w:val="-6"/>
        </w:rPr>
        <w:t>个雨水口双包单位</w:t>
      </w:r>
      <w:r>
        <w:rPr>
          <w:rFonts w:eastAsia="仿宋_GB2312"/>
          <w:spacing w:val="-6"/>
        </w:rPr>
        <w:t>1353</w:t>
      </w:r>
      <w:r>
        <w:rPr>
          <w:rFonts w:hint="eastAsia" w:eastAsia="仿宋_GB2312" w:cs="仿宋_GB2312"/>
          <w:spacing w:val="-6"/>
        </w:rPr>
        <w:t>个，协调市排水集团实施雨水箅子平改立</w:t>
      </w:r>
      <w:r>
        <w:rPr>
          <w:rFonts w:eastAsia="仿宋_GB2312"/>
          <w:spacing w:val="-6"/>
        </w:rPr>
        <w:t>8000</w:t>
      </w:r>
      <w:r>
        <w:rPr>
          <w:rFonts w:hint="eastAsia" w:eastAsia="仿宋_GB2312" w:cs="仿宋_GB2312"/>
          <w:spacing w:val="-6"/>
        </w:rPr>
        <w:t>余座，在区内</w:t>
      </w:r>
      <w:r>
        <w:rPr>
          <w:rFonts w:eastAsia="仿宋_GB2312"/>
          <w:spacing w:val="-6"/>
        </w:rPr>
        <w:t>34</w:t>
      </w:r>
      <w:r>
        <w:rPr>
          <w:rFonts w:hint="eastAsia" w:eastAsia="仿宋_GB2312" w:cs="仿宋_GB2312"/>
          <w:spacing w:val="-6"/>
        </w:rPr>
        <w:t>条易积水道路施划禁停标识。</w:t>
      </w:r>
    </w:p>
    <w:p>
      <w:pPr>
        <w:pStyle w:val="39"/>
        <w:spacing w:line="600" w:lineRule="exact"/>
        <w:ind w:firstLine="640"/>
        <w:rPr>
          <w:rFonts w:eastAsia="仿宋_GB2312"/>
        </w:rPr>
      </w:pPr>
      <w:r>
        <w:rPr>
          <w:rFonts w:hint="eastAsia" w:eastAsia="仿宋_GB2312" w:cs="仿宋_GB2312"/>
        </w:rPr>
        <w:t>完善洪涝灾害防御体系。强化与应急部门“双岗”协同，完善防汛应急体系，建立“</w:t>
      </w:r>
      <w:r>
        <w:rPr>
          <w:rFonts w:eastAsia="仿宋_GB2312"/>
        </w:rPr>
        <w:t>2+1</w:t>
      </w:r>
      <w:r>
        <w:rPr>
          <w:rFonts w:hint="eastAsia" w:eastAsia="仿宋_GB2312" w:cs="仿宋_GB2312"/>
        </w:rPr>
        <w:t>”联合办公、应急抢险队伍联动、信息沟通协调、防汛网格化管理、雨水口门前双包等工作机制和“</w:t>
      </w:r>
      <w:r>
        <w:rPr>
          <w:rFonts w:eastAsia="仿宋_GB2312"/>
        </w:rPr>
        <w:t>1+8+4+43</w:t>
      </w:r>
      <w:r>
        <w:rPr>
          <w:rFonts w:hint="eastAsia" w:eastAsia="仿宋_GB2312" w:cs="仿宋_GB2312"/>
        </w:rPr>
        <w:t>”的防汛指挥体系、三级防汛应急管理体系等，修订完善</w:t>
      </w:r>
      <w:r>
        <w:rPr>
          <w:rFonts w:eastAsia="仿宋_GB2312"/>
        </w:rPr>
        <w:t>9</w:t>
      </w:r>
      <w:r>
        <w:rPr>
          <w:rFonts w:hint="eastAsia" w:eastAsia="仿宋_GB2312" w:cs="仿宋_GB2312"/>
        </w:rPr>
        <w:t>大项防汛预案。加强汛期堤防、闸坝和泵站等设施巡查维护，精细组织调度运行，圆满完成中心城区紧急分洪任务，全力保障中心城区度汛安全和全区河道行洪畅通。</w:t>
      </w:r>
    </w:p>
    <w:p>
      <w:pPr>
        <w:pStyle w:val="39"/>
        <w:spacing w:line="600" w:lineRule="exact"/>
        <w:ind w:firstLine="640"/>
        <w:rPr>
          <w:rFonts w:eastAsia="仿宋_GB2312"/>
        </w:rPr>
      </w:pPr>
      <w:r>
        <w:rPr>
          <w:rFonts w:hint="eastAsia" w:eastAsia="仿宋_GB2312" w:cs="仿宋_GB2312"/>
        </w:rPr>
        <w:t>大力推动海绵城市建设。编制完成《朝阳区海绵城市专项规划》和专项实施方案，在全市范围内率先建立海绵城市联席会议制度，统筹全区职能部门及街乡，协调推动建设海绵型园区、建筑小区、公园。积极推动市、区两级试点建设，完成温榆河公园示范区等重点项目的海绵化建设。</w:t>
      </w:r>
    </w:p>
    <w:p>
      <w:pPr>
        <w:pStyle w:val="62"/>
        <w:spacing w:beforeLines="0" w:line="600" w:lineRule="exact"/>
        <w:ind w:firstLine="608"/>
        <w:outlineLvl w:val="1"/>
        <w:rPr>
          <w:rFonts w:eastAsia="楷体_GB2312" w:cs="楷体_GB2312"/>
          <w:b w:val="0"/>
          <w:bCs w:val="0"/>
          <w:spacing w:val="-8"/>
        </w:rPr>
      </w:pPr>
      <w:bookmarkStart w:id="28" w:name="_Toc72328759"/>
      <w:bookmarkStart w:id="29" w:name="_Toc74301039"/>
      <w:bookmarkStart w:id="30" w:name="_Toc97729938"/>
      <w:r>
        <w:rPr>
          <w:rFonts w:hint="eastAsia" w:eastAsia="楷体_GB2312" w:cs="楷体_GB2312"/>
          <w:b w:val="0"/>
          <w:bCs w:val="0"/>
          <w:spacing w:val="-8"/>
        </w:rPr>
        <w:t>（六）三级河长制全面建立，推进各项工作取得实效</w:t>
      </w:r>
      <w:bookmarkEnd w:id="28"/>
      <w:bookmarkEnd w:id="29"/>
      <w:bookmarkEnd w:id="30"/>
    </w:p>
    <w:p>
      <w:pPr>
        <w:pStyle w:val="39"/>
        <w:spacing w:line="600" w:lineRule="exact"/>
        <w:ind w:firstLine="640"/>
        <w:rPr>
          <w:rFonts w:eastAsia="仿宋_GB2312"/>
        </w:rPr>
      </w:pPr>
      <w:r>
        <w:rPr>
          <w:rFonts w:hint="eastAsia" w:eastAsia="仿宋_GB2312" w:cs="仿宋_GB2312"/>
        </w:rPr>
        <w:t>全面建立河长制。出台《朝阳区进一步全面推进河长制工作方案》及河（湖）长职责、检查通报、约谈、考核等</w:t>
      </w:r>
      <w:r>
        <w:rPr>
          <w:rFonts w:eastAsia="仿宋_GB2312"/>
        </w:rPr>
        <w:t>11</w:t>
      </w:r>
      <w:r>
        <w:rPr>
          <w:rFonts w:hint="eastAsia" w:eastAsia="仿宋_GB2312" w:cs="仿宋_GB2312"/>
        </w:rPr>
        <w:t>项制度规定，完善建立区、乡（街道）、村（社区）三级河长组织体系，</w:t>
      </w:r>
      <w:r>
        <w:rPr>
          <w:rFonts w:eastAsia="仿宋_GB2312"/>
        </w:rPr>
        <w:t>43</w:t>
      </w:r>
      <w:r>
        <w:rPr>
          <w:rFonts w:hint="eastAsia" w:eastAsia="仿宋_GB2312" w:cs="仿宋_GB2312"/>
        </w:rPr>
        <w:t>个街乡实现河长制工作全覆盖。</w:t>
      </w:r>
    </w:p>
    <w:p>
      <w:pPr>
        <w:pStyle w:val="39"/>
        <w:spacing w:line="600" w:lineRule="exact"/>
        <w:ind w:firstLine="640"/>
        <w:rPr>
          <w:rFonts w:eastAsia="仿宋_GB2312"/>
        </w:rPr>
      </w:pPr>
      <w:r>
        <w:rPr>
          <w:rFonts w:hint="eastAsia" w:eastAsia="仿宋_GB2312" w:cs="仿宋_GB2312"/>
        </w:rPr>
        <w:t>河长制从有名到有实。建立完善监督、管理、考核机制，创新“检查发现</w:t>
      </w:r>
      <w:r>
        <w:rPr>
          <w:rFonts w:eastAsia="仿宋_GB2312" w:cs="仿宋_GB2312"/>
        </w:rPr>
        <w:t>-</w:t>
      </w:r>
      <w:r>
        <w:rPr>
          <w:rFonts w:hint="eastAsia" w:eastAsia="仿宋_GB2312" w:cs="仿宋_GB2312"/>
        </w:rPr>
        <w:t>督促整改</w:t>
      </w:r>
      <w:r>
        <w:rPr>
          <w:rFonts w:eastAsia="仿宋_GB2312" w:cs="仿宋_GB2312"/>
        </w:rPr>
        <w:t>-</w:t>
      </w:r>
      <w:r>
        <w:rPr>
          <w:rFonts w:hint="eastAsia" w:eastAsia="仿宋_GB2312" w:cs="仿宋_GB2312"/>
        </w:rPr>
        <w:t>反馈落实</w:t>
      </w:r>
      <w:r>
        <w:rPr>
          <w:rFonts w:eastAsia="仿宋_GB2312" w:cs="仿宋_GB2312"/>
        </w:rPr>
        <w:t>-</w:t>
      </w:r>
      <w:r>
        <w:rPr>
          <w:rFonts w:hint="eastAsia" w:eastAsia="仿宋_GB2312" w:cs="仿宋_GB2312"/>
        </w:rPr>
        <w:t>复核检查</w:t>
      </w:r>
      <w:r>
        <w:rPr>
          <w:rFonts w:eastAsia="仿宋_GB2312" w:cs="仿宋_GB2312"/>
        </w:rPr>
        <w:t>-</w:t>
      </w:r>
      <w:r>
        <w:rPr>
          <w:rFonts w:hint="eastAsia" w:eastAsia="仿宋_GB2312" w:cs="仿宋_GB2312"/>
        </w:rPr>
        <w:t>销号归档”闭环工作机制，实行“月考核、月排名、月通报”。建成朝阳区河长制综合管理平台和“朝阳河长通”微信小程序，实现日常巡河、事件处置等大数据分析和动态监管。各街乡、各部门统筹联动，梳理“一河一策”问题台账，积极开展“清河行动”“清四乱”等专项整治工作。坝河、北小河等</w:t>
      </w:r>
      <w:r>
        <w:rPr>
          <w:rFonts w:eastAsia="仿宋_GB2312"/>
        </w:rPr>
        <w:t>8条河湖被评为北京市优美河湖。</w:t>
      </w:r>
    </w:p>
    <w:p>
      <w:pPr>
        <w:pStyle w:val="39"/>
        <w:spacing w:line="600" w:lineRule="exact"/>
        <w:ind w:firstLine="640"/>
        <w:rPr>
          <w:rFonts w:eastAsia="仿宋_GB2312"/>
        </w:rPr>
      </w:pPr>
      <w:r>
        <w:rPr>
          <w:rFonts w:hint="eastAsia" w:eastAsia="仿宋_GB2312" w:cs="仿宋_GB2312"/>
        </w:rPr>
        <w:t>深入打造朝阳河长品牌。每年招募千名“朝阳群众小河长”，带动青少年及青年家庭参与河湖日常管护工作</w:t>
      </w:r>
      <w:r>
        <w:rPr>
          <w:rFonts w:eastAsia="仿宋_GB2312"/>
        </w:rPr>
        <w:t>，活动累计覆盖近5000人次</w:t>
      </w:r>
      <w:r>
        <w:rPr>
          <w:rFonts w:hint="eastAsia" w:eastAsia="仿宋_GB2312" w:cs="仿宋_GB2312"/>
        </w:rPr>
        <w:t>。“朝阳群众小河长”社会服务项目荣获</w:t>
      </w:r>
      <w:r>
        <w:rPr>
          <w:rFonts w:eastAsia="仿宋_GB2312"/>
        </w:rPr>
        <w:t>2018</w:t>
      </w:r>
      <w:r>
        <w:rPr>
          <w:rFonts w:hint="eastAsia" w:eastAsia="仿宋_GB2312"/>
        </w:rPr>
        <w:t>年</w:t>
      </w:r>
      <w:r>
        <w:rPr>
          <w:rFonts w:hint="eastAsia" w:eastAsia="仿宋_GB2312" w:cs="仿宋_GB2312"/>
        </w:rPr>
        <w:t>中国青年志愿服务项目大赛银奖，</w:t>
      </w:r>
      <w:r>
        <w:rPr>
          <w:rFonts w:eastAsia="仿宋_GB2312"/>
        </w:rPr>
        <w:t>2019</w:t>
      </w:r>
      <w:r>
        <w:rPr>
          <w:rFonts w:hint="eastAsia" w:eastAsia="仿宋_GB2312" w:cs="仿宋_GB2312"/>
        </w:rPr>
        <w:t>年第九届“母亲河奖”优秀组织奖</w:t>
      </w:r>
      <w:r>
        <w:rPr>
          <w:rFonts w:eastAsia="仿宋_GB2312"/>
        </w:rPr>
        <w:t>，成为全国青年志愿服务优秀项目库第一批入库项目</w:t>
      </w:r>
      <w:r>
        <w:rPr>
          <w:rFonts w:hint="eastAsia" w:eastAsia="仿宋_GB2312" w:cs="仿宋_GB2312"/>
        </w:rPr>
        <w:t>。</w:t>
      </w:r>
    </w:p>
    <w:p>
      <w:pPr>
        <w:pStyle w:val="62"/>
        <w:spacing w:beforeLines="0" w:line="600" w:lineRule="exact"/>
        <w:ind w:firstLine="608"/>
        <w:outlineLvl w:val="1"/>
        <w:rPr>
          <w:rFonts w:eastAsia="楷体_GB2312" w:cs="楷体_GB2312"/>
          <w:b w:val="0"/>
          <w:bCs w:val="0"/>
          <w:spacing w:val="-8"/>
        </w:rPr>
      </w:pPr>
      <w:bookmarkStart w:id="31" w:name="_Toc74301040"/>
      <w:bookmarkStart w:id="32" w:name="_Toc97729939"/>
      <w:bookmarkStart w:id="33" w:name="_Toc72328760"/>
      <w:r>
        <w:rPr>
          <w:rFonts w:hint="eastAsia" w:eastAsia="楷体_GB2312" w:cs="楷体_GB2312"/>
          <w:b w:val="0"/>
          <w:bCs w:val="0"/>
          <w:spacing w:val="-8"/>
        </w:rPr>
        <w:t>（七）水务治理体系趋于完善，水行政管理能力不断提升</w:t>
      </w:r>
      <w:bookmarkEnd w:id="31"/>
      <w:bookmarkEnd w:id="32"/>
      <w:bookmarkEnd w:id="33"/>
    </w:p>
    <w:p>
      <w:pPr>
        <w:pStyle w:val="39"/>
        <w:spacing w:line="600" w:lineRule="exact"/>
        <w:ind w:firstLine="640"/>
        <w:rPr>
          <w:rFonts w:eastAsia="仿宋_GB2312"/>
        </w:rPr>
      </w:pPr>
      <w:r>
        <w:rPr>
          <w:rFonts w:hint="eastAsia" w:eastAsia="仿宋_GB2312" w:cs="仿宋_GB2312"/>
        </w:rPr>
        <w:t>依法治水取得重大进展。落实“制度治水、制度管水”，逐步完善水务管理制度体系。水政执法保持高压态势，行政处罚案件数、人均处罚数和罚款数额均居全市第一。</w:t>
      </w:r>
    </w:p>
    <w:p>
      <w:pPr>
        <w:pStyle w:val="39"/>
        <w:spacing w:line="600" w:lineRule="exact"/>
        <w:ind w:firstLine="640"/>
        <w:rPr>
          <w:rFonts w:eastAsia="仿宋_GB2312"/>
        </w:rPr>
      </w:pPr>
      <w:r>
        <w:rPr>
          <w:rFonts w:hint="eastAsia" w:eastAsia="仿宋_GB2312" w:cs="仿宋_GB2312"/>
        </w:rPr>
        <w:t>强化部门联动综合治理。成立水环境污染综合治理办公室，统筹协调各部门通过工程、管理等手段，多措并举，全力推进区域水环境治理工作。创新河道管理模式，先行先试河道“物业化”管理。</w:t>
      </w:r>
    </w:p>
    <w:p>
      <w:pPr>
        <w:pStyle w:val="39"/>
        <w:spacing w:line="600" w:lineRule="exact"/>
        <w:ind w:firstLine="632"/>
        <w:rPr>
          <w:rFonts w:eastAsia="仿宋_GB2312" w:cs="仿宋_GB2312"/>
          <w:spacing w:val="-2"/>
        </w:rPr>
      </w:pPr>
      <w:r>
        <w:rPr>
          <w:rFonts w:hint="eastAsia" w:eastAsia="仿宋_GB2312" w:cs="仿宋_GB2312"/>
          <w:spacing w:val="-2"/>
        </w:rPr>
        <w:t>加快推进“智慧水务”建设。启动“智能化调度”暨朝阳区智慧水务</w:t>
      </w:r>
      <w:r>
        <w:rPr>
          <w:rFonts w:eastAsia="仿宋_GB2312"/>
          <w:spacing w:val="-2"/>
        </w:rPr>
        <w:t>1.0</w:t>
      </w:r>
      <w:r>
        <w:rPr>
          <w:rFonts w:hint="eastAsia" w:eastAsia="仿宋_GB2312" w:cs="仿宋_GB2312"/>
          <w:spacing w:val="-2"/>
        </w:rPr>
        <w:t>建设。完成高清积水点摄像头安装、河道监控摄像头维护和防汛信息化运维，实施防汛重点部位视频监控、小型污水处理站在线监测系统和道路积水点自动监测等建设工作。</w:t>
      </w:r>
    </w:p>
    <w:p>
      <w:pPr>
        <w:pStyle w:val="61"/>
        <w:pageBreakBefore/>
        <w:spacing w:beforeLines="0" w:afterLines="0" w:line="600" w:lineRule="exact"/>
        <w:ind w:firstLine="640" w:firstLineChars="200"/>
        <w:rPr>
          <w:rFonts w:ascii="Times New Roman" w:hAnsi="Times New Roman" w:cs="Times New Roman"/>
          <w:color w:val="000000"/>
          <w:sz w:val="32"/>
          <w:szCs w:val="32"/>
        </w:rPr>
      </w:pPr>
      <w:bookmarkStart w:id="34" w:name="_Toc97729940"/>
      <w:r>
        <w:rPr>
          <w:rFonts w:hint="eastAsia" w:ascii="Times New Roman" w:hAnsi="Times New Roman" w:cs="黑体"/>
          <w:color w:val="000000"/>
          <w:sz w:val="32"/>
          <w:szCs w:val="32"/>
        </w:rPr>
        <w:t>二、</w:t>
      </w:r>
      <w:bookmarkEnd w:id="11"/>
      <w:bookmarkEnd w:id="12"/>
      <w:r>
        <w:rPr>
          <w:rFonts w:hint="eastAsia" w:ascii="Times New Roman" w:hAnsi="Times New Roman" w:cs="黑体"/>
          <w:color w:val="000000"/>
          <w:sz w:val="32"/>
          <w:szCs w:val="32"/>
        </w:rPr>
        <w:t>“十四五”水务发展面临的形势与挑战</w:t>
      </w:r>
      <w:bookmarkEnd w:id="34"/>
    </w:p>
    <w:p>
      <w:pPr>
        <w:pStyle w:val="62"/>
        <w:spacing w:beforeLines="0" w:line="600" w:lineRule="exact"/>
        <w:ind w:firstLine="640"/>
        <w:outlineLvl w:val="1"/>
        <w:rPr>
          <w:rFonts w:eastAsia="楷体_GB2312" w:cs="楷体_GB2312"/>
          <w:b w:val="0"/>
          <w:bCs w:val="0"/>
        </w:rPr>
      </w:pPr>
      <w:bookmarkStart w:id="35" w:name="_Toc73451073"/>
      <w:bookmarkStart w:id="36" w:name="_Toc97729941"/>
      <w:bookmarkStart w:id="37" w:name="OLE_LINK3"/>
      <w:r>
        <w:rPr>
          <w:rFonts w:hint="eastAsia" w:eastAsia="楷体_GB2312" w:cs="楷体_GB2312"/>
          <w:b w:val="0"/>
          <w:bCs w:val="0"/>
        </w:rPr>
        <w:t>（一）面临的形势</w:t>
      </w:r>
      <w:bookmarkEnd w:id="35"/>
      <w:bookmarkEnd w:id="36"/>
    </w:p>
    <w:p>
      <w:pPr>
        <w:pStyle w:val="39"/>
        <w:spacing w:line="600" w:lineRule="exact"/>
        <w:ind w:firstLine="640"/>
        <w:rPr>
          <w:rFonts w:eastAsia="仿宋_GB2312"/>
        </w:rPr>
      </w:pPr>
      <w:r>
        <w:rPr>
          <w:rFonts w:hint="eastAsia" w:eastAsia="仿宋_GB2312" w:cs="仿宋_GB2312"/>
        </w:rPr>
        <w:t>“十四五”时期是我国全面建成小康社会、实现第一个百年奋斗目标之后，开启全面建设社会主义现代化国家新征程、向第二个百年奋斗目标进军的第一个五年，是北京落实首都城市战略定位、建设国际一流的和谐宜居之都的关键时期，也是朝阳承上启下建设具有广泛国际影响力和竞争力的和谐宜居国际化城区的重要时期。首都发展一系列重大战略部署落地朝阳，为朝阳水务发展带来新契机，也对水务工作提出了更高要求。</w:t>
      </w:r>
    </w:p>
    <w:p>
      <w:pPr>
        <w:pStyle w:val="62"/>
        <w:spacing w:beforeLines="0" w:line="600" w:lineRule="exact"/>
        <w:ind w:firstLine="643"/>
        <w:rPr>
          <w:rFonts w:eastAsia="仿宋_GB2312"/>
          <w:color w:val="000000"/>
        </w:rPr>
      </w:pPr>
      <w:r>
        <w:rPr>
          <w:rFonts w:eastAsia="仿宋_GB2312"/>
          <w:color w:val="000000"/>
        </w:rPr>
        <w:t>1</w:t>
      </w:r>
      <w:r>
        <w:rPr>
          <w:rFonts w:hint="eastAsia" w:eastAsia="仿宋_GB2312" w:cs="仿宋_GB2312"/>
          <w:color w:val="000000"/>
        </w:rPr>
        <w:t>．把握水务高质量发展新形势新机遇新要求</w:t>
      </w:r>
    </w:p>
    <w:p>
      <w:pPr>
        <w:pStyle w:val="39"/>
        <w:spacing w:line="600" w:lineRule="exact"/>
        <w:ind w:firstLine="640"/>
        <w:rPr>
          <w:rFonts w:eastAsia="仿宋_GB2312"/>
        </w:rPr>
      </w:pPr>
      <w:r>
        <w:rPr>
          <w:rFonts w:hint="eastAsia" w:eastAsia="仿宋_GB2312" w:cs="仿宋_GB2312"/>
        </w:rPr>
        <w:t>党的十九大</w:t>
      </w:r>
      <w:r>
        <w:rPr>
          <w:rFonts w:hint="eastAsia" w:eastAsia="仿宋_GB2312" w:cs="仿宋_GB2312"/>
          <w:lang w:val="en-US"/>
        </w:rPr>
        <w:t>提出了将“</w:t>
      </w:r>
      <w:r>
        <w:rPr>
          <w:rFonts w:hint="eastAsia" w:eastAsia="仿宋_GB2312" w:cs="仿宋_GB2312"/>
        </w:rPr>
        <w:t>坚持人与自然和谐共生</w:t>
      </w:r>
      <w:r>
        <w:rPr>
          <w:rFonts w:hint="eastAsia" w:eastAsia="仿宋_GB2312" w:cs="仿宋_GB2312"/>
          <w:lang w:val="en-US"/>
        </w:rPr>
        <w:t>”作为</w:t>
      </w:r>
      <w:r>
        <w:rPr>
          <w:rFonts w:hint="eastAsia" w:eastAsia="仿宋_GB2312" w:cs="仿宋_GB2312"/>
        </w:rPr>
        <w:t>新时代坚持和发展中国特色社会主义的基本方略</w:t>
      </w:r>
      <w:r>
        <w:rPr>
          <w:rFonts w:hint="eastAsia" w:eastAsia="仿宋_GB2312" w:cs="仿宋_GB2312"/>
          <w:lang w:val="en-US"/>
        </w:rPr>
        <w:t>之一</w:t>
      </w:r>
      <w:r>
        <w:rPr>
          <w:rFonts w:hint="eastAsia" w:eastAsia="仿宋_GB2312" w:cs="仿宋_GB2312"/>
        </w:rPr>
        <w:t>，十九届五中全会明确</w:t>
      </w:r>
      <w:r>
        <w:rPr>
          <w:rFonts w:hint="eastAsia" w:eastAsia="仿宋_GB2312" w:cs="仿宋_GB2312"/>
          <w:lang w:val="en-US"/>
        </w:rPr>
        <w:t>把</w:t>
      </w:r>
      <w:r>
        <w:rPr>
          <w:rFonts w:hint="eastAsia" w:eastAsia="仿宋_GB2312" w:cs="仿宋_GB2312"/>
        </w:rPr>
        <w:t>水资源作为最大的刚性约束制度，水利部对全面提升水旱灾害防御能力、水资源集约节约利用能力、水资源优化配置能力、大江大河大湖生态保护治理能力等提出明确要求。</w:t>
      </w:r>
    </w:p>
    <w:p>
      <w:pPr>
        <w:pStyle w:val="39"/>
        <w:spacing w:line="600" w:lineRule="exact"/>
        <w:ind w:firstLine="640"/>
        <w:rPr>
          <w:rFonts w:eastAsia="仿宋_GB2312"/>
        </w:rPr>
      </w:pPr>
      <w:r>
        <w:rPr>
          <w:rFonts w:hint="eastAsia" w:eastAsia="仿宋_GB2312" w:cs="仿宋_GB2312"/>
        </w:rPr>
        <w:t>北京市水务工作深入贯彻落实习近平总书记治水管水重要</w:t>
      </w:r>
      <w:r>
        <w:rPr>
          <w:rFonts w:hint="eastAsia" w:eastAsia="仿宋_GB2312" w:cs="仿宋_GB2312"/>
          <w:lang w:val="en-US"/>
        </w:rPr>
        <w:t>指示</w:t>
      </w:r>
      <w:r>
        <w:rPr>
          <w:rFonts w:hint="eastAsia" w:eastAsia="仿宋_GB2312" w:cs="仿宋_GB2312"/>
        </w:rPr>
        <w:t>精神，确立了“安全、洁净、生态、优美、为民”五大发展目标，为新时代北京水务发展明确了工作重点、指明了前进方向，为朝阳水务高质量发展提供了根本遵循。</w:t>
      </w:r>
    </w:p>
    <w:p>
      <w:pPr>
        <w:pStyle w:val="62"/>
        <w:spacing w:beforeLines="0" w:line="600" w:lineRule="exact"/>
        <w:ind w:firstLine="643"/>
        <w:rPr>
          <w:rFonts w:eastAsia="仿宋_GB2312"/>
        </w:rPr>
      </w:pPr>
      <w:r>
        <w:rPr>
          <w:rFonts w:eastAsia="仿宋_GB2312"/>
        </w:rPr>
        <w:t>2</w:t>
      </w:r>
      <w:r>
        <w:rPr>
          <w:rFonts w:hint="eastAsia" w:eastAsia="仿宋_GB2312" w:cs="仿宋_GB2312"/>
        </w:rPr>
        <w:t>．把握大运河文化带建设新精神新使命新目标</w:t>
      </w:r>
    </w:p>
    <w:p>
      <w:pPr>
        <w:pStyle w:val="39"/>
        <w:spacing w:line="600" w:lineRule="exact"/>
        <w:ind w:firstLine="640"/>
        <w:rPr>
          <w:rFonts w:eastAsia="仿宋_GB2312"/>
        </w:rPr>
      </w:pPr>
      <w:r>
        <w:rPr>
          <w:rFonts w:hint="eastAsia" w:eastAsia="仿宋_GB2312" w:cs="仿宋_GB2312"/>
        </w:rPr>
        <w:t>为落实习</w:t>
      </w:r>
      <w:r>
        <w:rPr>
          <w:rFonts w:hint="eastAsia" w:eastAsia="仿宋_GB2312" w:cs="仿宋_GB2312"/>
          <w:lang w:val="en-US"/>
        </w:rPr>
        <w:t>近平</w:t>
      </w:r>
      <w:r>
        <w:rPr>
          <w:rFonts w:hint="eastAsia" w:eastAsia="仿宋_GB2312" w:cs="仿宋_GB2312"/>
        </w:rPr>
        <w:t>总书记“大运河是祖先留给我们的宝贵遗产，是流动的文化，要统筹保护好、传承好、利用好”</w:t>
      </w:r>
      <w:r>
        <w:rPr>
          <w:rFonts w:hint="eastAsia" w:eastAsia="仿宋_GB2312" w:cs="仿宋_GB2312"/>
          <w:lang w:val="en-US"/>
        </w:rPr>
        <w:t>和</w:t>
      </w:r>
      <w:r>
        <w:rPr>
          <w:rFonts w:hint="eastAsia" w:eastAsia="仿宋_GB2312" w:cs="仿宋_GB2312"/>
        </w:rPr>
        <w:t>“保护大运河是运河沿线所有地区的共同责任，北京要积极发挥示范作用”等指示精神，实现《北京市大运河文化保护传承利用实施规划》和《北京市大运河文化保护传承利用五年行动计划（</w:t>
      </w:r>
      <w:r>
        <w:rPr>
          <w:rFonts w:eastAsia="仿宋_GB2312"/>
        </w:rPr>
        <w:t>2018</w:t>
      </w:r>
      <w:r>
        <w:rPr>
          <w:rFonts w:hint="eastAsia" w:eastAsia="仿宋_GB2312" w:cs="仿宋_GB2312"/>
        </w:rPr>
        <w:t>年</w:t>
      </w:r>
      <w:r>
        <w:rPr>
          <w:rFonts w:hint="eastAsia" w:eastAsia="仿宋_GB2312"/>
        </w:rPr>
        <w:t>—</w:t>
      </w:r>
      <w:r>
        <w:rPr>
          <w:rFonts w:eastAsia="仿宋_GB2312"/>
        </w:rPr>
        <w:t>2022</w:t>
      </w:r>
      <w:r>
        <w:rPr>
          <w:rFonts w:hint="eastAsia" w:eastAsia="仿宋_GB2312" w:cs="仿宋_GB2312"/>
        </w:rPr>
        <w:t>年）》中“塑造运河生态景观，建设美丽运河”的任务目标，朝阳区将持续打造水清岸绿、河畅湖美的美丽家园，让“蓝绿交织，水城共融”的理念在朝阳落地生根，建立绿色可持续的良性生态系统，实现人与自然和谐发展。</w:t>
      </w:r>
    </w:p>
    <w:p>
      <w:pPr>
        <w:pStyle w:val="62"/>
        <w:spacing w:beforeLines="0" w:line="600" w:lineRule="exact"/>
        <w:ind w:firstLine="643"/>
        <w:rPr>
          <w:rFonts w:eastAsia="仿宋_GB2312"/>
        </w:rPr>
      </w:pPr>
      <w:r>
        <w:rPr>
          <w:rFonts w:eastAsia="仿宋_GB2312"/>
        </w:rPr>
        <w:t>3</w:t>
      </w:r>
      <w:r>
        <w:rPr>
          <w:rFonts w:hint="eastAsia" w:eastAsia="仿宋_GB2312" w:cs="仿宋_GB2312"/>
        </w:rPr>
        <w:t>．把握上位规划新理念新方向新任务</w:t>
      </w:r>
    </w:p>
    <w:p>
      <w:pPr>
        <w:pStyle w:val="39"/>
        <w:spacing w:line="600" w:lineRule="exact"/>
        <w:ind w:firstLine="640"/>
        <w:rPr>
          <w:rFonts w:eastAsia="仿宋_GB2312"/>
        </w:rPr>
      </w:pPr>
      <w:r>
        <w:rPr>
          <w:rFonts w:hint="eastAsia" w:eastAsia="仿宋_GB2312" w:cs="仿宋_GB2312"/>
        </w:rPr>
        <w:t>北京一系列新要求、新任务部署，为朝阳可持续发展提供了新路径。城市总规赋予了朝阳新的功能定位，市委市政府明确了朝阳“文化、国际化、大尺度绿化”的主攻方向，第四使馆区建设、</w:t>
      </w:r>
      <w:r>
        <w:rPr>
          <w:rFonts w:eastAsia="仿宋_GB2312"/>
        </w:rPr>
        <w:t>2022</w:t>
      </w:r>
      <w:r>
        <w:rPr>
          <w:rFonts w:hint="eastAsia" w:eastAsia="仿宋_GB2312" w:cs="仿宋_GB2312"/>
        </w:rPr>
        <w:t>年冬奥会举办、温榆河公园建设、重大交通枢纽布局等重大任务，为城市建设发展带来了新的动力。</w:t>
      </w:r>
    </w:p>
    <w:p>
      <w:pPr>
        <w:pStyle w:val="39"/>
        <w:spacing w:line="600" w:lineRule="exact"/>
        <w:ind w:firstLine="640"/>
        <w:rPr>
          <w:rFonts w:eastAsia="仿宋_GB2312"/>
        </w:rPr>
      </w:pPr>
      <w:r>
        <w:rPr>
          <w:rFonts w:hint="eastAsia" w:eastAsia="仿宋_GB2312" w:cs="仿宋_GB2312"/>
        </w:rPr>
        <w:t>朝阳区将加快转变治水思路和方式，强化服务城市综合发展新理念，坚持集中整治和生态修复并重、源头治污与常态管护并举、政府引导和社会共建并进，加快推进防洪排涝工程建设，进一步提升</w:t>
      </w:r>
      <w:r>
        <w:rPr>
          <w:rFonts w:eastAsia="仿宋_GB2312"/>
        </w:rPr>
        <w:t>CBD</w:t>
      </w:r>
      <w:r>
        <w:rPr>
          <w:rFonts w:hint="eastAsia" w:eastAsia="仿宋_GB2312" w:cs="仿宋_GB2312"/>
        </w:rPr>
        <w:t>、北京朝阳站等重点区域排涝能力，减轻</w:t>
      </w:r>
      <w:r>
        <w:rPr>
          <w:rFonts w:hint="eastAsia" w:eastAsia="仿宋_GB2312" w:cs="仿宋_GB2312"/>
          <w:lang w:val="en-US"/>
        </w:rPr>
        <w:t>北京</w:t>
      </w:r>
      <w:r>
        <w:rPr>
          <w:rFonts w:hint="eastAsia" w:eastAsia="仿宋_GB2312" w:cs="仿宋_GB2312"/>
        </w:rPr>
        <w:t>城市副中心防洪压力；加快实施溯源治污、推进河湖水系连通及廊道建设，提升第四使馆区、金盏国际合作服务区等重点区域生态环境；深入落实“以水四定”，服务区域高质量发展，推动建设城市治理体系与治理能力现代化的新朝阳。</w:t>
      </w:r>
    </w:p>
    <w:p>
      <w:pPr>
        <w:pStyle w:val="62"/>
        <w:spacing w:beforeLines="0" w:line="600" w:lineRule="exact"/>
        <w:ind w:firstLine="640"/>
        <w:outlineLvl w:val="1"/>
        <w:rPr>
          <w:rFonts w:eastAsia="楷体_GB2312" w:cs="楷体_GB2312"/>
          <w:b w:val="0"/>
          <w:bCs w:val="0"/>
        </w:rPr>
      </w:pPr>
      <w:bookmarkStart w:id="38" w:name="_Toc49608156"/>
      <w:bookmarkStart w:id="39" w:name="_Toc97729942"/>
      <w:bookmarkStart w:id="40" w:name="_Toc72328766"/>
      <w:r>
        <w:rPr>
          <w:rFonts w:hint="eastAsia" w:eastAsia="楷体_GB2312" w:cs="楷体_GB2312"/>
          <w:b w:val="0"/>
          <w:bCs w:val="0"/>
        </w:rPr>
        <w:t>（二）面临的挑战</w:t>
      </w:r>
      <w:bookmarkEnd w:id="38"/>
      <w:bookmarkEnd w:id="39"/>
      <w:bookmarkEnd w:id="40"/>
    </w:p>
    <w:p>
      <w:pPr>
        <w:pStyle w:val="65"/>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仿宋_GB2312"/>
        </w:rPr>
        <w:t>当前和今后一段时期，是朝阳区落实首都城市战略定位、建设</w:t>
      </w:r>
      <w:r>
        <w:rPr>
          <w:rFonts w:hint="eastAsia" w:eastAsia="仿宋_GB2312" w:cs="仿宋_GB2312"/>
        </w:rPr>
        <w:t>具有国际影响力和竞争力的和谐宜居国际化城区</w:t>
      </w:r>
      <w:r>
        <w:rPr>
          <w:rFonts w:hint="eastAsia" w:ascii="Times New Roman" w:hAnsi="Times New Roman" w:eastAsia="仿宋_GB2312" w:cs="仿宋_GB2312"/>
        </w:rPr>
        <w:t>的关键时期。随着治水主要矛盾、水务改革发展形势和任务的变化，结合当前全区水务发展现状，朝阳区水务工作还存在如下问题</w:t>
      </w:r>
      <w:r>
        <w:rPr>
          <w:rFonts w:hint="eastAsia" w:ascii="Times New Roman" w:hAnsi="Times New Roman" w:eastAsia="仿宋_GB2312" w:cs="Times New Roman"/>
        </w:rPr>
        <w:t>：</w:t>
      </w:r>
    </w:p>
    <w:p>
      <w:pPr>
        <w:pStyle w:val="62"/>
        <w:spacing w:beforeLines="0" w:line="600" w:lineRule="exact"/>
        <w:ind w:firstLine="643"/>
        <w:rPr>
          <w:rFonts w:eastAsia="仿宋_GB2312"/>
          <w:b w:val="0"/>
          <w:bCs w:val="0"/>
        </w:rPr>
      </w:pPr>
      <w:r>
        <w:rPr>
          <w:rFonts w:eastAsia="仿宋_GB2312"/>
        </w:rPr>
        <w:t>1</w:t>
      </w:r>
      <w:r>
        <w:rPr>
          <w:rFonts w:hint="eastAsia" w:eastAsia="仿宋_GB2312" w:cs="仿宋_GB2312"/>
        </w:rPr>
        <w:t>．新形势下水务工作要全面提标</w:t>
      </w:r>
    </w:p>
    <w:p>
      <w:pPr>
        <w:pStyle w:val="65"/>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仿宋_GB2312"/>
        </w:rPr>
        <w:t>立足新发展阶段对水务工作提出新的需求，治水主要矛盾变化，水务工作需要全面提升标准，要在持久水安全、优质水资源、健康水生态、宜居水环境、先进水文化等五个方面提高标准，实现升级。水务工作要及时调整治水思路，从水务工程建设精细化和水务管理精细化上要效益，建立完善的水务监管制度体系，实现高标准、精细化的水务管理将成为今后水务工作重点。</w:t>
      </w:r>
    </w:p>
    <w:p>
      <w:pPr>
        <w:pStyle w:val="62"/>
        <w:spacing w:beforeLines="0" w:line="600" w:lineRule="exact"/>
        <w:ind w:firstLine="643"/>
        <w:rPr>
          <w:rFonts w:eastAsia="仿宋_GB2312" w:cs="仿宋_GB2312"/>
        </w:rPr>
      </w:pPr>
      <w:r>
        <w:rPr>
          <w:rFonts w:eastAsia="仿宋_GB2312"/>
        </w:rPr>
        <w:t>2</w:t>
      </w:r>
      <w:r>
        <w:rPr>
          <w:rFonts w:hint="eastAsia" w:eastAsia="仿宋_GB2312" w:cs="仿宋_GB2312"/>
        </w:rPr>
        <w:t>．</w:t>
      </w:r>
      <w:bookmarkEnd w:id="37"/>
      <w:bookmarkStart w:id="41" w:name="_Toc72328769"/>
      <w:r>
        <w:rPr>
          <w:rFonts w:hint="eastAsia" w:eastAsia="仿宋_GB2312" w:cs="仿宋_GB2312"/>
        </w:rPr>
        <w:t>水务工作与人民对美好生活的期待尚有差距</w:t>
      </w:r>
      <w:bookmarkEnd w:id="41"/>
    </w:p>
    <w:p>
      <w:pPr>
        <w:pStyle w:val="65"/>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仿宋_GB2312"/>
        </w:rPr>
        <w:t>人民对美好生活的向往已呈现出多样化、多层次、多方面的特点，喝上放心水、身边有优美的河湖环境可供休闲娱乐、下雨时道路不积水不淹车、涉水行政服务便捷等人民关心的问题还需进一步解决完善。保障饮水安全是守底线的工作，需持续高压监管；萧太后河、亮马河治理树立了生态治河的标杆，但离人们出门即有优美水环境的愿望仍有差距；营商环境需持续优化，要实现“解民忧、纾民困、兴水惠民”，不断增强人民的获得感、幸福感、安全感。</w:t>
      </w:r>
      <w:bookmarkStart w:id="42" w:name="_Toc49608161"/>
      <w:bookmarkStart w:id="43" w:name="_Toc42172325"/>
    </w:p>
    <w:p>
      <w:pPr>
        <w:pStyle w:val="61"/>
        <w:spacing w:beforeLines="0" w:afterLines="0" w:line="600" w:lineRule="exact"/>
        <w:ind w:firstLine="640" w:firstLineChars="200"/>
        <w:rPr>
          <w:rFonts w:ascii="Times New Roman" w:hAnsi="Times New Roman" w:cs="Times New Roman"/>
          <w:color w:val="000000"/>
          <w:sz w:val="32"/>
          <w:szCs w:val="32"/>
        </w:rPr>
      </w:pPr>
      <w:bookmarkStart w:id="44" w:name="_Toc97729943"/>
      <w:r>
        <w:rPr>
          <w:rFonts w:hint="eastAsia" w:ascii="Times New Roman" w:hAnsi="Times New Roman" w:cs="黑体"/>
          <w:color w:val="000000"/>
          <w:sz w:val="32"/>
          <w:szCs w:val="32"/>
        </w:rPr>
        <w:t>三、规划</w:t>
      </w:r>
      <w:bookmarkEnd w:id="42"/>
      <w:bookmarkEnd w:id="43"/>
      <w:r>
        <w:rPr>
          <w:rFonts w:hint="eastAsia" w:ascii="Times New Roman" w:hAnsi="Times New Roman" w:cs="黑体"/>
          <w:color w:val="000000"/>
          <w:sz w:val="32"/>
          <w:szCs w:val="32"/>
        </w:rPr>
        <w:t>指导思想及目标</w:t>
      </w:r>
      <w:bookmarkEnd w:id="44"/>
    </w:p>
    <w:p>
      <w:pPr>
        <w:pStyle w:val="62"/>
        <w:spacing w:beforeLines="0" w:line="600" w:lineRule="exact"/>
        <w:ind w:firstLine="640"/>
        <w:outlineLvl w:val="1"/>
        <w:rPr>
          <w:rFonts w:eastAsia="楷体_GB2312" w:cs="楷体_GB2312"/>
          <w:b w:val="0"/>
          <w:bCs w:val="0"/>
        </w:rPr>
      </w:pPr>
      <w:bookmarkStart w:id="45" w:name="_Toc42172326"/>
      <w:bookmarkStart w:id="46" w:name="_Toc97729944"/>
      <w:bookmarkStart w:id="47" w:name="_Toc49608162"/>
      <w:r>
        <w:rPr>
          <w:rFonts w:hint="eastAsia" w:eastAsia="楷体_GB2312" w:cs="楷体_GB2312"/>
          <w:b w:val="0"/>
          <w:bCs w:val="0"/>
        </w:rPr>
        <w:t>（一）指导思想</w:t>
      </w:r>
      <w:bookmarkEnd w:id="45"/>
      <w:bookmarkEnd w:id="46"/>
      <w:bookmarkEnd w:id="47"/>
    </w:p>
    <w:p>
      <w:pPr>
        <w:pStyle w:val="39"/>
        <w:spacing w:line="600" w:lineRule="exact"/>
        <w:ind w:firstLine="640"/>
        <w:rPr>
          <w:rFonts w:eastAsia="仿宋_GB2312"/>
        </w:rPr>
      </w:pPr>
      <w:bookmarkStart w:id="48" w:name="_Toc49608163"/>
      <w:bookmarkStart w:id="49" w:name="_Toc42172327"/>
      <w:r>
        <w:rPr>
          <w:rFonts w:hint="eastAsia" w:eastAsia="仿宋_GB2312" w:cs="仿宋_GB2312"/>
          <w:lang w:val="en-US"/>
        </w:rPr>
        <w:t>坚持</w:t>
      </w:r>
      <w:r>
        <w:rPr>
          <w:rFonts w:hint="eastAsia" w:eastAsia="仿宋_GB2312" w:cs="仿宋_GB2312"/>
        </w:rPr>
        <w:t>以习近平新时代中国特色社会主义思想为指导，全面贯彻落实党的十九大和十九届二中、三中、四中、五中、</w:t>
      </w:r>
      <w:r>
        <w:rPr>
          <w:rFonts w:hint="eastAsia" w:eastAsia="仿宋_GB2312" w:cs="仿宋_GB2312"/>
          <w:lang w:val="en-US"/>
        </w:rPr>
        <w:t>六中</w:t>
      </w:r>
      <w:r>
        <w:rPr>
          <w:rFonts w:hint="eastAsia" w:eastAsia="仿宋_GB2312" w:cs="仿宋_GB2312"/>
        </w:rPr>
        <w:t>全会精神，深入学习领会习近平总书记视察北京重要讲话精神，牢固树立新发展理念，把“节水优先、空间均衡、系统治理、两手发力”的治水方针和“以水定城、以水定地、以水定人、以水定产”的发展原则贯穿水务工作全过程。围绕全面提升国家水安全保障能力这一总体目标，全面提升水旱灾害防御能力、水资源集约节约利用能力、水资源优化配置能力、大江大河大湖生态保护治理能力，推动新阶段水务高质量发展。</w:t>
      </w:r>
    </w:p>
    <w:p>
      <w:pPr>
        <w:pStyle w:val="39"/>
        <w:spacing w:line="600" w:lineRule="exact"/>
        <w:ind w:firstLine="640"/>
        <w:rPr>
          <w:rFonts w:eastAsia="仿宋_GB2312"/>
        </w:rPr>
      </w:pPr>
      <w:r>
        <w:rPr>
          <w:rFonts w:hint="eastAsia" w:eastAsia="仿宋_GB2312" w:cs="仿宋_GB2312"/>
        </w:rPr>
        <w:t>坚持以创新为第一动力、以协调为内生特点、以绿色为普遍形态、以开放为必由之路、以共享为根本目的、以安全为底线要求，积极践行“安全、洁净、生态、优美、为民”的水务发展目标，</w:t>
      </w:r>
      <w:r>
        <w:rPr>
          <w:rFonts w:hint="eastAsia" w:eastAsia="仿宋_GB2312" w:cs="仿宋_GB2312"/>
          <w:lang w:val="en-US"/>
        </w:rPr>
        <w:t>将</w:t>
      </w:r>
      <w:r>
        <w:rPr>
          <w:rFonts w:hint="eastAsia" w:eastAsia="仿宋_GB2312" w:cs="仿宋_GB2312"/>
        </w:rPr>
        <w:t>“十四五”开局作为“亲水朝阳”建设的新起点。</w:t>
      </w:r>
    </w:p>
    <w:p>
      <w:pPr>
        <w:pStyle w:val="39"/>
        <w:spacing w:line="600" w:lineRule="exact"/>
        <w:ind w:firstLine="640"/>
        <w:rPr>
          <w:rFonts w:eastAsia="仿宋_GB2312"/>
        </w:rPr>
      </w:pPr>
      <w:r>
        <w:rPr>
          <w:rFonts w:hint="eastAsia" w:eastAsia="仿宋_GB2312" w:cs="仿宋_GB2312"/>
          <w:lang w:val="en-US"/>
        </w:rPr>
        <w:t>以</w:t>
      </w:r>
      <w:r>
        <w:rPr>
          <w:rFonts w:hint="eastAsia" w:eastAsia="仿宋_GB2312" w:cs="仿宋_GB2312"/>
        </w:rPr>
        <w:t>水安全风险防控为守护底线，</w:t>
      </w:r>
      <w:r>
        <w:rPr>
          <w:rFonts w:hint="eastAsia" w:eastAsia="仿宋_GB2312" w:cs="仿宋_GB2312"/>
          <w:lang w:val="en-US"/>
        </w:rPr>
        <w:t>以</w:t>
      </w:r>
      <w:r>
        <w:rPr>
          <w:rFonts w:hint="eastAsia" w:eastAsia="仿宋_GB2312" w:cs="仿宋_GB2312"/>
        </w:rPr>
        <w:t>水资源承载力为刚性约束上限，</w:t>
      </w:r>
      <w:r>
        <w:rPr>
          <w:rFonts w:hint="eastAsia" w:eastAsia="仿宋_GB2312" w:cs="仿宋_GB2312"/>
          <w:lang w:val="en-US"/>
        </w:rPr>
        <w:t>以</w:t>
      </w:r>
      <w:r>
        <w:rPr>
          <w:rFonts w:hint="eastAsia" w:eastAsia="仿宋_GB2312" w:cs="仿宋_GB2312"/>
        </w:rPr>
        <w:t>水生态环境保护为控制红线，建设系统完备、科学合理的水利工程体系和全面覆盖、上下贯通、保障到位的水务监管体系。</w:t>
      </w:r>
      <w:r>
        <w:rPr>
          <w:rFonts w:hint="eastAsia" w:eastAsia="仿宋_GB2312" w:cs="仿宋_GB2312"/>
          <w:lang w:val="en-US"/>
        </w:rPr>
        <w:t>将</w:t>
      </w:r>
      <w:r>
        <w:rPr>
          <w:rFonts w:hint="eastAsia" w:eastAsia="仿宋_GB2312" w:cs="仿宋_GB2312"/>
        </w:rPr>
        <w:t>水务工作融入区域经济社会发展，助力东部跨越、实现南部崛起，服务“双奥”和“两区”建设，为朝阳区建设具有国际影响力和竞争力的和谐宜居国际化城区提供坚实的水务支撑和保障。</w:t>
      </w:r>
    </w:p>
    <w:p>
      <w:pPr>
        <w:pStyle w:val="62"/>
        <w:spacing w:beforeLines="0" w:line="600" w:lineRule="exact"/>
        <w:ind w:firstLine="640"/>
        <w:outlineLvl w:val="1"/>
        <w:rPr>
          <w:rFonts w:eastAsia="楷体_GB2312" w:cs="楷体_GB2312"/>
          <w:b w:val="0"/>
          <w:bCs w:val="0"/>
        </w:rPr>
      </w:pPr>
      <w:bookmarkStart w:id="50" w:name="_Toc97729945"/>
      <w:r>
        <w:rPr>
          <w:rFonts w:hint="eastAsia" w:eastAsia="楷体_GB2312" w:cs="楷体_GB2312"/>
          <w:b w:val="0"/>
          <w:bCs w:val="0"/>
        </w:rPr>
        <w:t>（二）规划原则</w:t>
      </w:r>
      <w:bookmarkEnd w:id="48"/>
      <w:bookmarkEnd w:id="49"/>
      <w:bookmarkEnd w:id="50"/>
    </w:p>
    <w:p>
      <w:pPr>
        <w:pStyle w:val="39"/>
        <w:spacing w:line="600" w:lineRule="exact"/>
        <w:ind w:firstLine="643"/>
        <w:rPr>
          <w:rFonts w:eastAsia="仿宋_GB2312"/>
        </w:rPr>
      </w:pPr>
      <w:r>
        <w:rPr>
          <w:rFonts w:hint="eastAsia" w:eastAsia="仿宋_GB2312" w:cs="仿宋_GB2312"/>
          <w:b/>
          <w:bCs/>
          <w:color w:val="000000"/>
          <w:lang w:val="en-US"/>
        </w:rPr>
        <w:t>以人为本，服务民生。</w:t>
      </w:r>
      <w:r>
        <w:rPr>
          <w:rFonts w:hint="eastAsia" w:eastAsia="仿宋_GB2312" w:cs="仿宋_GB2312"/>
        </w:rPr>
        <w:t>坚持把以人民为中心作为水务一切工作的出发点和落脚点，优先解决群众最关心、最直接、最现实的水务问题，着力提高水务公共服务水平，不断满足人民群众对水的新要求、新期盼，实现“水惠民生”。</w:t>
      </w:r>
    </w:p>
    <w:p>
      <w:pPr>
        <w:pStyle w:val="39"/>
        <w:spacing w:line="600" w:lineRule="exact"/>
        <w:ind w:firstLine="643"/>
        <w:rPr>
          <w:rFonts w:eastAsia="仿宋_GB2312"/>
        </w:rPr>
      </w:pPr>
      <w:r>
        <w:rPr>
          <w:rFonts w:hint="eastAsia" w:eastAsia="仿宋_GB2312" w:cs="仿宋_GB2312"/>
          <w:b/>
          <w:bCs/>
          <w:color w:val="000000"/>
          <w:lang w:val="en-US"/>
        </w:rPr>
        <w:t>安全保障，守牢底线</w:t>
      </w:r>
      <w:r>
        <w:rPr>
          <w:rFonts w:hint="eastAsia" w:eastAsia="仿宋_GB2312" w:cs="仿宋_GB2312"/>
          <w:b/>
          <w:bCs/>
        </w:rPr>
        <w:t>。</w:t>
      </w:r>
      <w:r>
        <w:rPr>
          <w:rFonts w:hint="eastAsia" w:eastAsia="仿宋_GB2312" w:cs="仿宋_GB2312"/>
        </w:rPr>
        <w:t>强化风险意识，注重从事后处置向事前预防转变，从减少损失向降低风险转变，以防为主、防控结合，注重从源头上压缩风险发生空间，牢牢守住水安全底线。</w:t>
      </w:r>
    </w:p>
    <w:p>
      <w:pPr>
        <w:pStyle w:val="39"/>
        <w:spacing w:line="600" w:lineRule="exact"/>
        <w:ind w:firstLine="643"/>
        <w:rPr>
          <w:rFonts w:eastAsia="仿宋_GB2312"/>
        </w:rPr>
      </w:pPr>
      <w:r>
        <w:rPr>
          <w:rFonts w:hint="eastAsia" w:eastAsia="仿宋_GB2312" w:cs="仿宋_GB2312"/>
          <w:b/>
          <w:bCs/>
          <w:color w:val="000000"/>
          <w:lang w:val="en-US"/>
        </w:rPr>
        <w:t>节水优先，量水发展</w:t>
      </w:r>
      <w:r>
        <w:rPr>
          <w:rFonts w:hint="eastAsia" w:eastAsia="仿宋_GB2312" w:cs="仿宋_GB2312"/>
          <w:color w:val="000000"/>
          <w:lang w:val="en-US"/>
        </w:rPr>
        <w:t>。</w:t>
      </w:r>
      <w:r>
        <w:rPr>
          <w:rFonts w:hint="eastAsia" w:eastAsia="仿宋_GB2312" w:cs="仿宋_GB2312"/>
        </w:rPr>
        <w:t>坚持把节约用水贯穿到经济社会发展和生产生活全过程，深入推进“以水四定”原则要求，强化水资源要素在规划中的约束引领作用，强化用水过程管控，建立刚性约束机制，促进水与经济社会协调发展。</w:t>
      </w:r>
    </w:p>
    <w:p>
      <w:pPr>
        <w:pStyle w:val="39"/>
        <w:spacing w:line="600" w:lineRule="exact"/>
        <w:ind w:firstLine="643"/>
        <w:rPr>
          <w:rFonts w:eastAsia="仿宋_GB2312"/>
        </w:rPr>
      </w:pPr>
      <w:r>
        <w:rPr>
          <w:rFonts w:hint="eastAsia" w:eastAsia="仿宋_GB2312" w:cs="仿宋_GB2312"/>
          <w:b/>
          <w:bCs/>
          <w:color w:val="000000"/>
          <w:lang w:val="en-US"/>
        </w:rPr>
        <w:t>注重生态，绿色发展。</w:t>
      </w:r>
      <w:r>
        <w:rPr>
          <w:rFonts w:hint="eastAsia" w:eastAsia="仿宋_GB2312" w:cs="仿宋_GB2312"/>
        </w:rPr>
        <w:t>牢固树立尊重自然、顺应自然、保护自然和“绿水青山就是金山银山”的理念，坚持“用生态的办法解决生态问题”，河道治理原生态、大尺度、低干扰、精细化，加快推进河湖水系连通及水系廊道建设，强化水生态空间管控，促进人水和谐、绿色发展。</w:t>
      </w:r>
    </w:p>
    <w:p>
      <w:pPr>
        <w:pStyle w:val="39"/>
        <w:spacing w:line="600" w:lineRule="exact"/>
        <w:ind w:firstLine="643"/>
        <w:rPr>
          <w:rFonts w:eastAsia="仿宋_GB2312"/>
        </w:rPr>
      </w:pPr>
      <w:r>
        <w:rPr>
          <w:rFonts w:hint="eastAsia" w:eastAsia="仿宋_GB2312" w:cs="仿宋_GB2312"/>
          <w:b/>
          <w:bCs/>
          <w:color w:val="000000"/>
          <w:lang w:val="en-US"/>
        </w:rPr>
        <w:t>深化改革，科技驱动。</w:t>
      </w:r>
      <w:r>
        <w:rPr>
          <w:rFonts w:hint="eastAsia" w:eastAsia="仿宋_GB2312" w:cs="仿宋_GB2312"/>
        </w:rPr>
        <w:t>坚持问题导向，推进水务重点领域和关键环节改革攻坚，破解制约水务发展的体制机制障碍。坚持运用法治思维和法治方式推动水务改革发展；充分发挥水务科技引领和保障作用，着力提升水务信息化水平，打造朝阳“智慧水务”。</w:t>
      </w:r>
    </w:p>
    <w:p>
      <w:pPr>
        <w:pStyle w:val="62"/>
        <w:spacing w:beforeLines="0" w:line="600" w:lineRule="exact"/>
        <w:ind w:firstLine="640"/>
        <w:outlineLvl w:val="1"/>
        <w:rPr>
          <w:rFonts w:eastAsia="楷体_GB2312" w:cs="楷体_GB2312"/>
          <w:b w:val="0"/>
          <w:bCs w:val="0"/>
        </w:rPr>
      </w:pPr>
      <w:bookmarkStart w:id="51" w:name="_Toc97729946"/>
      <w:bookmarkStart w:id="52" w:name="_Toc75179331"/>
      <w:bookmarkStart w:id="53" w:name="_Toc49608164"/>
      <w:bookmarkStart w:id="54" w:name="_Toc42172328"/>
      <w:r>
        <w:rPr>
          <w:rFonts w:hint="eastAsia" w:eastAsia="楷体_GB2312" w:cs="楷体_GB2312"/>
          <w:b w:val="0"/>
          <w:bCs w:val="0"/>
        </w:rPr>
        <w:t>（三）规划目标</w:t>
      </w:r>
      <w:bookmarkEnd w:id="51"/>
      <w:bookmarkEnd w:id="52"/>
    </w:p>
    <w:p>
      <w:pPr>
        <w:pStyle w:val="39"/>
        <w:spacing w:line="600" w:lineRule="exact"/>
        <w:ind w:firstLine="643"/>
      </w:pPr>
      <w:r>
        <w:rPr>
          <w:rFonts w:hint="eastAsia" w:eastAsia="仿宋_GB2312" w:cs="仿宋_GB2312"/>
          <w:b/>
          <w:bCs/>
          <w:color w:val="000000"/>
        </w:rPr>
        <w:t>总体目标：</w:t>
      </w:r>
      <w:r>
        <w:rPr>
          <w:rFonts w:hint="eastAsia" w:eastAsia="仿宋_GB2312" w:cs="仿宋_GB2312"/>
        </w:rPr>
        <w:t>建设“节水优先、管控严格、蓝绿交织、人水和谐”的“亲水朝阳”，</w:t>
      </w:r>
      <w:r>
        <w:t>坚持以人民为中心，</w:t>
      </w:r>
      <w:r>
        <w:rPr>
          <w:rFonts w:hint="eastAsia"/>
        </w:rPr>
        <w:t>贯彻新发展理念，不断满足人民群众日益增长的美好生活需要</w:t>
      </w:r>
      <w:r>
        <w:rPr>
          <w:rFonts w:hint="eastAsia"/>
          <w:bCs/>
          <w:color w:val="000000"/>
        </w:rPr>
        <w:t>。固底板，补短板，锻长板</w:t>
      </w:r>
      <w:r>
        <w:rPr>
          <w:rFonts w:hint="eastAsia"/>
        </w:rPr>
        <w:t>，</w:t>
      </w:r>
      <w:r>
        <w:rPr>
          <w:rFonts w:hint="eastAsia"/>
          <w:bCs/>
          <w:color w:val="000000"/>
        </w:rPr>
        <w:t>治理与管理并重，</w:t>
      </w:r>
      <w:r>
        <w:rPr>
          <w:rFonts w:hint="eastAsia" w:eastAsia="仿宋_GB2312"/>
        </w:rPr>
        <w:t>聚力实施“571”朝阳水务高质量发展蓝图，以5张网为具体抓手，</w:t>
      </w:r>
      <w:r>
        <w:rPr>
          <w:rFonts w:hint="eastAsia" w:eastAsia="仿宋_GB2312" w:cs="仿宋_GB2312"/>
        </w:rPr>
        <w:t>以</w:t>
      </w:r>
      <w:r>
        <w:rPr>
          <w:rFonts w:eastAsia="仿宋_GB2312"/>
        </w:rPr>
        <w:t>7</w:t>
      </w:r>
      <w:r>
        <w:rPr>
          <w:rFonts w:hint="eastAsia" w:eastAsia="仿宋_GB2312" w:cs="仿宋_GB2312"/>
        </w:rPr>
        <w:t>项任务为实施重点，</w:t>
      </w:r>
      <w:r>
        <w:rPr>
          <w:rFonts w:hint="eastAsia"/>
        </w:rPr>
        <w:t>支撑和推动朝阳高质量发展</w:t>
      </w:r>
      <w:r>
        <w:t>。</w:t>
      </w:r>
    </w:p>
    <w:p>
      <w:pPr>
        <w:pStyle w:val="39"/>
        <w:spacing w:line="600" w:lineRule="exact"/>
        <w:ind w:firstLine="640"/>
        <w:rPr>
          <w:rFonts w:eastAsia="黑体" w:cs="仿宋_GB2312"/>
        </w:rPr>
      </w:pPr>
      <w:r>
        <w:rPr>
          <w:rFonts w:hint="eastAsia" w:eastAsia="黑体" w:cs="仿宋_GB2312"/>
        </w:rPr>
        <w:t>“五张网”：</w:t>
      </w:r>
    </w:p>
    <w:p>
      <w:pPr>
        <w:pStyle w:val="39"/>
        <w:spacing w:line="600" w:lineRule="exact"/>
        <w:ind w:firstLine="643"/>
        <w:rPr>
          <w:rFonts w:eastAsia="仿宋_GB2312"/>
        </w:rPr>
      </w:pPr>
      <w:r>
        <w:rPr>
          <w:rFonts w:hint="eastAsia" w:eastAsia="楷体" w:cs="仿宋_GB2312"/>
          <w:b/>
          <w:bCs/>
        </w:rPr>
        <w:t>河湖连通网。</w:t>
      </w:r>
      <w:r>
        <w:rPr>
          <w:rFonts w:hint="eastAsia" w:eastAsia="仿宋_GB2312" w:cs="仿宋_GB2312"/>
        </w:rPr>
        <w:t>以巩固拓展</w:t>
      </w:r>
      <w:r>
        <w:rPr>
          <w:rFonts w:hint="eastAsia" w:eastAsia="仿宋_GB2312"/>
        </w:rPr>
        <w:t>“</w:t>
      </w:r>
      <w:r>
        <w:rPr>
          <w:rFonts w:hint="eastAsia" w:eastAsia="仿宋_GB2312" w:cs="仿宋_GB2312"/>
        </w:rPr>
        <w:t>一纵四横、多支多点</w:t>
      </w:r>
      <w:r>
        <w:rPr>
          <w:rFonts w:hint="eastAsia" w:eastAsia="仿宋_GB2312"/>
        </w:rPr>
        <w:t>”</w:t>
      </w:r>
      <w:r>
        <w:rPr>
          <w:rFonts w:hint="eastAsia" w:eastAsia="仿宋_GB2312" w:cs="仿宋_GB2312"/>
        </w:rPr>
        <w:t>骨干河湖连通水网为抓手，切实改善河湖环境，守护河道安澜、市民安宁。</w:t>
      </w:r>
    </w:p>
    <w:p>
      <w:pPr>
        <w:pStyle w:val="39"/>
        <w:spacing w:line="600" w:lineRule="exact"/>
        <w:ind w:firstLine="643"/>
        <w:rPr>
          <w:rFonts w:eastAsia="仿宋_GB2312"/>
        </w:rPr>
      </w:pPr>
      <w:r>
        <w:rPr>
          <w:rFonts w:hint="eastAsia" w:eastAsia="楷体" w:cs="仿宋_GB2312"/>
          <w:b/>
          <w:bCs/>
        </w:rPr>
        <w:t>幸福廊道网。</w:t>
      </w:r>
      <w:r>
        <w:rPr>
          <w:rFonts w:hint="eastAsia" w:eastAsia="仿宋_GB2312" w:cs="仿宋_GB2312"/>
        </w:rPr>
        <w:t>以“绿道</w:t>
      </w:r>
      <w:r>
        <w:rPr>
          <w:rFonts w:hint="eastAsia" w:eastAsia="仿宋_GB2312" w:cs="仿宋_GB2312"/>
          <w:b/>
          <w:bCs/>
        </w:rPr>
        <w:t>+</w:t>
      </w:r>
      <w:r>
        <w:rPr>
          <w:rFonts w:hint="eastAsia" w:eastAsia="仿宋_GB2312" w:cs="仿宋_GB2312"/>
        </w:rPr>
        <w:t>滨河水岸环境提升”为抓手，打造蓝绿交织、水城共融的人民幸福廊道网，建设幸福河湖，不断拓展游船航线，持续推出城市名片。</w:t>
      </w:r>
    </w:p>
    <w:p>
      <w:pPr>
        <w:pStyle w:val="39"/>
        <w:spacing w:line="600" w:lineRule="exact"/>
        <w:ind w:firstLine="643"/>
        <w:rPr>
          <w:rFonts w:eastAsia="仿宋_GB2312"/>
        </w:rPr>
      </w:pPr>
      <w:r>
        <w:rPr>
          <w:rFonts w:hint="eastAsia" w:eastAsia="楷体" w:cs="仿宋_GB2312"/>
          <w:b/>
          <w:bCs/>
        </w:rPr>
        <w:t>供水保障网。</w:t>
      </w:r>
      <w:r>
        <w:rPr>
          <w:rFonts w:hint="eastAsia" w:eastAsia="仿宋_GB2312" w:cs="仿宋_GB2312"/>
        </w:rPr>
        <w:t>以自备井置换为抓手，建设优质普惠城乡均衡的供水保障网，支撑朝阳乡村振兴高质量发展。</w:t>
      </w:r>
    </w:p>
    <w:p>
      <w:pPr>
        <w:pStyle w:val="39"/>
        <w:spacing w:line="600" w:lineRule="exact"/>
        <w:ind w:firstLine="643"/>
        <w:rPr>
          <w:rFonts w:eastAsia="仿宋_GB2312" w:cs="仿宋_GB2312"/>
        </w:rPr>
      </w:pPr>
      <w:r>
        <w:rPr>
          <w:rFonts w:hint="eastAsia" w:eastAsia="楷体" w:cs="仿宋_GB2312"/>
          <w:b/>
          <w:bCs/>
        </w:rPr>
        <w:t>高效节水网。</w:t>
      </w:r>
      <w:r>
        <w:rPr>
          <w:rFonts w:hint="eastAsia" w:eastAsia="仿宋_GB2312" w:cs="仿宋_GB2312"/>
        </w:rPr>
        <w:t>以创建高效节水载体为抓手，构建“点线面网”立体式节水单元体系，打造全市节水优先新标杆。</w:t>
      </w:r>
    </w:p>
    <w:p>
      <w:pPr>
        <w:pStyle w:val="39"/>
        <w:spacing w:line="600" w:lineRule="exact"/>
        <w:ind w:firstLine="643"/>
        <w:rPr>
          <w:rFonts w:eastAsia="仿宋_GB2312"/>
        </w:rPr>
      </w:pPr>
      <w:r>
        <w:rPr>
          <w:rFonts w:hint="eastAsia" w:eastAsia="楷体" w:cs="仿宋_GB2312"/>
          <w:b/>
          <w:bCs/>
        </w:rPr>
        <w:t>数字化水网。</w:t>
      </w:r>
      <w:r>
        <w:rPr>
          <w:rFonts w:hint="eastAsia" w:eastAsia="仿宋_GB2312" w:cs="仿宋_GB2312"/>
        </w:rPr>
        <w:t>以水系连通信息化建设为契机，加快建设高效的数字水网，打造全国一流的河湖信息化指挥平台，切实提高水务管理水平。</w:t>
      </w:r>
    </w:p>
    <w:p>
      <w:pPr>
        <w:pStyle w:val="39"/>
        <w:spacing w:line="600" w:lineRule="exact"/>
        <w:ind w:firstLine="643"/>
        <w:rPr>
          <w:rFonts w:eastAsia="宋体"/>
          <w:color w:val="000000"/>
          <w:kern w:val="0"/>
          <w:sz w:val="33"/>
          <w:szCs w:val="33"/>
        </w:rPr>
      </w:pPr>
      <w:r>
        <w:rPr>
          <w:rFonts w:hint="eastAsia" w:eastAsia="仿宋_GB2312" w:cs="仿宋_GB2312"/>
          <w:b/>
          <w:bCs/>
          <w:color w:val="000000"/>
        </w:rPr>
        <w:t>具体目标：</w:t>
      </w:r>
      <w:r>
        <w:rPr>
          <w:rFonts w:eastAsia="宋体"/>
          <w:color w:val="000000"/>
          <w:kern w:val="0"/>
          <w:sz w:val="33"/>
          <w:szCs w:val="33"/>
        </w:rPr>
        <w:t> </w:t>
      </w:r>
    </w:p>
    <w:p>
      <w:pPr>
        <w:pStyle w:val="39"/>
        <w:spacing w:line="600" w:lineRule="exact"/>
        <w:ind w:firstLine="640"/>
        <w:rPr>
          <w:rFonts w:eastAsia="仿宋_GB2312"/>
        </w:rPr>
      </w:pPr>
      <w:r>
        <w:rPr>
          <w:rFonts w:hint="eastAsia" w:eastAsia="仿宋_GB2312" w:cs="仿宋_GB2312"/>
        </w:rPr>
        <w:t>洪涝灾害防御能力稳步提高。主要河道达到规划防洪标准，防洪排涝重点部位实现监测、视频覆盖，预警预报能力全面提升。建成区</w:t>
      </w:r>
      <w:r>
        <w:rPr>
          <w:rFonts w:eastAsia="仿宋_GB2312"/>
        </w:rPr>
        <w:t>50%</w:t>
      </w:r>
      <w:r>
        <w:rPr>
          <w:rFonts w:hint="eastAsia" w:eastAsia="仿宋_GB2312" w:cs="仿宋_GB2312"/>
        </w:rPr>
        <w:t>的面积达到海绵城市要求。</w:t>
      </w:r>
    </w:p>
    <w:p>
      <w:pPr>
        <w:pStyle w:val="39"/>
        <w:spacing w:line="600" w:lineRule="exact"/>
        <w:ind w:firstLine="640"/>
        <w:rPr>
          <w:rFonts w:eastAsia="仿宋_GB2312"/>
        </w:rPr>
      </w:pPr>
      <w:r>
        <w:rPr>
          <w:rFonts w:hint="eastAsia" w:eastAsia="仿宋_GB2312" w:cs="仿宋_GB2312"/>
        </w:rPr>
        <w:t>节水型社会建设迈上新台阶。全区生产生活用水总量满足市级要求，用水效率稳步提升，万元地区生产总值用水量比</w:t>
      </w:r>
      <w:r>
        <w:rPr>
          <w:rFonts w:eastAsia="仿宋_GB2312"/>
        </w:rPr>
        <w:t>201</w:t>
      </w:r>
      <w:r>
        <w:rPr>
          <w:rFonts w:hint="eastAsia" w:eastAsia="仿宋_GB2312"/>
        </w:rPr>
        <w:t>9</w:t>
      </w:r>
      <w:r>
        <w:rPr>
          <w:rFonts w:hint="eastAsia" w:eastAsia="仿宋_GB2312" w:cs="仿宋_GB2312"/>
        </w:rPr>
        <w:t>年下降</w:t>
      </w:r>
      <w:r>
        <w:rPr>
          <w:rFonts w:hint="eastAsia" w:eastAsia="仿宋_GB2312"/>
        </w:rPr>
        <w:t>14.1</w:t>
      </w:r>
      <w:r>
        <w:rPr>
          <w:rFonts w:eastAsia="仿宋_GB2312"/>
        </w:rPr>
        <w:t>%</w:t>
      </w:r>
      <w:r>
        <w:rPr>
          <w:rFonts w:hint="eastAsia" w:eastAsia="仿宋_GB2312" w:cs="仿宋_GB2312"/>
        </w:rPr>
        <w:t>以上。</w:t>
      </w:r>
    </w:p>
    <w:p>
      <w:pPr>
        <w:pStyle w:val="39"/>
        <w:spacing w:line="600" w:lineRule="exact"/>
        <w:ind w:firstLine="640"/>
        <w:rPr>
          <w:rFonts w:eastAsia="仿宋_GB2312"/>
        </w:rPr>
      </w:pPr>
      <w:r>
        <w:rPr>
          <w:rFonts w:hint="eastAsia" w:eastAsia="仿宋_GB2312" w:cs="仿宋_GB2312"/>
        </w:rPr>
        <w:t>供水安全保障水平明显提升。城市供水安全系数稳定在</w:t>
      </w:r>
      <w:r>
        <w:rPr>
          <w:rFonts w:eastAsia="仿宋_GB2312"/>
        </w:rPr>
        <w:t>1.3</w:t>
      </w:r>
      <w:r>
        <w:rPr>
          <w:rFonts w:hint="eastAsia" w:eastAsia="仿宋_GB2312" w:cs="仿宋_GB2312"/>
        </w:rPr>
        <w:t>以上，建成区市政供水管网基本实现全覆盖，农村供水计量收费率达到</w:t>
      </w:r>
      <w:r>
        <w:rPr>
          <w:rFonts w:eastAsia="仿宋_GB2312"/>
        </w:rPr>
        <w:t>99%</w:t>
      </w:r>
      <w:r>
        <w:rPr>
          <w:rFonts w:hint="eastAsia" w:eastAsia="仿宋_GB2312" w:cs="仿宋_GB2312"/>
        </w:rPr>
        <w:t>以上。持续减少地下水开采，地下水位基本稳定并逐步回升。</w:t>
      </w:r>
    </w:p>
    <w:p>
      <w:pPr>
        <w:pStyle w:val="39"/>
        <w:spacing w:line="600" w:lineRule="exact"/>
        <w:ind w:firstLine="640"/>
        <w:rPr>
          <w:rFonts w:eastAsia="仿宋_GB2312"/>
        </w:rPr>
      </w:pPr>
      <w:r>
        <w:rPr>
          <w:rFonts w:hint="eastAsia" w:eastAsia="仿宋_GB2312" w:cs="仿宋_GB2312"/>
        </w:rPr>
        <w:t>水生态环境持续改善。全区污水处理率达到</w:t>
      </w:r>
      <w:r>
        <w:rPr>
          <w:rFonts w:eastAsia="仿宋_GB2312"/>
        </w:rPr>
        <w:t>99.7%</w:t>
      </w:r>
      <w:r>
        <w:rPr>
          <w:rFonts w:hint="eastAsia" w:eastAsia="仿宋_GB2312"/>
        </w:rPr>
        <w:t>以上</w:t>
      </w:r>
      <w:r>
        <w:rPr>
          <w:rFonts w:hint="eastAsia" w:eastAsia="仿宋_GB2312" w:cs="仿宋_GB2312"/>
        </w:rPr>
        <w:t>，溢流污染控制取得明显成效，河道考核断面全面达标，全面消除劣Ⅴ类水体，保持现有</w:t>
      </w:r>
      <w:r>
        <w:rPr>
          <w:rFonts w:eastAsia="仿宋_GB2312"/>
        </w:rPr>
        <w:t>IV</w:t>
      </w:r>
      <w:r>
        <w:rPr>
          <w:rFonts w:hint="eastAsia" w:eastAsia="仿宋_GB2312" w:cs="仿宋_GB2312"/>
        </w:rPr>
        <w:t>类水体，有条件区域打造</w:t>
      </w:r>
      <w:r>
        <w:rPr>
          <w:rFonts w:eastAsia="仿宋_GB2312"/>
        </w:rPr>
        <w:t>III</w:t>
      </w:r>
      <w:r>
        <w:rPr>
          <w:rFonts w:hint="eastAsia" w:eastAsia="仿宋_GB2312" w:cs="仿宋_GB2312"/>
        </w:rPr>
        <w:t>类水体；区域骨干水系全面连通，重点河湖水系水生态空间品质进一步提升。</w:t>
      </w:r>
    </w:p>
    <w:p>
      <w:pPr>
        <w:pStyle w:val="39"/>
        <w:spacing w:line="600" w:lineRule="exact"/>
        <w:ind w:firstLine="640"/>
        <w:rPr>
          <w:rFonts w:eastAsia="仿宋_GB2312"/>
        </w:rPr>
      </w:pPr>
      <w:r>
        <w:rPr>
          <w:rFonts w:hint="eastAsia" w:eastAsia="仿宋_GB2312" w:cs="仿宋_GB2312"/>
        </w:rPr>
        <w:t>治水能力和服务水平稳步提升。持续推进河道标准化、精细化管理，初步建成智慧水务平台，完善综合执法体系，精简规范审批流程，不断提高公众满意度，水务“精治、共治、法治”能力显著提高。</w:t>
      </w:r>
    </w:p>
    <w:p>
      <w:pPr>
        <w:pStyle w:val="39"/>
        <w:spacing w:line="600" w:lineRule="exact"/>
        <w:ind w:firstLine="643"/>
        <w:rPr>
          <w:rFonts w:hint="eastAsia" w:eastAsia="仿宋_GB2312" w:cs="仿宋_GB2312"/>
        </w:rPr>
      </w:pPr>
      <w:r>
        <w:rPr>
          <w:rFonts w:eastAsia="仿宋_GB2312"/>
          <w:b/>
          <w:bCs/>
          <w:color w:val="000000"/>
        </w:rPr>
        <w:t>2035</w:t>
      </w:r>
      <w:r>
        <w:rPr>
          <w:rFonts w:hint="eastAsia" w:eastAsia="仿宋_GB2312" w:cs="仿宋_GB2312"/>
          <w:b/>
          <w:bCs/>
          <w:color w:val="000000"/>
        </w:rPr>
        <w:t>年远景目标展望：</w:t>
      </w:r>
      <w:r>
        <w:rPr>
          <w:rFonts w:hint="eastAsia" w:eastAsia="仿宋_GB2312" w:cs="仿宋_GB2312"/>
        </w:rPr>
        <w:t>与具有国际影响力和竞争力的和谐宜居国际化城区相匹配的水务综合保障体系基本建成，“亲水朝阳”全面实现。节水达到国际先进水平，供水安全保障水平大幅提升。建成区</w:t>
      </w:r>
      <w:r>
        <w:rPr>
          <w:rFonts w:eastAsia="仿宋_GB2312" w:cs="仿宋_GB2312"/>
        </w:rPr>
        <w:t>80%</w:t>
      </w:r>
      <w:r>
        <w:rPr>
          <w:rFonts w:hint="eastAsia" w:eastAsia="仿宋_GB2312" w:cs="仿宋_GB2312"/>
        </w:rPr>
        <w:t>的面积达到海绵城市的目标要求，高标准防洪排涝体系基本建成，确保城市安全运行。水生态环境根本好转，实现“蓝绿交织、水城共融、清新明亮”。水务管理精细化、智能化水平明显提高，水务治理体系和治理能力现代化基本实现。</w:t>
      </w:r>
    </w:p>
    <w:p>
      <w:pPr>
        <w:pStyle w:val="60"/>
        <w:spacing w:before="100" w:beforeAutospacing="1"/>
        <w:ind w:left="0" w:leftChars="0"/>
        <w:rPr>
          <w:rFonts w:eastAsia="仿宋_GB2312"/>
          <w:b/>
          <w:bCs/>
          <w:spacing w:val="-6"/>
          <w:sz w:val="28"/>
          <w:szCs w:val="28"/>
        </w:rPr>
      </w:pPr>
      <w:r>
        <w:rPr>
          <w:rFonts w:hint="eastAsia" w:eastAsia="仿宋_GB2312" w:cs="仿宋_GB2312"/>
          <w:b/>
          <w:bCs/>
          <w:spacing w:val="-6"/>
          <w:sz w:val="28"/>
          <w:szCs w:val="28"/>
        </w:rPr>
        <w:t>朝阳区“十四五”水务发展规划指标表</w:t>
      </w:r>
    </w:p>
    <w:tbl>
      <w:tblPr>
        <w:tblStyle w:val="21"/>
        <w:tblW w:w="821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84"/>
        <w:gridCol w:w="3453"/>
        <w:gridCol w:w="1272"/>
        <w:gridCol w:w="1272"/>
        <w:gridCol w:w="14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40" w:hRule="atLeast"/>
          <w:jc w:val="center"/>
        </w:trPr>
        <w:tc>
          <w:tcPr>
            <w:tcW w:w="784" w:type="dxa"/>
            <w:tcMar>
              <w:top w:w="72" w:type="dxa"/>
              <w:left w:w="144" w:type="dxa"/>
              <w:bottom w:w="72" w:type="dxa"/>
              <w:right w:w="144" w:type="dxa"/>
            </w:tcMar>
            <w:vAlign w:val="center"/>
          </w:tcPr>
          <w:p>
            <w:pPr>
              <w:pStyle w:val="63"/>
              <w:snapToGrid w:val="0"/>
              <w:spacing w:line="240" w:lineRule="auto"/>
              <w:ind w:firstLine="0"/>
              <w:jc w:val="center"/>
              <w:rPr>
                <w:rFonts w:eastAsia="宋体"/>
                <w:b/>
                <w:bCs/>
                <w:color w:val="000000"/>
                <w:sz w:val="21"/>
                <w:szCs w:val="21"/>
              </w:rPr>
            </w:pPr>
            <w:r>
              <w:rPr>
                <w:rFonts w:hint="eastAsia" w:eastAsia="宋体" w:cs="宋体"/>
                <w:b/>
                <w:bCs/>
                <w:color w:val="000000"/>
                <w:sz w:val="21"/>
                <w:szCs w:val="21"/>
              </w:rPr>
              <w:t>序号</w:t>
            </w:r>
          </w:p>
        </w:tc>
        <w:tc>
          <w:tcPr>
            <w:tcW w:w="3453" w:type="dxa"/>
            <w:tcMar>
              <w:top w:w="72" w:type="dxa"/>
              <w:left w:w="144" w:type="dxa"/>
              <w:bottom w:w="72" w:type="dxa"/>
              <w:right w:w="144" w:type="dxa"/>
            </w:tcMar>
            <w:vAlign w:val="center"/>
          </w:tcPr>
          <w:p>
            <w:pPr>
              <w:pStyle w:val="63"/>
              <w:snapToGrid w:val="0"/>
              <w:spacing w:line="240" w:lineRule="auto"/>
              <w:ind w:firstLine="0"/>
              <w:jc w:val="center"/>
              <w:rPr>
                <w:rFonts w:eastAsia="宋体"/>
                <w:b/>
                <w:bCs/>
                <w:color w:val="000000"/>
                <w:sz w:val="21"/>
                <w:szCs w:val="21"/>
              </w:rPr>
            </w:pPr>
            <w:r>
              <w:rPr>
                <w:rFonts w:hint="eastAsia" w:eastAsia="宋体" w:cs="宋体"/>
                <w:b/>
                <w:bCs/>
                <w:color w:val="000000"/>
                <w:sz w:val="21"/>
                <w:szCs w:val="21"/>
              </w:rPr>
              <w:t>指标</w:t>
            </w:r>
          </w:p>
        </w:tc>
        <w:tc>
          <w:tcPr>
            <w:tcW w:w="1272" w:type="dxa"/>
            <w:tcMar>
              <w:top w:w="72" w:type="dxa"/>
              <w:left w:w="144" w:type="dxa"/>
              <w:bottom w:w="72" w:type="dxa"/>
              <w:right w:w="144" w:type="dxa"/>
            </w:tcMar>
            <w:vAlign w:val="center"/>
          </w:tcPr>
          <w:p>
            <w:pPr>
              <w:pStyle w:val="63"/>
              <w:snapToGrid w:val="0"/>
              <w:spacing w:line="240" w:lineRule="auto"/>
              <w:ind w:firstLine="0"/>
              <w:jc w:val="center"/>
              <w:rPr>
                <w:rFonts w:eastAsia="宋体"/>
                <w:b/>
                <w:bCs/>
                <w:color w:val="000000"/>
                <w:sz w:val="21"/>
                <w:szCs w:val="21"/>
              </w:rPr>
            </w:pPr>
            <w:r>
              <w:rPr>
                <w:rFonts w:eastAsia="宋体"/>
                <w:b/>
                <w:bCs/>
                <w:color w:val="000000"/>
                <w:sz w:val="21"/>
                <w:szCs w:val="21"/>
              </w:rPr>
              <w:t>2020</w:t>
            </w:r>
            <w:r>
              <w:rPr>
                <w:rFonts w:hint="eastAsia" w:eastAsia="宋体" w:cs="宋体"/>
                <w:b/>
                <w:bCs/>
                <w:color w:val="000000"/>
                <w:sz w:val="21"/>
                <w:szCs w:val="21"/>
              </w:rPr>
              <w:t>年</w:t>
            </w:r>
          </w:p>
          <w:p>
            <w:pPr>
              <w:pStyle w:val="63"/>
              <w:snapToGrid w:val="0"/>
              <w:spacing w:line="240" w:lineRule="auto"/>
              <w:ind w:firstLine="0"/>
              <w:jc w:val="center"/>
              <w:rPr>
                <w:rFonts w:eastAsia="宋体"/>
                <w:b/>
                <w:bCs/>
                <w:color w:val="000000"/>
                <w:sz w:val="21"/>
                <w:szCs w:val="21"/>
              </w:rPr>
            </w:pPr>
            <w:r>
              <w:rPr>
                <w:rFonts w:hint="eastAsia" w:eastAsia="宋体" w:cs="宋体"/>
                <w:b/>
                <w:bCs/>
                <w:color w:val="000000"/>
                <w:sz w:val="21"/>
                <w:szCs w:val="21"/>
              </w:rPr>
              <w:t>现状</w:t>
            </w:r>
          </w:p>
        </w:tc>
        <w:tc>
          <w:tcPr>
            <w:tcW w:w="1272" w:type="dxa"/>
            <w:tcMar>
              <w:top w:w="72" w:type="dxa"/>
              <w:left w:w="144" w:type="dxa"/>
              <w:bottom w:w="72" w:type="dxa"/>
              <w:right w:w="144" w:type="dxa"/>
            </w:tcMar>
            <w:vAlign w:val="center"/>
          </w:tcPr>
          <w:p>
            <w:pPr>
              <w:pStyle w:val="63"/>
              <w:snapToGrid w:val="0"/>
              <w:spacing w:line="240" w:lineRule="auto"/>
              <w:ind w:firstLine="0"/>
              <w:jc w:val="center"/>
              <w:rPr>
                <w:rFonts w:eastAsia="宋体"/>
                <w:b/>
                <w:bCs/>
                <w:color w:val="000000"/>
                <w:sz w:val="21"/>
                <w:szCs w:val="21"/>
              </w:rPr>
            </w:pPr>
            <w:r>
              <w:rPr>
                <w:rFonts w:eastAsia="宋体"/>
                <w:b/>
                <w:bCs/>
                <w:color w:val="000000"/>
                <w:sz w:val="21"/>
                <w:szCs w:val="21"/>
              </w:rPr>
              <w:t>2025</w:t>
            </w:r>
            <w:r>
              <w:rPr>
                <w:rFonts w:hint="eastAsia" w:eastAsia="宋体" w:cs="宋体"/>
                <w:b/>
                <w:bCs/>
                <w:color w:val="000000"/>
                <w:sz w:val="21"/>
                <w:szCs w:val="21"/>
              </w:rPr>
              <w:t>年</w:t>
            </w:r>
          </w:p>
          <w:p>
            <w:pPr>
              <w:pStyle w:val="63"/>
              <w:snapToGrid w:val="0"/>
              <w:spacing w:line="240" w:lineRule="auto"/>
              <w:ind w:firstLine="0"/>
              <w:jc w:val="center"/>
              <w:rPr>
                <w:rFonts w:eastAsia="宋体"/>
                <w:b/>
                <w:bCs/>
                <w:color w:val="000000"/>
                <w:sz w:val="21"/>
                <w:szCs w:val="21"/>
              </w:rPr>
            </w:pPr>
            <w:r>
              <w:rPr>
                <w:rFonts w:hint="eastAsia" w:eastAsia="宋体" w:cs="宋体"/>
                <w:b/>
                <w:bCs/>
                <w:color w:val="000000"/>
                <w:sz w:val="21"/>
                <w:szCs w:val="21"/>
              </w:rPr>
              <w:t>目标</w:t>
            </w:r>
          </w:p>
        </w:tc>
        <w:tc>
          <w:tcPr>
            <w:tcW w:w="1430" w:type="dxa"/>
            <w:vAlign w:val="center"/>
          </w:tcPr>
          <w:p>
            <w:pPr>
              <w:pStyle w:val="63"/>
              <w:snapToGrid w:val="0"/>
              <w:spacing w:line="240" w:lineRule="auto"/>
              <w:ind w:firstLine="0"/>
              <w:jc w:val="center"/>
              <w:rPr>
                <w:rFonts w:eastAsia="宋体"/>
                <w:b/>
                <w:bCs/>
                <w:color w:val="000000"/>
                <w:sz w:val="21"/>
                <w:szCs w:val="21"/>
              </w:rPr>
            </w:pPr>
            <w:r>
              <w:rPr>
                <w:rFonts w:hint="eastAsia" w:eastAsia="宋体" w:cs="宋体"/>
                <w:b/>
                <w:bCs/>
                <w:color w:val="000000"/>
                <w:sz w:val="21"/>
                <w:szCs w:val="21"/>
              </w:rPr>
              <w:t>属性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40" w:hRule="atLeast"/>
          <w:jc w:val="center"/>
        </w:trPr>
        <w:tc>
          <w:tcPr>
            <w:tcW w:w="784" w:type="dxa"/>
            <w:tcMar>
              <w:top w:w="72" w:type="dxa"/>
              <w:left w:w="144" w:type="dxa"/>
              <w:bottom w:w="72" w:type="dxa"/>
              <w:right w:w="144" w:type="dxa"/>
            </w:tcMar>
            <w:vAlign w:val="center"/>
          </w:tcPr>
          <w:p>
            <w:pPr>
              <w:pStyle w:val="63"/>
              <w:snapToGrid w:val="0"/>
              <w:spacing w:line="240" w:lineRule="auto"/>
              <w:ind w:firstLine="0"/>
              <w:jc w:val="center"/>
              <w:rPr>
                <w:rFonts w:eastAsia="宋体"/>
                <w:b/>
                <w:bCs/>
                <w:color w:val="000000"/>
                <w:sz w:val="21"/>
                <w:szCs w:val="21"/>
              </w:rPr>
            </w:pPr>
            <w:r>
              <w:rPr>
                <w:rFonts w:hint="eastAsia" w:eastAsia="宋体"/>
                <w:b/>
                <w:bCs/>
                <w:color w:val="000000"/>
                <w:sz w:val="21"/>
                <w:szCs w:val="21"/>
              </w:rPr>
              <w:t>1</w:t>
            </w:r>
          </w:p>
        </w:tc>
        <w:tc>
          <w:tcPr>
            <w:tcW w:w="3453" w:type="dxa"/>
            <w:tcMar>
              <w:top w:w="72" w:type="dxa"/>
              <w:left w:w="144" w:type="dxa"/>
              <w:bottom w:w="72" w:type="dxa"/>
              <w:right w:w="144" w:type="dxa"/>
            </w:tcMar>
            <w:vAlign w:val="center"/>
          </w:tcPr>
          <w:p>
            <w:pPr>
              <w:pStyle w:val="63"/>
              <w:snapToGrid w:val="0"/>
              <w:spacing w:line="240" w:lineRule="auto"/>
              <w:ind w:firstLine="0"/>
              <w:jc w:val="center"/>
              <w:rPr>
                <w:rFonts w:eastAsia="宋体"/>
                <w:color w:val="000000"/>
                <w:sz w:val="21"/>
                <w:szCs w:val="21"/>
              </w:rPr>
            </w:pPr>
            <w:r>
              <w:rPr>
                <w:rFonts w:hint="eastAsia" w:eastAsia="宋体" w:cs="宋体"/>
                <w:color w:val="000000"/>
                <w:sz w:val="21"/>
                <w:szCs w:val="21"/>
              </w:rPr>
              <w:t>万元地区生产总值用水量年下降率（相对</w:t>
            </w:r>
            <w:r>
              <w:rPr>
                <w:rFonts w:eastAsia="宋体"/>
                <w:color w:val="000000"/>
                <w:sz w:val="21"/>
                <w:szCs w:val="21"/>
              </w:rPr>
              <w:t>201</w:t>
            </w:r>
            <w:r>
              <w:rPr>
                <w:rFonts w:hint="eastAsia" w:eastAsia="宋体"/>
                <w:color w:val="000000"/>
                <w:sz w:val="21"/>
                <w:szCs w:val="21"/>
              </w:rPr>
              <w:t>9</w:t>
            </w:r>
            <w:r>
              <w:rPr>
                <w:rFonts w:hint="eastAsia" w:eastAsia="宋体" w:cs="宋体"/>
                <w:color w:val="000000"/>
                <w:sz w:val="21"/>
                <w:szCs w:val="21"/>
              </w:rPr>
              <w:t>年）</w:t>
            </w:r>
          </w:p>
        </w:tc>
        <w:tc>
          <w:tcPr>
            <w:tcW w:w="1272" w:type="dxa"/>
            <w:tcMar>
              <w:top w:w="72" w:type="dxa"/>
              <w:left w:w="144" w:type="dxa"/>
              <w:bottom w:w="72" w:type="dxa"/>
              <w:right w:w="144" w:type="dxa"/>
            </w:tcMar>
            <w:vAlign w:val="center"/>
          </w:tcPr>
          <w:p>
            <w:pPr>
              <w:pStyle w:val="63"/>
              <w:snapToGrid w:val="0"/>
              <w:spacing w:line="240" w:lineRule="auto"/>
              <w:ind w:firstLine="0"/>
              <w:jc w:val="center"/>
              <w:rPr>
                <w:rFonts w:eastAsia="宋体"/>
                <w:color w:val="000000"/>
                <w:sz w:val="21"/>
                <w:szCs w:val="21"/>
              </w:rPr>
            </w:pPr>
            <w:r>
              <w:rPr>
                <w:rFonts w:eastAsia="宋体"/>
                <w:color w:val="000000"/>
                <w:sz w:val="21"/>
                <w:szCs w:val="21"/>
              </w:rPr>
              <w:t>6.76%</w:t>
            </w:r>
          </w:p>
        </w:tc>
        <w:tc>
          <w:tcPr>
            <w:tcW w:w="1272" w:type="dxa"/>
            <w:tcMar>
              <w:top w:w="72" w:type="dxa"/>
              <w:left w:w="144" w:type="dxa"/>
              <w:bottom w:w="72" w:type="dxa"/>
              <w:right w:w="144" w:type="dxa"/>
            </w:tcMar>
            <w:vAlign w:val="center"/>
          </w:tcPr>
          <w:p>
            <w:pPr>
              <w:pStyle w:val="63"/>
              <w:snapToGrid w:val="0"/>
              <w:spacing w:line="240" w:lineRule="auto"/>
              <w:ind w:firstLine="0"/>
              <w:jc w:val="center"/>
              <w:rPr>
                <w:rFonts w:eastAsia="宋体"/>
                <w:color w:val="000000"/>
                <w:sz w:val="21"/>
                <w:szCs w:val="21"/>
              </w:rPr>
            </w:pPr>
            <w:r>
              <w:rPr>
                <w:rFonts w:hint="eastAsia" w:eastAsia="宋体"/>
                <w:color w:val="000000"/>
                <w:sz w:val="21"/>
                <w:szCs w:val="21"/>
              </w:rPr>
              <w:t>14.1</w:t>
            </w:r>
            <w:r>
              <w:rPr>
                <w:rFonts w:eastAsia="宋体"/>
                <w:color w:val="000000"/>
                <w:sz w:val="21"/>
                <w:szCs w:val="21"/>
              </w:rPr>
              <w:t>%</w:t>
            </w:r>
          </w:p>
        </w:tc>
        <w:tc>
          <w:tcPr>
            <w:tcW w:w="1430" w:type="dxa"/>
            <w:vAlign w:val="center"/>
          </w:tcPr>
          <w:p>
            <w:pPr>
              <w:pStyle w:val="63"/>
              <w:snapToGrid w:val="0"/>
              <w:spacing w:line="240" w:lineRule="auto"/>
              <w:ind w:firstLine="0"/>
              <w:jc w:val="center"/>
              <w:rPr>
                <w:rFonts w:eastAsia="宋体"/>
                <w:color w:val="000000"/>
                <w:sz w:val="21"/>
                <w:szCs w:val="21"/>
              </w:rPr>
            </w:pPr>
            <w:r>
              <w:rPr>
                <w:rFonts w:hint="eastAsia" w:eastAsia="宋体" w:cs="宋体"/>
                <w:color w:val="000000"/>
                <w:sz w:val="21"/>
                <w:szCs w:val="21"/>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40" w:hRule="atLeast"/>
          <w:jc w:val="center"/>
        </w:trPr>
        <w:tc>
          <w:tcPr>
            <w:tcW w:w="784" w:type="dxa"/>
            <w:tcMar>
              <w:top w:w="72" w:type="dxa"/>
              <w:left w:w="144" w:type="dxa"/>
              <w:bottom w:w="72" w:type="dxa"/>
              <w:right w:w="144" w:type="dxa"/>
            </w:tcMar>
            <w:vAlign w:val="center"/>
          </w:tcPr>
          <w:p>
            <w:pPr>
              <w:pStyle w:val="63"/>
              <w:snapToGrid w:val="0"/>
              <w:spacing w:line="240" w:lineRule="auto"/>
              <w:ind w:firstLine="0"/>
              <w:jc w:val="center"/>
              <w:rPr>
                <w:rFonts w:eastAsia="宋体"/>
                <w:b/>
                <w:bCs/>
                <w:color w:val="000000"/>
                <w:sz w:val="21"/>
                <w:szCs w:val="21"/>
              </w:rPr>
            </w:pPr>
            <w:r>
              <w:rPr>
                <w:rFonts w:hint="eastAsia" w:eastAsia="宋体"/>
                <w:b/>
                <w:bCs/>
                <w:color w:val="000000"/>
                <w:sz w:val="21"/>
                <w:szCs w:val="21"/>
              </w:rPr>
              <w:t>2</w:t>
            </w:r>
          </w:p>
        </w:tc>
        <w:tc>
          <w:tcPr>
            <w:tcW w:w="3453" w:type="dxa"/>
            <w:tcMar>
              <w:top w:w="72" w:type="dxa"/>
              <w:left w:w="144" w:type="dxa"/>
              <w:bottom w:w="72" w:type="dxa"/>
              <w:right w:w="144" w:type="dxa"/>
            </w:tcMar>
            <w:vAlign w:val="center"/>
          </w:tcPr>
          <w:p>
            <w:pPr>
              <w:pStyle w:val="63"/>
              <w:snapToGrid w:val="0"/>
              <w:spacing w:line="240" w:lineRule="auto"/>
              <w:ind w:firstLine="0"/>
              <w:jc w:val="center"/>
              <w:rPr>
                <w:rFonts w:eastAsia="宋体"/>
                <w:color w:val="000000"/>
                <w:sz w:val="21"/>
                <w:szCs w:val="21"/>
              </w:rPr>
            </w:pPr>
            <w:r>
              <w:rPr>
                <w:rFonts w:hint="eastAsia" w:eastAsia="宋体" w:cs="宋体"/>
                <w:color w:val="000000"/>
                <w:sz w:val="21"/>
                <w:szCs w:val="21"/>
              </w:rPr>
              <w:t>全区污水处理率</w:t>
            </w:r>
          </w:p>
        </w:tc>
        <w:tc>
          <w:tcPr>
            <w:tcW w:w="1272" w:type="dxa"/>
            <w:tcMar>
              <w:top w:w="72" w:type="dxa"/>
              <w:left w:w="144" w:type="dxa"/>
              <w:bottom w:w="72" w:type="dxa"/>
              <w:right w:w="144" w:type="dxa"/>
            </w:tcMar>
            <w:vAlign w:val="center"/>
          </w:tcPr>
          <w:p>
            <w:pPr>
              <w:pStyle w:val="63"/>
              <w:snapToGrid w:val="0"/>
              <w:spacing w:line="240" w:lineRule="auto"/>
              <w:ind w:firstLine="0"/>
              <w:jc w:val="center"/>
              <w:rPr>
                <w:rFonts w:eastAsia="宋体"/>
                <w:color w:val="000000"/>
                <w:sz w:val="21"/>
                <w:szCs w:val="21"/>
              </w:rPr>
            </w:pPr>
            <w:r>
              <w:rPr>
                <w:rFonts w:eastAsia="宋体"/>
                <w:color w:val="000000"/>
                <w:sz w:val="21"/>
                <w:szCs w:val="21"/>
              </w:rPr>
              <w:t>99.4%</w:t>
            </w:r>
          </w:p>
        </w:tc>
        <w:tc>
          <w:tcPr>
            <w:tcW w:w="1272" w:type="dxa"/>
            <w:tcMar>
              <w:top w:w="72" w:type="dxa"/>
              <w:left w:w="144" w:type="dxa"/>
              <w:bottom w:w="72" w:type="dxa"/>
              <w:right w:w="144" w:type="dxa"/>
            </w:tcMar>
            <w:vAlign w:val="center"/>
          </w:tcPr>
          <w:p>
            <w:pPr>
              <w:pStyle w:val="63"/>
              <w:snapToGrid w:val="0"/>
              <w:spacing w:line="240" w:lineRule="auto"/>
              <w:ind w:firstLine="0"/>
              <w:jc w:val="center"/>
              <w:rPr>
                <w:rFonts w:eastAsia="宋体"/>
                <w:color w:val="000000"/>
                <w:sz w:val="21"/>
                <w:szCs w:val="21"/>
              </w:rPr>
            </w:pPr>
            <w:r>
              <w:rPr>
                <w:rFonts w:eastAsia="宋体"/>
                <w:color w:val="000000"/>
                <w:sz w:val="21"/>
                <w:szCs w:val="21"/>
              </w:rPr>
              <w:t>99.7%</w:t>
            </w:r>
          </w:p>
        </w:tc>
        <w:tc>
          <w:tcPr>
            <w:tcW w:w="1430" w:type="dxa"/>
            <w:vAlign w:val="center"/>
          </w:tcPr>
          <w:p>
            <w:pPr>
              <w:pStyle w:val="63"/>
              <w:snapToGrid w:val="0"/>
              <w:spacing w:line="240" w:lineRule="auto"/>
              <w:ind w:firstLine="0"/>
              <w:jc w:val="center"/>
              <w:rPr>
                <w:rFonts w:eastAsia="宋体"/>
                <w:color w:val="000000"/>
                <w:sz w:val="21"/>
                <w:szCs w:val="21"/>
              </w:rPr>
            </w:pPr>
            <w:r>
              <w:rPr>
                <w:rFonts w:hint="eastAsia" w:eastAsia="宋体" w:cs="宋体"/>
                <w:color w:val="000000"/>
                <w:sz w:val="21"/>
                <w:szCs w:val="21"/>
              </w:rPr>
              <w:t>约束性</w:t>
            </w:r>
          </w:p>
        </w:tc>
      </w:tr>
      <w:bookmarkEnd w:id="53"/>
      <w:bookmarkEnd w:id="54"/>
    </w:tbl>
    <w:p>
      <w:pPr>
        <w:pStyle w:val="61"/>
        <w:pageBreakBefore/>
        <w:spacing w:beforeLines="0" w:afterLines="0" w:line="600" w:lineRule="exact"/>
        <w:ind w:firstLine="640" w:firstLineChars="200"/>
        <w:rPr>
          <w:rFonts w:ascii="Times New Roman" w:hAnsi="Times New Roman" w:cs="Times New Roman"/>
          <w:sz w:val="32"/>
          <w:szCs w:val="32"/>
        </w:rPr>
      </w:pPr>
      <w:bookmarkStart w:id="55" w:name="_Toc42172329"/>
      <w:bookmarkStart w:id="56" w:name="_Toc49608165"/>
      <w:bookmarkStart w:id="57" w:name="_Toc97729947"/>
      <w:r>
        <w:rPr>
          <w:rFonts w:hint="eastAsia" w:ascii="Times New Roman" w:hAnsi="Times New Roman" w:cs="黑体"/>
          <w:sz w:val="32"/>
          <w:szCs w:val="32"/>
        </w:rPr>
        <w:t>四、“十四五”时期主要任务</w:t>
      </w:r>
      <w:bookmarkEnd w:id="55"/>
      <w:bookmarkEnd w:id="56"/>
      <w:bookmarkEnd w:id="57"/>
    </w:p>
    <w:p>
      <w:pPr>
        <w:pStyle w:val="62"/>
        <w:spacing w:beforeLines="0" w:line="600" w:lineRule="exact"/>
        <w:ind w:firstLine="640"/>
        <w:outlineLvl w:val="1"/>
        <w:rPr>
          <w:rFonts w:eastAsia="楷体_GB2312" w:cs="楷体_GB2312"/>
          <w:b w:val="0"/>
          <w:bCs w:val="0"/>
        </w:rPr>
      </w:pPr>
      <w:bookmarkStart w:id="58" w:name="_Toc72328778"/>
      <w:bookmarkStart w:id="59" w:name="_Toc97729948"/>
      <w:r>
        <w:rPr>
          <w:rFonts w:hint="eastAsia" w:eastAsia="楷体_GB2312" w:cs="楷体_GB2312"/>
          <w:b w:val="0"/>
          <w:bCs w:val="0"/>
        </w:rPr>
        <w:t>（一）</w:t>
      </w:r>
      <w:bookmarkEnd w:id="58"/>
      <w:r>
        <w:rPr>
          <w:rFonts w:hint="eastAsia" w:eastAsia="楷体_GB2312" w:cs="楷体_GB2312"/>
          <w:b w:val="0"/>
          <w:bCs w:val="0"/>
        </w:rPr>
        <w:t>综合治理，提升城市韧性</w:t>
      </w:r>
      <w:bookmarkEnd w:id="59"/>
    </w:p>
    <w:p>
      <w:pPr>
        <w:pStyle w:val="39"/>
        <w:spacing w:line="600" w:lineRule="exact"/>
        <w:ind w:firstLine="640"/>
        <w:rPr>
          <w:rFonts w:eastAsia="仿宋_GB2312"/>
        </w:rPr>
      </w:pPr>
      <w:r>
        <w:rPr>
          <w:rFonts w:hint="eastAsia" w:eastAsia="仿宋_GB2312" w:cs="仿宋_GB2312"/>
        </w:rPr>
        <w:t>加快建设城乡防洪除涝和溢流污染控制体系，完善城乡防洪排涝基础设施，减轻区域防洪压力，基本解决内涝积水和雨季污染等问题，为进一步解决面源污染和海绵城市建设打下坚实基础。</w:t>
      </w:r>
    </w:p>
    <w:p>
      <w:pPr>
        <w:pStyle w:val="62"/>
        <w:spacing w:beforeLines="0" w:line="600" w:lineRule="exact"/>
        <w:ind w:firstLine="643"/>
        <w:rPr>
          <w:rFonts w:eastAsia="仿宋_GB2312"/>
        </w:rPr>
      </w:pPr>
      <w:r>
        <w:rPr>
          <w:rFonts w:eastAsia="仿宋_GB2312"/>
        </w:rPr>
        <w:t>1</w:t>
      </w:r>
      <w:r>
        <w:rPr>
          <w:rFonts w:hint="eastAsia" w:eastAsia="仿宋_GB2312" w:cs="仿宋_GB2312"/>
        </w:rPr>
        <w:t>．提升洪涝灾害防御能力，保障城市运行安全</w:t>
      </w:r>
    </w:p>
    <w:p>
      <w:pPr>
        <w:pStyle w:val="39"/>
        <w:spacing w:line="600" w:lineRule="exact"/>
        <w:ind w:firstLine="640"/>
        <w:rPr>
          <w:rFonts w:eastAsia="仿宋_GB2312"/>
        </w:rPr>
      </w:pPr>
      <w:r>
        <w:rPr>
          <w:rFonts w:hint="eastAsia" w:eastAsia="仿宋_GB2312" w:cs="仿宋_GB2312"/>
        </w:rPr>
        <w:t>加强城市内涝治理，完善以雨水管线、排涝河道和蓄涝区为主体的雨水排除和承纳体系。进一步提高雨水收集、输送和抽排能力，持续推进雨箅子“平立结合”改造、更换旋流井盖等措施。进一步提高区域排水能力，采取综合措施治理积水内涝问题，动态管理全区积水点台账。</w:t>
      </w:r>
    </w:p>
    <w:p>
      <w:pPr>
        <w:pStyle w:val="39"/>
        <w:spacing w:line="600" w:lineRule="exact"/>
        <w:ind w:firstLine="640"/>
        <w:rPr>
          <w:rFonts w:eastAsia="仿宋_GB2312"/>
        </w:rPr>
      </w:pPr>
      <w:r>
        <w:rPr>
          <w:rFonts w:hint="eastAsia" w:eastAsia="仿宋_GB2312" w:cs="仿宋_GB2312"/>
        </w:rPr>
        <w:t>提升防洪减灾能力，完善骨干中小河道治理、蓄滞洪区建设和闸坝消隐改造。</w:t>
      </w:r>
      <w:r>
        <w:rPr>
          <w:rFonts w:hint="eastAsia" w:eastAsia="仿宋_GB2312" w:cs="仿宋_GB2312"/>
          <w:snapToGrid w:val="0"/>
        </w:rPr>
        <w:t>持续推进河道综合治理，织密河道安全网，完善城乡水系基础设施，使河道生态环境与周边区域发展相适应，全面提升朝阳区生态建设水平和防洪能力。</w:t>
      </w:r>
    </w:p>
    <w:p>
      <w:pPr>
        <w:pStyle w:val="39"/>
        <w:spacing w:line="600" w:lineRule="exact"/>
        <w:ind w:firstLine="640"/>
        <w:rPr>
          <w:rFonts w:eastAsia="仿宋_GB2312"/>
          <w:snapToGrid w:val="0"/>
          <w:lang w:val="en-US"/>
        </w:rPr>
      </w:pPr>
      <w:r>
        <w:rPr>
          <w:rFonts w:hint="eastAsia" w:eastAsia="仿宋_GB2312" w:cs="仿宋_GB2312"/>
          <w:snapToGrid w:val="0"/>
          <w:lang w:val="en-US"/>
        </w:rPr>
        <w:t>逐步完善洪涝灾害防御体系，落实洪涝灾害防御非工程措施，提高综合管控能力。加强对排水设施及海绵设施的运行维护和管理，制度化巩固推进“清管”行动成果。完善排水基层治理体系，结合河长制工作，完善水务专员进街道、进社区行动，开展雨箅子门前双包试点，建立高效快速的积水处置体系。建立责任明确、统一管理的专业化养护队伍，通过装备配置、人员培训、应急演练等措施提升养护能力和水平。</w:t>
      </w:r>
    </w:p>
    <w:p>
      <w:pPr>
        <w:pStyle w:val="62"/>
        <w:spacing w:beforeLines="0" w:line="600" w:lineRule="exact"/>
        <w:ind w:firstLine="643"/>
        <w:rPr>
          <w:rFonts w:eastAsia="仿宋_GB2312"/>
        </w:rPr>
      </w:pPr>
      <w:r>
        <w:rPr>
          <w:rFonts w:eastAsia="仿宋_GB2312"/>
        </w:rPr>
        <w:t>2</w:t>
      </w:r>
      <w:r>
        <w:rPr>
          <w:rFonts w:hint="eastAsia" w:eastAsia="仿宋_GB2312" w:cs="仿宋_GB2312"/>
        </w:rPr>
        <w:t>．统筹推动海绵城市建设，共建生态友好型城市</w:t>
      </w:r>
    </w:p>
    <w:p>
      <w:pPr>
        <w:pStyle w:val="39"/>
        <w:spacing w:line="600" w:lineRule="exact"/>
        <w:ind w:firstLine="640"/>
        <w:rPr>
          <w:rFonts w:eastAsia="仿宋_GB2312"/>
          <w:lang w:val="en-US"/>
        </w:rPr>
      </w:pPr>
      <w:r>
        <w:rPr>
          <w:rFonts w:hint="eastAsia" w:eastAsia="仿宋_GB2312" w:cs="仿宋_GB2312"/>
          <w:lang w:val="en-US"/>
        </w:rPr>
        <w:t>在城市建设和更新中，恢复并增加水空间，扩展城市及周边自然调蓄空间，按照有关标准和规划开展蓄滞洪空间和保障城市安全工程建设。恢复和保持城市及周边河湖水系的自然连通和流动性。严格保护河湖、湿地等自然调蓄空间，不得随意侵占河湖水域。</w:t>
      </w:r>
    </w:p>
    <w:p>
      <w:pPr>
        <w:pStyle w:val="39"/>
        <w:spacing w:line="600" w:lineRule="exact"/>
        <w:ind w:firstLine="640"/>
        <w:rPr>
          <w:rFonts w:eastAsia="仿宋_GB2312"/>
          <w:lang w:val="en-US"/>
        </w:rPr>
      </w:pPr>
      <w:r>
        <w:rPr>
          <w:rFonts w:hint="eastAsia" w:eastAsia="仿宋_GB2312" w:cs="仿宋_GB2312"/>
          <w:lang w:val="en-US"/>
        </w:rPr>
        <w:t>实施海绵城市建设分区管理策略，严格实施城市规划，在用地审批、土地出让、开发建设等阶段，明确排水防涝、调蓄设施等用地范围，落实地块雨水径流管控和竖向管控要求。</w:t>
      </w:r>
    </w:p>
    <w:p>
      <w:pPr>
        <w:pStyle w:val="39"/>
        <w:spacing w:line="600" w:lineRule="exact"/>
        <w:ind w:firstLine="640"/>
        <w:rPr>
          <w:rFonts w:eastAsia="仿宋_GB2312"/>
          <w:lang w:val="en-US"/>
        </w:rPr>
      </w:pPr>
      <w:r>
        <w:rPr>
          <w:rFonts w:hint="eastAsia" w:eastAsia="仿宋_GB2312" w:cs="仿宋_GB2312"/>
          <w:lang w:val="en-US"/>
        </w:rPr>
        <w:t>推动建设海绵道路、海绵公园、海绵社区等城市海绵示范项目。配合市级部门修订城市道路绿化带及公园绿地建设标准，使新建道路绿地具备雨水蓄滞和消纳功能。对现有高出路面的绿地，结合道路大修、绿地更新等改造，逐步达到新标准要求。到</w:t>
      </w:r>
      <w:r>
        <w:rPr>
          <w:rFonts w:eastAsia="仿宋_GB2312"/>
          <w:lang w:val="en-US"/>
        </w:rPr>
        <w:t>2025</w:t>
      </w:r>
      <w:r>
        <w:rPr>
          <w:rFonts w:hint="eastAsia" w:eastAsia="仿宋_GB2312" w:cs="仿宋_GB2312"/>
          <w:lang w:val="en-US"/>
        </w:rPr>
        <w:t>年实现建成区海绵城市达标比例不低于</w:t>
      </w:r>
      <w:r>
        <w:rPr>
          <w:rFonts w:eastAsia="仿宋_GB2312"/>
          <w:lang w:val="en-US"/>
        </w:rPr>
        <w:t>50%</w:t>
      </w:r>
      <w:r>
        <w:rPr>
          <w:rFonts w:hint="eastAsia" w:eastAsia="仿宋_GB2312" w:cs="仿宋_GB2312"/>
          <w:lang w:val="en-US"/>
        </w:rPr>
        <w:t>。</w:t>
      </w:r>
    </w:p>
    <w:p>
      <w:pPr>
        <w:pStyle w:val="62"/>
        <w:spacing w:beforeLines="0" w:line="600" w:lineRule="exact"/>
        <w:ind w:firstLine="640"/>
        <w:outlineLvl w:val="1"/>
        <w:rPr>
          <w:rFonts w:eastAsia="楷体_GB2312" w:cs="楷体_GB2312"/>
          <w:b w:val="0"/>
          <w:bCs w:val="0"/>
        </w:rPr>
      </w:pPr>
      <w:bookmarkStart w:id="60" w:name="_Toc72328779"/>
      <w:bookmarkStart w:id="61" w:name="_Toc97729949"/>
      <w:r>
        <w:rPr>
          <w:rFonts w:hint="eastAsia" w:eastAsia="楷体_GB2312" w:cs="楷体_GB2312"/>
          <w:b w:val="0"/>
          <w:bCs w:val="0"/>
        </w:rPr>
        <w:t>（二）</w:t>
      </w:r>
      <w:bookmarkEnd w:id="60"/>
      <w:r>
        <w:rPr>
          <w:rFonts w:hint="eastAsia" w:eastAsia="楷体_GB2312" w:cs="楷体_GB2312"/>
          <w:b w:val="0"/>
          <w:bCs w:val="0"/>
        </w:rPr>
        <w:t>节水优先，助力区域高质量发展</w:t>
      </w:r>
      <w:bookmarkEnd w:id="61"/>
    </w:p>
    <w:p>
      <w:pPr>
        <w:pStyle w:val="39"/>
        <w:spacing w:line="600" w:lineRule="exact"/>
        <w:ind w:firstLine="640"/>
        <w:outlineLvl w:val="2"/>
        <w:rPr>
          <w:rFonts w:eastAsia="仿宋_GB2312"/>
        </w:rPr>
      </w:pPr>
      <w:r>
        <w:rPr>
          <w:rFonts w:hint="eastAsia" w:eastAsia="仿宋_GB2312" w:cs="仿宋_GB2312"/>
        </w:rPr>
        <w:t>以用水总量和用水效率双控为指挥棒，将用水总量作为约束性指标纳入政府绩效考核。以实施《北京市节水行动实施方案》为抓手，加快从设施节水向管理节水转变。构建适合区情的节水管理体制，实施分级分类管理，实现精准节水，严格重点行业用水监控管理，促进生产和生活全方位节水。</w:t>
      </w:r>
    </w:p>
    <w:p>
      <w:pPr>
        <w:pStyle w:val="39"/>
        <w:spacing w:line="600" w:lineRule="exact"/>
        <w:ind w:firstLine="643"/>
        <w:outlineLvl w:val="2"/>
        <w:rPr>
          <w:rFonts w:eastAsia="仿宋_GB2312"/>
          <w:b/>
          <w:bCs/>
        </w:rPr>
      </w:pPr>
      <w:r>
        <w:rPr>
          <w:rFonts w:eastAsia="仿宋_GB2312"/>
          <w:b/>
          <w:bCs/>
        </w:rPr>
        <w:t>1</w:t>
      </w:r>
      <w:r>
        <w:rPr>
          <w:rFonts w:hint="eastAsia" w:eastAsia="仿宋_GB2312" w:cs="仿宋_GB2312"/>
          <w:b/>
          <w:bCs/>
        </w:rPr>
        <w:t>．深化体制机制建设，完善管控制度体系</w:t>
      </w:r>
    </w:p>
    <w:p>
      <w:pPr>
        <w:pStyle w:val="39"/>
        <w:spacing w:line="600" w:lineRule="exact"/>
        <w:ind w:firstLine="640"/>
        <w:rPr>
          <w:rFonts w:eastAsia="仿宋_GB2312"/>
        </w:rPr>
      </w:pPr>
      <w:r>
        <w:rPr>
          <w:rFonts w:hint="eastAsia" w:eastAsia="仿宋_GB2312" w:cs="仿宋_GB2312"/>
        </w:rPr>
        <w:t>建立用水总量刚性约束体系，健全区、乡两级用水总量、用水强度控制指标体系，明确节水主体责任。压实全过程管理责任，强化数据共享，实现行业管理部门、属地政府、供水单位、用水户数据统一。实施用水全过程分级分类管理，建立行业管理部门、属地政府、社区（村）三级管理体系，街乡落实辖区用水单位“四到位”责任。</w:t>
      </w:r>
    </w:p>
    <w:p>
      <w:pPr>
        <w:pStyle w:val="39"/>
        <w:spacing w:line="600" w:lineRule="exact"/>
        <w:ind w:firstLine="640"/>
        <w:outlineLvl w:val="2"/>
        <w:rPr>
          <w:rFonts w:eastAsia="仿宋_GB2312"/>
          <w:b/>
          <w:bCs/>
        </w:rPr>
      </w:pPr>
      <w:r>
        <w:rPr>
          <w:rFonts w:eastAsia="仿宋_GB2312"/>
        </w:rPr>
        <w:t>2</w:t>
      </w:r>
      <w:r>
        <w:rPr>
          <w:rFonts w:hint="eastAsia" w:eastAsia="仿宋_GB2312" w:cs="仿宋_GB2312"/>
        </w:rPr>
        <w:t>．</w:t>
      </w:r>
      <w:r>
        <w:rPr>
          <w:rFonts w:hint="eastAsia" w:eastAsia="仿宋_GB2312" w:cs="仿宋_GB2312"/>
          <w:b/>
          <w:bCs/>
        </w:rPr>
        <w:t>分级分类突出重点，强化各行业节水管理</w:t>
      </w:r>
    </w:p>
    <w:p>
      <w:pPr>
        <w:pStyle w:val="39"/>
        <w:spacing w:line="600" w:lineRule="exact"/>
        <w:ind w:firstLine="640"/>
        <w:rPr>
          <w:rFonts w:eastAsia="仿宋_GB2312"/>
        </w:rPr>
      </w:pPr>
      <w:r>
        <w:rPr>
          <w:rFonts w:hint="eastAsia" w:eastAsia="仿宋_GB2312" w:cs="仿宋_GB2312"/>
        </w:rPr>
        <w:t>实施差别化行业用水管理，加强计划用水和定额管理。实施园林绿化用水控量行动，推进园林绿化节水。因地制宜建设微灌、喷灌等高效节水灌溉设施，加大非常规水利用。实施公共服务用水提效行动，严格高耗水服务业用水管理，提高公共服务领域用水效率，推动公共服务机构开展水平衡测试等节水诊断，推广应用节水新技术、新工艺和新产品，加大特种行业用水监管，在非居民用水户管理“四到位”基础上，做到“三必须”。实施农业用水转型升级行动，推进农业节水技术改造，强化农业机井管理，严格机井数量管控及计量管理，推广畜牧渔业节水方式，实施规模养殖场节水改造，推行先进适用的节水型畜禽养殖方式。实施工业减排行动，加大用水产业结构调整，优化产业布局，腾退高耗水行业存量，引进低耗能、高产值的产业项目，推进工业节水改造和水循环梯次利用，加快现有企业和园区绿色高质量转型升级和循环化改造，实现一水多用和循环利用，实现节水标杆园区创建。实施建筑水效提升行动，聚焦建筑工地施工降水管理，强化工地用水管理，建立住房城乡建设、水务部门联合执法检查机制，对施工现场存在水资源浪费行为，依法处罚并督促整改。</w:t>
      </w:r>
    </w:p>
    <w:p>
      <w:pPr>
        <w:pStyle w:val="39"/>
        <w:spacing w:line="600" w:lineRule="exact"/>
        <w:ind w:firstLine="640"/>
        <w:outlineLvl w:val="2"/>
        <w:rPr>
          <w:rFonts w:eastAsia="仿宋_GB2312"/>
          <w:b/>
          <w:bCs/>
        </w:rPr>
      </w:pPr>
      <w:r>
        <w:rPr>
          <w:rFonts w:eastAsia="仿宋_GB2312"/>
        </w:rPr>
        <w:t>3</w:t>
      </w:r>
      <w:r>
        <w:rPr>
          <w:rFonts w:hint="eastAsia" w:eastAsia="仿宋_GB2312" w:cs="仿宋_GB2312"/>
        </w:rPr>
        <w:t>．</w:t>
      </w:r>
      <w:r>
        <w:rPr>
          <w:rFonts w:hint="eastAsia" w:eastAsia="仿宋_GB2312" w:cs="仿宋_GB2312"/>
          <w:b/>
          <w:bCs/>
        </w:rPr>
        <w:t>强化非常规水挖潜，推进节水型社会建设</w:t>
      </w:r>
    </w:p>
    <w:p>
      <w:pPr>
        <w:pStyle w:val="39"/>
        <w:spacing w:line="600" w:lineRule="exact"/>
        <w:ind w:firstLine="640"/>
        <w:rPr>
          <w:rFonts w:eastAsia="仿宋_GB2312"/>
        </w:rPr>
      </w:pPr>
      <w:r>
        <w:rPr>
          <w:rFonts w:hint="eastAsia" w:eastAsia="仿宋_GB2312" w:cs="仿宋_GB2312"/>
        </w:rPr>
        <w:t>强化非常规水挖潜，加强再生水、雨水等非常规水多元、梯级和安全利用。以工业、河湖环境、道路浇洒、集中绿地、郊野公园浇洒等用水大户为重点，加大再生水的一水多用和循环利用，提高再生水利用比例。推动节水技术创新，瞄准世界先进技术，探索节水新产品、新技术、新材料。强化节水器具源头监管，鼓励使用高效节水器具，优先推广使用生产厂家具备废水循环利用的生活器具。</w:t>
      </w:r>
    </w:p>
    <w:p>
      <w:pPr>
        <w:pStyle w:val="39"/>
        <w:spacing w:line="600" w:lineRule="exact"/>
        <w:ind w:firstLine="640"/>
        <w:rPr>
          <w:rFonts w:eastAsia="仿宋_GB2312"/>
        </w:rPr>
      </w:pPr>
      <w:r>
        <w:rPr>
          <w:rFonts w:hint="eastAsia" w:eastAsia="仿宋_GB2312" w:cs="仿宋_GB2312"/>
        </w:rPr>
        <w:t>强化居民用水管理，以财政补贴的方式推进居民家庭节水器具换装。创新校园综合节水模式，开展节水型校园建设，逐步在全区校园内更换高效节水器具。完成节水型水务机关建设，打造一批节水型机关、医院、学校、宾馆饭店、居民小区、社区（村）等节水标杆，探索可向全区复制推广的节水单位建设模式，示范带动全社会节约用水。</w:t>
      </w:r>
    </w:p>
    <w:p>
      <w:pPr>
        <w:pStyle w:val="62"/>
        <w:spacing w:beforeLines="0" w:line="600" w:lineRule="exact"/>
        <w:ind w:firstLine="640"/>
        <w:outlineLvl w:val="1"/>
        <w:rPr>
          <w:rFonts w:eastAsia="楷体_GB2312" w:cs="楷体_GB2312"/>
          <w:b w:val="0"/>
          <w:bCs w:val="0"/>
        </w:rPr>
      </w:pPr>
      <w:bookmarkStart w:id="62" w:name="_Toc97729950"/>
      <w:r>
        <w:rPr>
          <w:rFonts w:hint="eastAsia" w:eastAsia="楷体_GB2312" w:cs="楷体_GB2312"/>
          <w:b w:val="0"/>
          <w:bCs w:val="0"/>
        </w:rPr>
        <w:t>（三）压采涵养，完善城乡一体化供水体系</w:t>
      </w:r>
      <w:bookmarkEnd w:id="62"/>
    </w:p>
    <w:p>
      <w:pPr>
        <w:snapToGrid w:val="0"/>
        <w:spacing w:line="600" w:lineRule="exact"/>
        <w:ind w:firstLine="640" w:firstLineChars="200"/>
        <w:rPr>
          <w:rFonts w:ascii="Times New Roman"/>
          <w:szCs w:val="32"/>
          <w:lang w:val="zh-CN"/>
        </w:rPr>
      </w:pPr>
      <w:r>
        <w:rPr>
          <w:rFonts w:hint="eastAsia" w:ascii="Times New Roman" w:cs="仿宋_GB2312"/>
          <w:szCs w:val="32"/>
          <w:lang w:val="zh-CN"/>
        </w:rPr>
        <w:t>配合实施市政供水管线建设，加快推进管网覆盖地区和农村地区的自备井置换工作，推进落实农村供水计量全收费。严格规范地下水管理，持续推进机井封填。落实地下水超采区综合治理，重点推进“控、调、换、节、疏、管”治理任务，实现地下水开采量只减不增，一般超采区地下水开采量稳中有降。</w:t>
      </w:r>
    </w:p>
    <w:p>
      <w:pPr>
        <w:snapToGrid w:val="0"/>
        <w:spacing w:line="600" w:lineRule="exact"/>
        <w:ind w:firstLine="643" w:firstLineChars="200"/>
        <w:rPr>
          <w:rFonts w:ascii="Times New Roman"/>
          <w:b/>
          <w:bCs/>
          <w:szCs w:val="32"/>
        </w:rPr>
      </w:pPr>
      <w:r>
        <w:rPr>
          <w:rFonts w:ascii="Times New Roman" w:cs="仿宋_GB2312"/>
          <w:b/>
          <w:bCs/>
          <w:szCs w:val="32"/>
        </w:rPr>
        <w:t>1</w:t>
      </w:r>
      <w:r>
        <w:rPr>
          <w:rFonts w:hint="eastAsia" w:ascii="Times New Roman" w:cs="仿宋_GB2312"/>
          <w:b/>
          <w:bCs/>
          <w:szCs w:val="32"/>
        </w:rPr>
        <w:t>．基本完成自备井置换，提供优质生活供水保障</w:t>
      </w:r>
    </w:p>
    <w:p>
      <w:pPr>
        <w:pStyle w:val="39"/>
        <w:spacing w:line="600" w:lineRule="exact"/>
        <w:ind w:firstLine="640"/>
        <w:rPr>
          <w:rFonts w:eastAsia="仿宋_GB2312"/>
          <w:color w:val="000000"/>
          <w:highlight w:val="yellow"/>
        </w:rPr>
      </w:pPr>
      <w:r>
        <w:rPr>
          <w:rFonts w:hint="eastAsia" w:eastAsia="仿宋_GB2312" w:cs="仿宋_GB2312"/>
          <w:color w:val="000000"/>
        </w:rPr>
        <w:t>继续推进朝阳区域内居民小区自备井置换工作，结合市政公共供水管网覆盖范围及建设计划，制定年度实施计划，分批实施，为城乡居民提供更加安全、优质的生活供水保障。</w:t>
      </w:r>
    </w:p>
    <w:p>
      <w:pPr>
        <w:pStyle w:val="62"/>
        <w:spacing w:beforeLines="0" w:line="600" w:lineRule="exact"/>
        <w:ind w:firstLine="643"/>
        <w:rPr>
          <w:rFonts w:eastAsia="仿宋_GB2312"/>
        </w:rPr>
      </w:pPr>
      <w:r>
        <w:rPr>
          <w:rFonts w:eastAsia="仿宋_GB2312"/>
        </w:rPr>
        <w:t>2</w:t>
      </w:r>
      <w:r>
        <w:rPr>
          <w:rFonts w:hint="eastAsia" w:eastAsia="仿宋_GB2312" w:cs="仿宋_GB2312"/>
        </w:rPr>
        <w:t>．完善取水监管体系，严格规范地下水管理</w:t>
      </w:r>
    </w:p>
    <w:p>
      <w:pPr>
        <w:pStyle w:val="62"/>
        <w:spacing w:beforeLines="0" w:line="600" w:lineRule="exact"/>
        <w:ind w:firstLine="640"/>
        <w:outlineLvl w:val="9"/>
        <w:rPr>
          <w:rFonts w:eastAsia="仿宋_GB2312" w:cs="仿宋_GB2312"/>
          <w:b w:val="0"/>
          <w:bCs w:val="0"/>
          <w:color w:val="000000"/>
          <w:szCs w:val="28"/>
          <w:lang w:val="zh-CN"/>
        </w:rPr>
      </w:pPr>
      <w:bookmarkStart w:id="63" w:name="_Toc72328781"/>
      <w:r>
        <w:rPr>
          <w:rFonts w:hint="eastAsia" w:eastAsia="仿宋_GB2312" w:cs="仿宋_GB2312"/>
          <w:b w:val="0"/>
          <w:bCs w:val="0"/>
          <w:color w:val="000000"/>
          <w:szCs w:val="28"/>
          <w:lang w:val="zh-CN"/>
        </w:rPr>
        <w:t>建立完善地下水管控机制，在机井核查工作基础上，配合市水务局建立取水口管理台账和动态管理机制，完善机井档案。依法规范健全地下水取用水户计量与监控，努力实现全区开采地下水的机井全计量、全分析、全监管。持续推进置换后机井封填工作，全区取水机井控制在一定数额以内均衡布置。推进农村供水工程计量收费。</w:t>
      </w:r>
    </w:p>
    <w:p>
      <w:pPr>
        <w:pStyle w:val="62"/>
        <w:spacing w:beforeLines="0" w:line="600" w:lineRule="exact"/>
        <w:ind w:firstLine="640"/>
        <w:outlineLvl w:val="1"/>
        <w:rPr>
          <w:rFonts w:eastAsia="楷体_GB2312" w:cs="楷体_GB2312"/>
          <w:b w:val="0"/>
          <w:bCs w:val="0"/>
        </w:rPr>
      </w:pPr>
      <w:bookmarkStart w:id="64" w:name="_Toc97729951"/>
      <w:r>
        <w:rPr>
          <w:rFonts w:hint="eastAsia" w:eastAsia="楷体_GB2312" w:cs="楷体_GB2312"/>
          <w:b w:val="0"/>
          <w:bCs w:val="0"/>
        </w:rPr>
        <w:t>（四）溯源治污，全面提高水环境质量</w:t>
      </w:r>
      <w:bookmarkEnd w:id="64"/>
    </w:p>
    <w:p>
      <w:pPr>
        <w:pStyle w:val="39"/>
        <w:spacing w:line="600" w:lineRule="exact"/>
        <w:ind w:firstLine="640"/>
        <w:rPr>
          <w:rFonts w:eastAsia="仿宋_GB2312"/>
        </w:rPr>
      </w:pPr>
      <w:r>
        <w:rPr>
          <w:rFonts w:hint="eastAsia" w:eastAsia="仿宋_GB2312" w:cs="仿宋_GB2312"/>
        </w:rPr>
        <w:t>以溯源治污、溢流污染治理为重点，坚持“水岸齐抓、标本兼治、治管并举”，污水治理向岸上、向纵深推进，持续改善区域水环境质量。</w:t>
      </w:r>
    </w:p>
    <w:p>
      <w:pPr>
        <w:pStyle w:val="62"/>
        <w:spacing w:beforeLines="0" w:line="600" w:lineRule="exact"/>
        <w:ind w:firstLine="643"/>
        <w:rPr>
          <w:rFonts w:eastAsia="仿宋_GB2312"/>
        </w:rPr>
      </w:pPr>
      <w:r>
        <w:rPr>
          <w:rFonts w:eastAsia="仿宋_GB2312"/>
        </w:rPr>
        <w:t>1</w:t>
      </w:r>
      <w:r>
        <w:rPr>
          <w:rFonts w:hint="eastAsia" w:eastAsia="仿宋_GB2312" w:cs="仿宋_GB2312"/>
        </w:rPr>
        <w:t>．深入推进溯源治污，逐步推进雨污分流</w:t>
      </w:r>
    </w:p>
    <w:p>
      <w:pPr>
        <w:pStyle w:val="39"/>
        <w:spacing w:line="600" w:lineRule="exact"/>
        <w:ind w:firstLine="640"/>
        <w:rPr>
          <w:rFonts w:eastAsia="仿宋_GB2312"/>
        </w:rPr>
      </w:pPr>
      <w:r>
        <w:rPr>
          <w:rFonts w:hint="eastAsia" w:eastAsia="仿宋_GB2312" w:cs="仿宋_GB2312"/>
        </w:rPr>
        <w:t>全面系统梳理全域地毯式摸排结果，深入推进溯源治污，加快推进雨污分流治理。区水务局、区生态环境局、属地街乡及排水集团多方协作，从区域和行业两方面入手，条块结合，研究推进雨污分流工作。加强用水单元的排水管理，动态治理雨污混接错接，及时督促问题整改，实现源头治污、精准治污。</w:t>
      </w:r>
    </w:p>
    <w:p>
      <w:pPr>
        <w:pStyle w:val="62"/>
        <w:spacing w:beforeLines="0" w:line="600" w:lineRule="exact"/>
        <w:ind w:firstLine="643"/>
        <w:rPr>
          <w:rFonts w:eastAsia="仿宋_GB2312"/>
        </w:rPr>
      </w:pPr>
      <w:r>
        <w:rPr>
          <w:rFonts w:eastAsia="仿宋_GB2312"/>
        </w:rPr>
        <w:t>2</w:t>
      </w:r>
      <w:r>
        <w:rPr>
          <w:rFonts w:hint="eastAsia" w:eastAsia="仿宋_GB2312" w:cs="仿宋_GB2312"/>
        </w:rPr>
        <w:t>．配合推进污水收集处理设施建设，进一步提高污水处理能力</w:t>
      </w:r>
    </w:p>
    <w:p>
      <w:pPr>
        <w:pStyle w:val="39"/>
        <w:spacing w:line="600" w:lineRule="exact"/>
        <w:ind w:firstLine="640"/>
        <w:rPr>
          <w:rFonts w:eastAsia="仿宋_GB2312"/>
        </w:rPr>
      </w:pPr>
      <w:r>
        <w:rPr>
          <w:rFonts w:hint="eastAsia" w:eastAsia="仿宋_GB2312" w:cs="仿宋_GB2312"/>
        </w:rPr>
        <w:t>配合排水集团进一步完善区域污水管网建设，实现全区污水处理率达到</w:t>
      </w:r>
      <w:r>
        <w:rPr>
          <w:rFonts w:eastAsia="仿宋_GB2312"/>
        </w:rPr>
        <w:t>99.7%</w:t>
      </w:r>
      <w:r>
        <w:rPr>
          <w:rFonts w:hint="eastAsia" w:eastAsia="仿宋_GB2312" w:cs="仿宋_GB2312"/>
        </w:rPr>
        <w:t>目标。配合市排水集团开展初期雨水、合流制溢流污水调蓄设施规划研究，减少对下游河道的污染。</w:t>
      </w:r>
    </w:p>
    <w:p>
      <w:pPr>
        <w:pStyle w:val="62"/>
        <w:spacing w:beforeLines="0" w:line="600" w:lineRule="exact"/>
        <w:ind w:firstLine="640"/>
        <w:outlineLvl w:val="1"/>
        <w:rPr>
          <w:rFonts w:eastAsia="楷体_GB2312" w:cs="楷体_GB2312"/>
          <w:b w:val="0"/>
          <w:bCs w:val="0"/>
        </w:rPr>
      </w:pPr>
      <w:bookmarkStart w:id="65" w:name="_Toc97729952"/>
      <w:r>
        <w:rPr>
          <w:rFonts w:hint="eastAsia" w:eastAsia="楷体_GB2312" w:cs="楷体_GB2312"/>
          <w:b w:val="0"/>
          <w:bCs w:val="0"/>
        </w:rPr>
        <w:t>（五）水城共融，构建“亲水朝阳”的水网体系</w:t>
      </w:r>
      <w:bookmarkEnd w:id="65"/>
    </w:p>
    <w:p>
      <w:pPr>
        <w:pStyle w:val="39"/>
        <w:spacing w:line="600" w:lineRule="exact"/>
        <w:ind w:firstLine="640"/>
        <w:rPr>
          <w:rFonts w:eastAsia="仿宋_GB2312"/>
        </w:rPr>
      </w:pPr>
      <w:r>
        <w:rPr>
          <w:rFonts w:hint="eastAsia" w:eastAsia="仿宋_GB2312" w:cs="仿宋_GB2312"/>
        </w:rPr>
        <w:t>注重蓝网、绿网规划融合，治水与大尺度绿化紧密衔接，加快骨干河湖水系的循环连通，推进生态廊道建设，河湖水系互联互通，水生态得到进一步恢复，水体自净能力得到较大提高。注重生态治河、文化兴河，带动沿河产业发展，打造幸福河湖，满足市民对亲水的多样化新需求。</w:t>
      </w:r>
    </w:p>
    <w:p>
      <w:pPr>
        <w:pStyle w:val="62"/>
        <w:spacing w:beforeLines="0" w:line="600" w:lineRule="exact"/>
        <w:ind w:firstLine="643"/>
        <w:rPr>
          <w:rFonts w:eastAsia="仿宋_GB2312"/>
          <w:color w:val="000000"/>
        </w:rPr>
      </w:pPr>
      <w:r>
        <w:rPr>
          <w:rFonts w:eastAsia="仿宋_GB2312"/>
          <w:color w:val="000000"/>
        </w:rPr>
        <w:t>1</w:t>
      </w:r>
      <w:r>
        <w:rPr>
          <w:rFonts w:hint="eastAsia" w:eastAsia="仿宋_GB2312" w:cs="仿宋_GB2312"/>
          <w:color w:val="000000"/>
        </w:rPr>
        <w:t>．推进水生态廊道建设，提升水城共融城市活力</w:t>
      </w:r>
    </w:p>
    <w:p>
      <w:pPr>
        <w:pStyle w:val="39"/>
        <w:spacing w:line="600" w:lineRule="exact"/>
        <w:ind w:firstLine="640"/>
        <w:rPr>
          <w:rFonts w:eastAsia="仿宋_GB2312"/>
        </w:rPr>
      </w:pPr>
      <w:r>
        <w:rPr>
          <w:rFonts w:hint="eastAsia" w:eastAsia="仿宋_GB2312" w:cs="仿宋_GB2312"/>
        </w:rPr>
        <w:t>以大运河文化带保护建设为契机，充分借鉴亮马河、萧太后河治理经验，用好“六共”模式，坚持“大尺度、低干扰、原生态、精细化”，以水为魂、以绿为基，一河两岸“建筑物</w:t>
      </w:r>
      <w:r>
        <w:rPr>
          <w:rFonts w:eastAsia="仿宋_GB2312" w:cs="仿宋_GB2312"/>
        </w:rPr>
        <w:t>-</w:t>
      </w:r>
      <w:r>
        <w:rPr>
          <w:rFonts w:hint="eastAsia" w:eastAsia="仿宋_GB2312" w:cs="仿宋_GB2312"/>
        </w:rPr>
        <w:t>绿</w:t>
      </w:r>
      <w:r>
        <w:rPr>
          <w:rFonts w:eastAsia="仿宋_GB2312" w:cs="仿宋_GB2312"/>
        </w:rPr>
        <w:t>-</w:t>
      </w:r>
      <w:r>
        <w:rPr>
          <w:rFonts w:hint="eastAsia" w:eastAsia="仿宋_GB2312" w:cs="仿宋_GB2312"/>
        </w:rPr>
        <w:t>水”无缝衔接，推进水生态廊道建设，打造“蓝绿交织，清新明亮，水城共融”的城市新名片。统筹空间功能和规划指标，打造开放空间格局，提升沿岸的城市功能与活力，形成引领两岸生态建设发展的“一张蓝图”。</w:t>
      </w:r>
    </w:p>
    <w:p>
      <w:pPr>
        <w:pStyle w:val="62"/>
        <w:spacing w:beforeLines="0" w:line="600" w:lineRule="exact"/>
        <w:ind w:firstLine="643"/>
        <w:rPr>
          <w:rFonts w:eastAsia="仿宋_GB2312"/>
          <w:color w:val="000000"/>
        </w:rPr>
      </w:pPr>
      <w:r>
        <w:rPr>
          <w:rFonts w:eastAsia="仿宋_GB2312"/>
          <w:color w:val="000000"/>
        </w:rPr>
        <w:t>2</w:t>
      </w:r>
      <w:r>
        <w:rPr>
          <w:rFonts w:hint="eastAsia" w:eastAsia="仿宋_GB2312" w:cs="仿宋_GB2312"/>
          <w:color w:val="000000"/>
        </w:rPr>
        <w:t>．加快河湖水系连通，构建优美生态水网体系</w:t>
      </w:r>
    </w:p>
    <w:p>
      <w:pPr>
        <w:pStyle w:val="39"/>
        <w:spacing w:line="600" w:lineRule="exact"/>
        <w:ind w:firstLine="640"/>
        <w:rPr>
          <w:rFonts w:eastAsia="仿宋_GB2312"/>
        </w:rPr>
      </w:pPr>
      <w:r>
        <w:rPr>
          <w:rFonts w:hint="eastAsia" w:eastAsia="仿宋_GB2312" w:cs="仿宋_GB2312"/>
        </w:rPr>
        <w:t>推进水网建设，实现水系与公园、湿地、绿地相连，提供绿化灌溉水源，实施一批园林绿化非常规水源接入工程，将具备条件的园林绿化引入河湖水灌溉，实现水绿相依的生态系统良性循环。</w:t>
      </w:r>
    </w:p>
    <w:p>
      <w:pPr>
        <w:pStyle w:val="39"/>
        <w:spacing w:line="600" w:lineRule="exact"/>
        <w:ind w:firstLine="640"/>
        <w:rPr>
          <w:rFonts w:eastAsia="仿宋_GB2312"/>
        </w:rPr>
      </w:pPr>
      <w:r>
        <w:rPr>
          <w:rFonts w:hint="eastAsia" w:eastAsia="仿宋_GB2312" w:cs="仿宋_GB2312"/>
        </w:rPr>
        <w:t>以现有骨干河道为框架，加快实施骨干水系连通及生态补水工程，对区内主要河湖水系进行连通建设，采取引、调、自流等方式，实现骨干水系连通，利用河道进行地下水回补，实现地表、地下水生态同步恢复。加大河道生态补水，促进水体循环流动，构建由水体、滨水绿廊组成的蓝网系统。建成生态水源配置更加科学合理、河湖连通更加顺畅、水环境更加优美的水网体系。</w:t>
      </w:r>
    </w:p>
    <w:p>
      <w:pPr>
        <w:pStyle w:val="62"/>
        <w:spacing w:beforeLines="0" w:line="600" w:lineRule="exact"/>
        <w:ind w:firstLine="640"/>
        <w:outlineLvl w:val="1"/>
        <w:rPr>
          <w:rFonts w:eastAsia="楷体_GB2312" w:cs="楷体_GB2312"/>
          <w:b w:val="0"/>
          <w:bCs w:val="0"/>
        </w:rPr>
      </w:pPr>
      <w:bookmarkStart w:id="66" w:name="_Toc72328783"/>
      <w:bookmarkStart w:id="67" w:name="_Toc97729953"/>
      <w:r>
        <w:rPr>
          <w:rFonts w:hint="eastAsia" w:eastAsia="楷体_GB2312" w:cs="楷体_GB2312"/>
          <w:b w:val="0"/>
          <w:bCs w:val="0"/>
        </w:rPr>
        <w:t>（六）</w:t>
      </w:r>
      <w:bookmarkEnd w:id="66"/>
      <w:r>
        <w:rPr>
          <w:rFonts w:hint="eastAsia" w:eastAsia="楷体_GB2312" w:cs="楷体_GB2312"/>
          <w:b w:val="0"/>
          <w:bCs w:val="0"/>
        </w:rPr>
        <w:t>完善制度，提高水务管理服务能力</w:t>
      </w:r>
      <w:bookmarkEnd w:id="67"/>
    </w:p>
    <w:p>
      <w:pPr>
        <w:pStyle w:val="39"/>
        <w:spacing w:line="600" w:lineRule="exact"/>
        <w:ind w:firstLine="640"/>
        <w:rPr>
          <w:rFonts w:eastAsia="仿宋_GB2312"/>
        </w:rPr>
      </w:pPr>
      <w:r>
        <w:rPr>
          <w:rFonts w:hint="eastAsia" w:eastAsia="仿宋_GB2312" w:cs="仿宋_GB2312"/>
        </w:rPr>
        <w:t>理顺水资源“取供用排”精细化管理体系，创新完善制度体系，落实行业监管，全面实施精细化管理，推广河道物业化管理模式，加强水务综合执法，构建城乡一体的水务管理服务体系。</w:t>
      </w:r>
    </w:p>
    <w:p>
      <w:pPr>
        <w:pStyle w:val="62"/>
        <w:spacing w:beforeLines="0" w:line="600" w:lineRule="exact"/>
        <w:ind w:firstLine="643"/>
        <w:rPr>
          <w:rFonts w:eastAsia="仿宋_GB2312"/>
          <w:snapToGrid w:val="0"/>
          <w:color w:val="000000"/>
        </w:rPr>
      </w:pPr>
      <w:r>
        <w:rPr>
          <w:rFonts w:eastAsia="仿宋_GB2312"/>
          <w:snapToGrid w:val="0"/>
          <w:color w:val="000000"/>
        </w:rPr>
        <w:t>1</w:t>
      </w:r>
      <w:r>
        <w:rPr>
          <w:rFonts w:hint="eastAsia" w:eastAsia="仿宋_GB2312" w:cs="仿宋_GB2312"/>
          <w:snapToGrid w:val="0"/>
          <w:color w:val="000000"/>
        </w:rPr>
        <w:t>．</w:t>
      </w:r>
      <w:r>
        <w:rPr>
          <w:rFonts w:hint="eastAsia" w:eastAsia="仿宋_GB2312" w:cs="仿宋_GB2312"/>
        </w:rPr>
        <w:t>优化服务精简流程，</w:t>
      </w:r>
      <w:r>
        <w:rPr>
          <w:rFonts w:hint="eastAsia" w:eastAsia="仿宋_GB2312" w:cs="仿宋_GB2312"/>
          <w:snapToGrid w:val="0"/>
          <w:color w:val="000000"/>
        </w:rPr>
        <w:t>提升效能改善营商环境</w:t>
      </w:r>
    </w:p>
    <w:p>
      <w:pPr>
        <w:pStyle w:val="39"/>
        <w:spacing w:line="600" w:lineRule="exact"/>
        <w:ind w:firstLine="640"/>
        <w:rPr>
          <w:rFonts w:eastAsia="仿宋_GB2312"/>
        </w:rPr>
      </w:pPr>
      <w:r>
        <w:rPr>
          <w:rFonts w:hint="eastAsia" w:eastAsia="仿宋_GB2312" w:cs="仿宋_GB2312"/>
        </w:rPr>
        <w:t>树立服务审批对象理念，实现政务服务程序化、规范化、便利化，以系统优化政务服务流程化、标准化、清单化审查标准为重点，全面落实“一网通办”，提升政务服务能力和水平。以优化精简服务事项为依托，完善行政许可事项办事行为，实现无差别受理。以加强行政审批受理窗口建设为契机，推行不见面审批、告知承诺制，实现线上线下深度融合，提升审批效能。</w:t>
      </w:r>
    </w:p>
    <w:p>
      <w:pPr>
        <w:pStyle w:val="62"/>
        <w:spacing w:beforeLines="0" w:line="600" w:lineRule="exact"/>
        <w:ind w:firstLine="643"/>
        <w:rPr>
          <w:rFonts w:eastAsia="仿宋_GB2312"/>
          <w:color w:val="000000"/>
        </w:rPr>
      </w:pPr>
      <w:r>
        <w:rPr>
          <w:rFonts w:eastAsia="仿宋_GB2312"/>
          <w:snapToGrid w:val="0"/>
          <w:color w:val="000000"/>
        </w:rPr>
        <w:t>2</w:t>
      </w:r>
      <w:r>
        <w:rPr>
          <w:rFonts w:hint="eastAsia" w:eastAsia="仿宋_GB2312" w:cs="仿宋_GB2312"/>
          <w:snapToGrid w:val="0"/>
          <w:color w:val="000000"/>
        </w:rPr>
        <w:t>．加强水务综合执法，提高依法管水能力</w:t>
      </w:r>
    </w:p>
    <w:p>
      <w:pPr>
        <w:pStyle w:val="39"/>
        <w:spacing w:line="600" w:lineRule="exact"/>
        <w:ind w:firstLine="640"/>
        <w:rPr>
          <w:rFonts w:eastAsia="仿宋_GB2312"/>
        </w:rPr>
      </w:pPr>
      <w:r>
        <w:rPr>
          <w:rFonts w:hint="eastAsia" w:eastAsia="仿宋_GB2312" w:cs="仿宋_GB2312"/>
        </w:rPr>
        <w:t>持续开展取水、节水、排水、水环境等专项执法、联合执法，推进水行政执法与水利行业监管有效衔接。</w:t>
      </w:r>
    </w:p>
    <w:p>
      <w:pPr>
        <w:pStyle w:val="39"/>
        <w:spacing w:line="600" w:lineRule="exact"/>
        <w:ind w:firstLine="640"/>
        <w:rPr>
          <w:rFonts w:eastAsia="仿宋_GB2312"/>
        </w:rPr>
      </w:pPr>
      <w:r>
        <w:rPr>
          <w:rFonts w:hint="eastAsia" w:eastAsia="仿宋_GB2312" w:cs="仿宋_GB2312"/>
        </w:rPr>
        <w:t>深化落实面向街乡综合执法改革，推动执法力量下沉。深化落实综合执法权力清单制度，明确执法权力事项。严格执行水行政领域行政处罚裁量基准。建立本区行政执法人员持证上岗和资格管理制度，组织开展执法业务培训，提高水行政执法队伍法治意识和职业素养，打造过硬水务执法队伍。</w:t>
      </w:r>
    </w:p>
    <w:p>
      <w:pPr>
        <w:pStyle w:val="39"/>
        <w:spacing w:line="600" w:lineRule="exact"/>
        <w:ind w:firstLine="640"/>
        <w:rPr>
          <w:rFonts w:eastAsia="仿宋_GB2312"/>
        </w:rPr>
      </w:pPr>
      <w:r>
        <w:rPr>
          <w:rFonts w:hint="eastAsia" w:eastAsia="仿宋_GB2312" w:cs="仿宋_GB2312"/>
        </w:rPr>
        <w:t>构建“权责明确、边界清晰、衔接有序、传导有效”的水行政执法组织及运行体系，完善水环境保护联动机制，确保执法及时到位、落地见效。</w:t>
      </w:r>
    </w:p>
    <w:p>
      <w:pPr>
        <w:pStyle w:val="62"/>
        <w:spacing w:beforeLines="0" w:line="600" w:lineRule="exact"/>
        <w:ind w:firstLine="643"/>
        <w:rPr>
          <w:rFonts w:eastAsia="仿宋_GB2312"/>
        </w:rPr>
      </w:pPr>
      <w:r>
        <w:rPr>
          <w:rFonts w:eastAsia="仿宋_GB2312"/>
          <w:snapToGrid w:val="0"/>
          <w:color w:val="000000"/>
        </w:rPr>
        <w:t>3</w:t>
      </w:r>
      <w:r>
        <w:rPr>
          <w:rFonts w:hint="eastAsia" w:eastAsia="仿宋_GB2312" w:cs="仿宋_GB2312"/>
          <w:snapToGrid w:val="0"/>
          <w:color w:val="000000"/>
        </w:rPr>
        <w:t>．</w:t>
      </w:r>
      <w:r>
        <w:rPr>
          <w:rFonts w:hint="eastAsia" w:eastAsia="仿宋_GB2312" w:cs="仿宋_GB2312"/>
        </w:rPr>
        <w:t>完善制度、精细管水，提升水务综合治理能力</w:t>
      </w:r>
    </w:p>
    <w:p>
      <w:pPr>
        <w:pStyle w:val="39"/>
        <w:spacing w:line="600" w:lineRule="exact"/>
        <w:ind w:firstLine="640"/>
        <w:rPr>
          <w:rFonts w:eastAsia="仿宋_GB2312"/>
          <w:color w:val="000000"/>
        </w:rPr>
      </w:pPr>
      <w:r>
        <w:rPr>
          <w:rFonts w:hint="eastAsia" w:eastAsia="仿宋_GB2312" w:cs="仿宋_GB2312"/>
          <w:color w:val="000000"/>
        </w:rPr>
        <w:t>用好“十三五”水务强监管的一系列制度体系建设成果，坚持“制度治水、制度管水”，进一步创新完善制度体系，着重解决管理制度不够用、不适用、不实用、不管用问题，在现有管理制度基础上查漏补缺，完善水治理体系、提升水治理能力。</w:t>
      </w:r>
    </w:p>
    <w:p>
      <w:pPr>
        <w:pStyle w:val="39"/>
        <w:spacing w:line="600" w:lineRule="exact"/>
        <w:ind w:firstLine="640"/>
        <w:rPr>
          <w:rFonts w:eastAsia="仿宋_GB2312"/>
          <w:color w:val="000000"/>
        </w:rPr>
      </w:pPr>
      <w:r>
        <w:rPr>
          <w:rFonts w:hint="eastAsia" w:eastAsia="仿宋_GB2312" w:cs="仿宋_GB2312"/>
          <w:color w:val="000000"/>
        </w:rPr>
        <w:t>落实行业行政监管，严格规范水行政审批，加强行政许可项目全过程监管。</w:t>
      </w:r>
      <w:r>
        <w:rPr>
          <w:rFonts w:hint="eastAsia" w:eastAsia="仿宋_GB2312" w:cs="仿宋_GB2312"/>
        </w:rPr>
        <w:t>对节水设施未经过验收或验收不合格的建设项目不予核定用水指标，供水单位不予供水。完善用水总量刚性约束体系，将节水管理纳入河长制考核内容，以街乡为单元实行行政区域用水总量控制，分级分类管理用水户，重点开展特种行业违法用水检查，定期开展用水审计，审计结果纳入信用体系评价。强化农村饮水安全监督检查，推动农村供水规范</w:t>
      </w:r>
      <w:r>
        <w:rPr>
          <w:rFonts w:hint="eastAsia" w:eastAsia="仿宋_GB2312" w:cs="仿宋_GB2312"/>
          <w:color w:val="000000"/>
        </w:rPr>
        <w:t>化专业化管理，全面提升农村供水安全保障水平。推进水土保持监管工作，初步建成与区域经济社会发展相适应的水土流失和面源污染综合防治体系。落实污水处理行业管理职责，对区内污水处理厂、站运行情况开展检查、指导工作。</w:t>
      </w:r>
    </w:p>
    <w:p>
      <w:pPr>
        <w:pStyle w:val="39"/>
        <w:spacing w:line="600" w:lineRule="exact"/>
        <w:ind w:firstLine="640"/>
        <w:rPr>
          <w:rFonts w:eastAsia="仿宋_GB2312"/>
        </w:rPr>
      </w:pPr>
      <w:r>
        <w:rPr>
          <w:rFonts w:hint="eastAsia" w:eastAsia="仿宋_GB2312" w:cs="仿宋_GB2312"/>
        </w:rPr>
        <w:t>持续开展工程运行管理标准化建设，进一步健全河管单位标准化建设制度体系，明确运行管理标准化工作任务，创建达标站点。进一步落实工程安全运行监管，做好水利工程消隐和除险加固，加强涉河工程的监督管理。加强水环境维护管理，推进水利工程管理养护生态化建设。更新河道管理模式、管理内容和管理标准，在亮马河试点基础上，在全区推广河道物业化管理模式。实现水环境由“清”到“美”的整体转变。</w:t>
      </w:r>
    </w:p>
    <w:p>
      <w:pPr>
        <w:pStyle w:val="39"/>
        <w:spacing w:line="600" w:lineRule="exact"/>
        <w:ind w:firstLine="640"/>
        <w:rPr>
          <w:rFonts w:eastAsia="仿宋_GB2312"/>
        </w:rPr>
      </w:pPr>
      <w:r>
        <w:rPr>
          <w:rFonts w:hint="eastAsia" w:eastAsia="仿宋_GB2312" w:cs="仿宋_GB2312"/>
        </w:rPr>
        <w:t>加强水域岸线管理保护，落实河湖空间管控要求。科学划定河道管理范围，明确管控要求，加强水生态空间管控。</w:t>
      </w:r>
    </w:p>
    <w:p>
      <w:pPr>
        <w:pStyle w:val="39"/>
        <w:spacing w:line="600" w:lineRule="exact"/>
        <w:ind w:firstLine="640"/>
        <w:rPr>
          <w:rFonts w:eastAsia="仿宋_GB2312"/>
        </w:rPr>
      </w:pPr>
      <w:r>
        <w:rPr>
          <w:rFonts w:hint="eastAsia" w:eastAsia="仿宋_GB2312" w:cs="仿宋_GB2312"/>
        </w:rPr>
        <w:t>改进质量监督管理方式，推进水利建设市场信用体系建设，严查各类违法违规行为。以隐患消除安全预防为主，紧盯水务行业安全生产，监督检查常态化，持续开展安全隐患排查整改工作。</w:t>
      </w:r>
    </w:p>
    <w:p>
      <w:pPr>
        <w:pStyle w:val="62"/>
        <w:spacing w:beforeLines="0" w:line="600" w:lineRule="exact"/>
        <w:ind w:firstLine="643"/>
        <w:rPr>
          <w:rFonts w:eastAsia="仿宋_GB2312"/>
          <w:snapToGrid w:val="0"/>
          <w:color w:val="000000"/>
        </w:rPr>
      </w:pPr>
      <w:r>
        <w:rPr>
          <w:rFonts w:eastAsia="仿宋_GB2312"/>
          <w:snapToGrid w:val="0"/>
          <w:color w:val="000000"/>
        </w:rPr>
        <w:t>4</w:t>
      </w:r>
      <w:r>
        <w:rPr>
          <w:rFonts w:hint="eastAsia" w:eastAsia="仿宋_GB2312" w:cs="仿宋_GB2312"/>
          <w:snapToGrid w:val="0"/>
          <w:color w:val="000000"/>
        </w:rPr>
        <w:t>．加强统筹协调，</w:t>
      </w:r>
      <w:r>
        <w:rPr>
          <w:rFonts w:hint="eastAsia" w:cs="仿宋"/>
          <w:snapToGrid w:val="0"/>
          <w:color w:val="000000"/>
        </w:rPr>
        <w:t>推动河长制工作提档升级</w:t>
      </w:r>
    </w:p>
    <w:p>
      <w:pPr>
        <w:pStyle w:val="39"/>
        <w:spacing w:line="600" w:lineRule="exact"/>
        <w:ind w:firstLine="640"/>
        <w:rPr>
          <w:rFonts w:eastAsia="仿宋_GB2312"/>
        </w:rPr>
      </w:pPr>
      <w:r>
        <w:rPr>
          <w:rFonts w:hint="eastAsia" w:eastAsia="仿宋_GB2312" w:cs="仿宋_GB2312"/>
        </w:rPr>
        <w:t>按照林长制、河长制、田长制“三长联动、一巡三查”，山水林田湖草系统治理的要求，坚持深化三级“河长制”，持续推动“清河行动”常态化、规范化，以溯源治污、垃圾倾倒为重点，加强乡管沟渠、小微水体动态监管。实行河湖管理预防为先，确保河湖新增问题动态清零，巩固河湖治理成效。</w:t>
      </w:r>
    </w:p>
    <w:p>
      <w:pPr>
        <w:pStyle w:val="39"/>
        <w:spacing w:line="600" w:lineRule="exact"/>
        <w:ind w:firstLine="640"/>
        <w:rPr>
          <w:rFonts w:eastAsia="仿宋_GB2312"/>
        </w:rPr>
      </w:pPr>
      <w:r>
        <w:rPr>
          <w:rFonts w:hint="eastAsia" w:eastAsia="仿宋_GB2312" w:cs="仿宋_GB2312"/>
        </w:rPr>
        <w:t>完善河长制长效管理机制，加强对河长履职的监督检查，确保河长履职担当。健全各街乡河湖巡查队伍和管护队伍，保障人员队伍稳定，提高基层河湖管护能力和水平。持续保持“朝阳群众小河长”社会服务项目品牌特色，拓宽社会参与途径，推动河湖治理与街乡发展和谐相融，打造不同地区河长制工作特色，积极营造河湖管护全民参与的良好氛围。</w:t>
      </w:r>
    </w:p>
    <w:bookmarkEnd w:id="63"/>
    <w:p>
      <w:pPr>
        <w:pStyle w:val="62"/>
        <w:spacing w:beforeLines="0" w:line="600" w:lineRule="exact"/>
        <w:ind w:firstLine="640"/>
        <w:outlineLvl w:val="1"/>
        <w:rPr>
          <w:rFonts w:eastAsia="楷体_GB2312" w:cs="楷体_GB2312"/>
          <w:b w:val="0"/>
          <w:bCs w:val="0"/>
        </w:rPr>
      </w:pPr>
      <w:bookmarkStart w:id="68" w:name="_Toc75179339"/>
      <w:bookmarkStart w:id="69" w:name="_Toc97729954"/>
      <w:bookmarkStart w:id="70" w:name="_Toc49608166"/>
      <w:r>
        <w:rPr>
          <w:rFonts w:hint="eastAsia" w:eastAsia="楷体_GB2312" w:cs="楷体_GB2312"/>
          <w:b w:val="0"/>
          <w:bCs w:val="0"/>
        </w:rPr>
        <w:t>（七）</w:t>
      </w:r>
      <w:bookmarkEnd w:id="68"/>
      <w:r>
        <w:rPr>
          <w:rFonts w:hint="eastAsia" w:eastAsia="楷体_GB2312" w:cs="楷体_GB2312"/>
          <w:b w:val="0"/>
          <w:bCs w:val="0"/>
        </w:rPr>
        <w:t>智慧赋能，推动水务管理再上新台阶</w:t>
      </w:r>
      <w:bookmarkEnd w:id="69"/>
    </w:p>
    <w:p>
      <w:pPr>
        <w:pStyle w:val="39"/>
        <w:spacing w:line="600" w:lineRule="exact"/>
        <w:ind w:firstLine="640"/>
        <w:rPr>
          <w:rFonts w:eastAsia="仿宋_GB2312"/>
        </w:rPr>
      </w:pPr>
      <w:r>
        <w:rPr>
          <w:rFonts w:hint="eastAsia" w:eastAsia="仿宋_GB2312" w:cs="仿宋_GB2312"/>
        </w:rPr>
        <w:t>准确对接“北京市水务局智慧水务</w:t>
      </w:r>
      <w:r>
        <w:rPr>
          <w:rFonts w:eastAsia="仿宋_GB2312" w:cs="仿宋_GB2312"/>
        </w:rPr>
        <w:t>1.0</w:t>
      </w:r>
      <w:r>
        <w:rPr>
          <w:rFonts w:hint="eastAsia" w:eastAsia="仿宋_GB2312" w:cs="仿宋_GB2312"/>
        </w:rPr>
        <w:t>”建设要求，重点加快“取供用排”等感知系统建设；全面融合“朝阳区智慧城市数字底座”建设框架，建设区级智慧水务系统</w:t>
      </w:r>
      <w:r>
        <w:rPr>
          <w:rFonts w:eastAsia="仿宋_GB2312" w:cs="仿宋_GB2312"/>
        </w:rPr>
        <w:t>1.0</w:t>
      </w:r>
      <w:r>
        <w:rPr>
          <w:rFonts w:hint="eastAsia" w:eastAsia="仿宋_GB2312" w:cs="仿宋_GB2312"/>
        </w:rPr>
        <w:t>，实现智慧化水务管理。</w:t>
      </w:r>
    </w:p>
    <w:p>
      <w:pPr>
        <w:pStyle w:val="39"/>
        <w:spacing w:line="600" w:lineRule="exact"/>
        <w:ind w:firstLine="640"/>
        <w:rPr>
          <w:rFonts w:hint="eastAsia"/>
        </w:rPr>
      </w:pPr>
      <w:r>
        <w:rPr>
          <w:rFonts w:hint="eastAsia" w:eastAsia="仿宋_GB2312" w:cs="仿宋_GB2312"/>
        </w:rPr>
        <w:t>以全域涉水数据为纽带，以朝阳区智慧城市建设的整体要求为准绳，建设城市积水内涝感知系统。</w:t>
      </w:r>
      <w:r>
        <w:t>在基础信息采集方面，实现重点河道有监控、重要水源设施有监管、重要点位水文数据有监测、重大水利设施有监督，共享气象部门、排水集团的重要雨情、水情信息；在系统应用方面，优化整合现有河长管理系统、水资源管理系统、节水管理系统，构建智慧水务管理驾驶舱，采用数字孪生、工单精准派发等技术实现河道管理一张图，河道“长眼慧说话”。切实提高水资源监管效率，构建升级防洪预报、预警、预演、预案“四预”功能，全方位提升水务精细化管理水平</w:t>
      </w:r>
      <w:bookmarkEnd w:id="70"/>
      <w:r>
        <w:rPr>
          <w:rFonts w:hint="eastAsia"/>
        </w:rPr>
        <w:t>。</w:t>
      </w:r>
    </w:p>
    <w:p>
      <w:pPr>
        <w:pStyle w:val="39"/>
        <w:spacing w:line="600" w:lineRule="exact"/>
        <w:ind w:firstLine="640"/>
        <w:outlineLvl w:val="0"/>
        <w:rPr>
          <w:rFonts w:ascii="黑体" w:hAnsi="黑体" w:eastAsia="黑体" w:cs="Times New Roman"/>
          <w:color w:val="000000"/>
          <w:szCs w:val="32"/>
        </w:rPr>
      </w:pPr>
      <w:bookmarkStart w:id="71" w:name="_Toc97729955"/>
      <w:r>
        <w:rPr>
          <w:rFonts w:hint="eastAsia" w:ascii="黑体" w:hAnsi="黑体" w:eastAsia="黑体" w:cs="黑体"/>
          <w:color w:val="000000"/>
          <w:szCs w:val="32"/>
        </w:rPr>
        <w:t>五、保障措施</w:t>
      </w:r>
      <w:bookmarkEnd w:id="71"/>
    </w:p>
    <w:p>
      <w:pPr>
        <w:pStyle w:val="62"/>
        <w:spacing w:beforeLines="0" w:line="600" w:lineRule="exact"/>
        <w:ind w:firstLine="640"/>
        <w:outlineLvl w:val="1"/>
        <w:rPr>
          <w:rFonts w:eastAsia="楷体_GB2312" w:cs="楷体_GB2312"/>
          <w:b w:val="0"/>
          <w:bCs w:val="0"/>
        </w:rPr>
      </w:pPr>
      <w:bookmarkStart w:id="72" w:name="_Toc450386163"/>
      <w:bookmarkStart w:id="73" w:name="_Toc97729956"/>
      <w:bookmarkStart w:id="74" w:name="_Toc89953744"/>
      <w:r>
        <w:rPr>
          <w:rFonts w:hint="eastAsia" w:eastAsia="楷体_GB2312" w:cs="楷体_GB2312"/>
          <w:b w:val="0"/>
          <w:bCs w:val="0"/>
        </w:rPr>
        <w:t>（一）组织保障</w:t>
      </w:r>
      <w:bookmarkEnd w:id="72"/>
      <w:bookmarkEnd w:id="73"/>
      <w:bookmarkEnd w:id="74"/>
    </w:p>
    <w:p>
      <w:pPr>
        <w:pStyle w:val="39"/>
        <w:spacing w:line="600" w:lineRule="exact"/>
        <w:ind w:firstLine="640"/>
        <w:rPr>
          <w:rFonts w:eastAsia="仿宋_GB2312"/>
        </w:rPr>
      </w:pPr>
      <w:r>
        <w:rPr>
          <w:rFonts w:hint="eastAsia" w:eastAsia="仿宋_GB2312" w:cs="仿宋_GB2312"/>
          <w:lang w:val="en-US"/>
        </w:rPr>
        <w:t>强化政治担当，践行初心使命，坚持以人民为中心，</w:t>
      </w:r>
      <w:r>
        <w:rPr>
          <w:rFonts w:hint="eastAsia" w:eastAsia="仿宋_GB2312" w:cs="仿宋_GB2312"/>
        </w:rPr>
        <w:t>压紧压实全面从严治党主体责任，充分发挥党组织战斗堡垒和党员先锋模范作用，</w:t>
      </w:r>
      <w:r>
        <w:rPr>
          <w:rFonts w:hint="eastAsia" w:eastAsia="仿宋_GB2312" w:cs="仿宋_GB2312"/>
          <w:lang w:val="en-US"/>
        </w:rPr>
        <w:t>以高质量</w:t>
      </w:r>
      <w:r>
        <w:rPr>
          <w:rFonts w:hint="eastAsia" w:eastAsia="仿宋_GB2312" w:cs="仿宋_GB2312"/>
        </w:rPr>
        <w:t>党建引领</w:t>
      </w:r>
      <w:r>
        <w:rPr>
          <w:rFonts w:hint="eastAsia" w:eastAsia="仿宋_GB2312" w:cs="仿宋_GB2312"/>
          <w:lang w:val="en-US"/>
        </w:rPr>
        <w:t>高质量发展</w:t>
      </w:r>
      <w:r>
        <w:rPr>
          <w:rFonts w:hint="eastAsia" w:eastAsia="仿宋_GB2312" w:cs="仿宋_GB2312"/>
        </w:rPr>
        <w:t>；</w:t>
      </w:r>
      <w:r>
        <w:rPr>
          <w:rFonts w:hint="eastAsia" w:eastAsia="仿宋_GB2312" w:cs="仿宋_GB2312"/>
          <w:lang w:val="en-US"/>
        </w:rPr>
        <w:t>严格纪律执行，深化廉政风险防控，构建风清气正、凝心聚力、求真务实的政治生态</w:t>
      </w:r>
      <w:r>
        <w:rPr>
          <w:rFonts w:hint="eastAsia" w:eastAsia="仿宋_GB2312" w:cs="仿宋_GB2312"/>
        </w:rPr>
        <w:t>，</w:t>
      </w:r>
      <w:r>
        <w:rPr>
          <w:rFonts w:eastAsia="仿宋_GB2312" w:cs="仿宋_GB2312"/>
        </w:rPr>
        <w:t>为水务建设发展提供</w:t>
      </w:r>
      <w:r>
        <w:rPr>
          <w:rFonts w:hint="eastAsia" w:eastAsia="仿宋_GB2312" w:cs="仿宋_GB2312"/>
        </w:rPr>
        <w:t>强有力</w:t>
      </w:r>
      <w:r>
        <w:rPr>
          <w:rFonts w:eastAsia="仿宋_GB2312" w:cs="仿宋_GB2312"/>
        </w:rPr>
        <w:t>的组织保障。</w:t>
      </w:r>
      <w:bookmarkStart w:id="75" w:name="_Toc450386164"/>
      <w:r>
        <w:rPr>
          <w:rFonts w:hint="eastAsia" w:eastAsia="仿宋_GB2312" w:cs="仿宋_GB2312"/>
        </w:rPr>
        <w:t>围绕目标任务，落实各单位和部门工作责任，明确实施进度和推进措施，创新和完善涉水事务管理体制机制，加强各部门联动协调，畅通沟通渠道，提高工作效率。</w:t>
      </w:r>
    </w:p>
    <w:p>
      <w:pPr>
        <w:pStyle w:val="62"/>
        <w:spacing w:beforeLines="0" w:line="600" w:lineRule="exact"/>
        <w:ind w:firstLine="640"/>
        <w:outlineLvl w:val="1"/>
        <w:rPr>
          <w:rFonts w:eastAsia="楷体_GB2312" w:cs="楷体_GB2312"/>
          <w:b w:val="0"/>
          <w:bCs w:val="0"/>
        </w:rPr>
      </w:pPr>
      <w:bookmarkStart w:id="76" w:name="_Toc89953745"/>
      <w:bookmarkStart w:id="77" w:name="_Toc97729957"/>
      <w:r>
        <w:rPr>
          <w:rFonts w:hint="eastAsia" w:eastAsia="楷体_GB2312" w:cs="楷体_GB2312"/>
          <w:b w:val="0"/>
          <w:bCs w:val="0"/>
        </w:rPr>
        <w:t>（二）</w:t>
      </w:r>
      <w:bookmarkEnd w:id="75"/>
      <w:bookmarkEnd w:id="76"/>
      <w:bookmarkStart w:id="78" w:name="_Toc89953746"/>
      <w:bookmarkStart w:id="79" w:name="_Toc450386165"/>
      <w:r>
        <w:rPr>
          <w:rFonts w:hint="eastAsia" w:eastAsia="楷体_GB2312" w:cs="楷体_GB2312"/>
          <w:b w:val="0"/>
          <w:bCs w:val="0"/>
        </w:rPr>
        <w:t>制度保障</w:t>
      </w:r>
      <w:bookmarkEnd w:id="77"/>
      <w:bookmarkEnd w:id="78"/>
      <w:bookmarkEnd w:id="79"/>
    </w:p>
    <w:p>
      <w:pPr>
        <w:pStyle w:val="39"/>
        <w:spacing w:line="600" w:lineRule="exact"/>
        <w:ind w:firstLine="640"/>
        <w:rPr>
          <w:rFonts w:eastAsia="仿宋_GB2312"/>
        </w:rPr>
      </w:pPr>
      <w:r>
        <w:rPr>
          <w:rFonts w:hint="eastAsia" w:eastAsia="仿宋_GB2312" w:cs="仿宋_GB2312"/>
        </w:rPr>
        <w:t>制定规划年度实施方案，列出年度任务清单，逐年推动规划实施。及时开展中期评估工作，根据上级部署及社会经济发展需要，按规定程序对规划进行调整或修订。</w:t>
      </w:r>
    </w:p>
    <w:p>
      <w:pPr>
        <w:pStyle w:val="39"/>
        <w:spacing w:line="600" w:lineRule="exact"/>
        <w:ind w:firstLine="640"/>
        <w:rPr>
          <w:rFonts w:eastAsia="仿宋_GB2312"/>
        </w:rPr>
      </w:pPr>
      <w:bookmarkStart w:id="80" w:name="_Toc450386166"/>
      <w:bookmarkStart w:id="81" w:name="_Toc437102020"/>
      <w:bookmarkStart w:id="82" w:name="_Toc450297868"/>
      <w:bookmarkStart w:id="83" w:name="_Toc448585600"/>
      <w:bookmarkStart w:id="84" w:name="_Toc437102255"/>
      <w:bookmarkStart w:id="85" w:name="_Toc435609180"/>
      <w:bookmarkStart w:id="86" w:name="_Toc448774315"/>
      <w:bookmarkStart w:id="87" w:name="_Toc441237975"/>
      <w:r>
        <w:rPr>
          <w:rFonts w:hint="eastAsia" w:eastAsia="仿宋_GB2312" w:cs="仿宋_GB2312"/>
        </w:rPr>
        <w:t>相关部门按照职责分工、目标责任和任务分工，制定具体落实措施和年度实施计划，明确任务分工、责任人和完成时限，建立规划实施定期考核机制，全面考核各责任单位的贯彻落实情况。</w:t>
      </w:r>
    </w:p>
    <w:p>
      <w:pPr>
        <w:pStyle w:val="62"/>
        <w:spacing w:beforeLines="0" w:line="600" w:lineRule="exact"/>
        <w:ind w:firstLine="640"/>
        <w:outlineLvl w:val="1"/>
        <w:rPr>
          <w:rFonts w:eastAsia="楷体_GB2312" w:cs="楷体_GB2312"/>
          <w:b w:val="0"/>
          <w:bCs w:val="0"/>
        </w:rPr>
      </w:pPr>
      <w:bookmarkStart w:id="88" w:name="_Toc97729958"/>
      <w:bookmarkStart w:id="89" w:name="_Toc89953747"/>
      <w:r>
        <w:rPr>
          <w:rFonts w:hint="eastAsia" w:eastAsia="楷体_GB2312" w:cs="楷体_GB2312"/>
          <w:b w:val="0"/>
          <w:bCs w:val="0"/>
        </w:rPr>
        <w:t>（三）宣传保障</w:t>
      </w:r>
      <w:bookmarkEnd w:id="80"/>
      <w:bookmarkEnd w:id="81"/>
      <w:bookmarkEnd w:id="82"/>
      <w:bookmarkEnd w:id="83"/>
      <w:bookmarkEnd w:id="84"/>
      <w:bookmarkEnd w:id="85"/>
      <w:bookmarkEnd w:id="86"/>
      <w:bookmarkEnd w:id="87"/>
      <w:bookmarkEnd w:id="88"/>
      <w:bookmarkEnd w:id="89"/>
    </w:p>
    <w:p>
      <w:pPr>
        <w:pStyle w:val="39"/>
        <w:spacing w:line="600" w:lineRule="exact"/>
        <w:ind w:firstLine="640"/>
        <w:rPr>
          <w:rFonts w:eastAsia="仿宋_GB2312" w:cs="Times New Roman"/>
          <w:bCs/>
          <w:szCs w:val="32"/>
        </w:rPr>
      </w:pPr>
      <w:r>
        <w:rPr>
          <w:rFonts w:hint="eastAsia" w:eastAsia="仿宋_GB2312" w:cs="仿宋_GB2312"/>
        </w:rPr>
        <w:t>加大对水务发展成就、发展思路</w:t>
      </w:r>
      <w:r>
        <w:rPr>
          <w:rFonts w:hint="eastAsia" w:eastAsia="仿宋_GB2312" w:cs="仿宋_GB2312"/>
          <w:lang w:val="en-US"/>
        </w:rPr>
        <w:t>和居民群众关注的涉水问题、事项</w:t>
      </w:r>
      <w:r>
        <w:rPr>
          <w:rFonts w:hint="eastAsia" w:eastAsia="仿宋_GB2312" w:cs="仿宋_GB2312"/>
        </w:rPr>
        <w:t>的宣传</w:t>
      </w:r>
      <w:r>
        <w:rPr>
          <w:rFonts w:hint="eastAsia" w:eastAsia="仿宋_GB2312" w:cs="仿宋_GB2312"/>
          <w:lang w:val="en-US"/>
        </w:rPr>
        <w:t>报道</w:t>
      </w:r>
      <w:r>
        <w:rPr>
          <w:rFonts w:hint="eastAsia" w:eastAsia="仿宋_GB2312" w:cs="仿宋_GB2312"/>
        </w:rPr>
        <w:t>，发挥矩阵效应，</w:t>
      </w:r>
      <w:r>
        <w:rPr>
          <w:rFonts w:hint="eastAsia" w:eastAsia="仿宋_GB2312" w:cs="仿宋_GB2312"/>
          <w:lang w:val="en-US"/>
        </w:rPr>
        <w:t>积极构建服务群众、治水为民、精心治水的宣传氛围</w:t>
      </w:r>
      <w:r>
        <w:rPr>
          <w:rFonts w:hint="eastAsia" w:eastAsia="仿宋_GB2312" w:cs="仿宋_GB2312"/>
        </w:rPr>
        <w:t>，引导社会各界了解、支持、</w:t>
      </w:r>
      <w:r>
        <w:rPr>
          <w:rFonts w:hint="eastAsia" w:eastAsia="仿宋_GB2312" w:cs="仿宋_GB2312"/>
          <w:lang w:val="en-US"/>
        </w:rPr>
        <w:t>参与</w:t>
      </w:r>
      <w:r>
        <w:rPr>
          <w:rFonts w:hint="eastAsia" w:eastAsia="仿宋_GB2312" w:cs="仿宋_GB2312"/>
        </w:rPr>
        <w:t>水务</w:t>
      </w:r>
      <w:r>
        <w:rPr>
          <w:rFonts w:hint="eastAsia" w:eastAsia="仿宋_GB2312" w:cs="仿宋_GB2312"/>
          <w:lang w:val="en-US"/>
        </w:rPr>
        <w:t>建设与治理</w:t>
      </w:r>
      <w:r>
        <w:rPr>
          <w:rFonts w:hint="eastAsia" w:eastAsia="仿宋_GB2312" w:cs="仿宋_GB2312"/>
        </w:rPr>
        <w:t>。持续开展节水、爱水、护水志愿者专项活动，营造良好的舆论环境和社会氛围。</w:t>
      </w:r>
    </w:p>
    <w:sectPr>
      <w:footerReference r:id="rId7" w:type="default"/>
      <w:pgSz w:w="11906" w:h="16838"/>
      <w:pgMar w:top="1418" w:right="1588" w:bottom="1418" w:left="1474"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pict>
        <v:shape id="文本框 15" o:spid="_x0000_s2051" o:spt="202" type="#_x0000_t202" style="position:absolute;left:0pt;margin-top:0pt;height:144pt;width:144pt;mso-position-horizontal:center;mso-position-horizontal-relative:margin;mso-wrap-style:none;z-index:2517391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lYgIAAAw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j0LvlYgIAAAwFAAAOAAAAAAAAAAAAAAAAAC4CAABkcnMvZTJvRG9jLnht&#10;bFBLAQItABQABgAIAAAAIQBxqtG51wAAAAUBAAAPAAAAAAAAAAAAAAAAALwEAABkcnMvZG93bnJl&#10;di54bWxQSwUGAAAAAAQABADzAAAAwA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v:shape>
      </w:pic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after="120"/>
      <w:ind w:firstLine="422"/>
      <w:jc w:val="right"/>
      <w:rPr>
        <w:rFonts w:ascii="Times New Roman" w:hAnsi="Times New Roman"/>
        <w:sz w:val="21"/>
        <w:szCs w:val="21"/>
      </w:rPr>
    </w:pPr>
    <w:r>
      <w:rPr>
        <w:sz w:val="21"/>
      </w:rPr>
      <w:pict>
        <v:shape id="文本框 1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v:path/>
          <v:fill on="f" focussize="0,0"/>
          <v:stroke on="f" weight="0.5pt" joinstyle="miter"/>
          <v:imagedata o:title=""/>
          <o:lock v:ext="edit"/>
          <v:textbox inset="0mm,0mm,0mm,0mm" style="mso-fit-shape-to-text:t;">
            <w:txbxContent>
              <w:p>
                <w:pPr>
                  <w:pStyle w:val="12"/>
                  <w:spacing w:before="120" w:after="120"/>
                  <w:ind w:firstLine="422"/>
                  <w:jc w:val="right"/>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txbxContent>
          </v:textbox>
        </v:shape>
      </w:pict>
    </w:r>
  </w:p>
  <w:p>
    <w:pPr>
      <w:pStyle w:val="12"/>
      <w:spacing w:before="120" w:after="120"/>
      <w:ind w:firstLine="48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after="120"/>
      <w:ind w:firstLine="422"/>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34</w:t>
    </w:r>
    <w:r>
      <w:rPr>
        <w:rFonts w:ascii="Times New Roman" w:hAnsi="Times New Roman"/>
        <w:sz w:val="21"/>
        <w:szCs w:val="21"/>
      </w:rPr>
      <w:fldChar w:fldCharType="end"/>
    </w:r>
  </w:p>
  <w:p>
    <w:pPr>
      <w:pStyle w:val="12"/>
      <w:spacing w:before="120" w:after="120"/>
      <w:ind w:firstLine="48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pict>
        <v:shape id="Text Box 7" o:spid="_x0000_s2049" o:spt="202" type="#_x0000_t202" style="position:absolute;left:0pt;margin-top:0pt;height:11pt;width:4.6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NpazXDmAQAAuQMAAA4AAAAAAAAAAAAAAAAALgIAAGRycy9lMm9Eb2MueG1sUEsBAi0AFAAG&#10;AAgAAAAhAPYBmWDXAAAAAgEAAA8AAAAAAAAAAAAAAAAAQAQAAGRycy9kb3ducmV2LnhtbFBLBQYA&#10;AAAABAAEAPMAAABEBQAAAAA=&#10;">
          <v:path/>
          <v:fill on="f" focussize="0,0"/>
          <v:stroke on="f" joinstyle="miter"/>
          <v:imagedata o:title=""/>
          <o:lock v:ext="edit"/>
          <v:textbox inset="0mm,0mm,0mm,0mm" style="mso-fit-shape-to-text:t;">
            <w:txbxContent>
              <w:p>
                <w:pPr>
                  <w:pStyle w:val="12"/>
                  <w:jc w:val="center"/>
                </w:pPr>
                <w:r>
                  <w:fldChar w:fldCharType="begin"/>
                </w:r>
                <w:r>
                  <w:instrText xml:space="preserve"> PAGE   \* MERGEFORMAT </w:instrText>
                </w:r>
                <w:r>
                  <w:fldChar w:fldCharType="separate"/>
                </w:r>
                <w:r>
                  <w:rPr>
                    <w:lang w:val="zh-CN"/>
                  </w:rPr>
                  <w:t>4</w:t>
                </w:r>
                <w:r>
                  <w:rPr>
                    <w:lang w:val="zh-CN"/>
                  </w:rPr>
                  <w:fldChar w:fldCharType="end"/>
                </w:r>
              </w:p>
            </w:txbxContent>
          </v:textbox>
        </v:shape>
      </w:pic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34422"/>
    <w:rsid w:val="000037BC"/>
    <w:rsid w:val="000141A5"/>
    <w:rsid w:val="00017EA5"/>
    <w:rsid w:val="00021A3E"/>
    <w:rsid w:val="00026C58"/>
    <w:rsid w:val="0003044F"/>
    <w:rsid w:val="000507D4"/>
    <w:rsid w:val="00063C01"/>
    <w:rsid w:val="00072FA8"/>
    <w:rsid w:val="000775F1"/>
    <w:rsid w:val="00092425"/>
    <w:rsid w:val="00094C70"/>
    <w:rsid w:val="000B1804"/>
    <w:rsid w:val="000B2099"/>
    <w:rsid w:val="000E27B3"/>
    <w:rsid w:val="000E37C0"/>
    <w:rsid w:val="000E41F7"/>
    <w:rsid w:val="000E560C"/>
    <w:rsid w:val="000E7B29"/>
    <w:rsid w:val="0011030F"/>
    <w:rsid w:val="001253B6"/>
    <w:rsid w:val="0012755A"/>
    <w:rsid w:val="00157D7C"/>
    <w:rsid w:val="001659D6"/>
    <w:rsid w:val="00185AA8"/>
    <w:rsid w:val="001C48AA"/>
    <w:rsid w:val="001F055B"/>
    <w:rsid w:val="001F34C6"/>
    <w:rsid w:val="0020784A"/>
    <w:rsid w:val="00207A60"/>
    <w:rsid w:val="002226C6"/>
    <w:rsid w:val="0022418D"/>
    <w:rsid w:val="002335C2"/>
    <w:rsid w:val="00233773"/>
    <w:rsid w:val="002337C0"/>
    <w:rsid w:val="00233AF6"/>
    <w:rsid w:val="002617EA"/>
    <w:rsid w:val="00273B12"/>
    <w:rsid w:val="002839F4"/>
    <w:rsid w:val="0028630A"/>
    <w:rsid w:val="00295C23"/>
    <w:rsid w:val="002A716B"/>
    <w:rsid w:val="002A72C4"/>
    <w:rsid w:val="002B1E49"/>
    <w:rsid w:val="002C78EF"/>
    <w:rsid w:val="002E6892"/>
    <w:rsid w:val="002F058C"/>
    <w:rsid w:val="002F101A"/>
    <w:rsid w:val="002F121E"/>
    <w:rsid w:val="00303CD0"/>
    <w:rsid w:val="003419DF"/>
    <w:rsid w:val="0035164E"/>
    <w:rsid w:val="0035227E"/>
    <w:rsid w:val="003676E6"/>
    <w:rsid w:val="00384805"/>
    <w:rsid w:val="00386877"/>
    <w:rsid w:val="003943FA"/>
    <w:rsid w:val="003A0DB3"/>
    <w:rsid w:val="003A3C92"/>
    <w:rsid w:val="003B147B"/>
    <w:rsid w:val="003B4986"/>
    <w:rsid w:val="003C70D7"/>
    <w:rsid w:val="003E7C1C"/>
    <w:rsid w:val="00402424"/>
    <w:rsid w:val="00413A8E"/>
    <w:rsid w:val="0042182E"/>
    <w:rsid w:val="00425596"/>
    <w:rsid w:val="00431602"/>
    <w:rsid w:val="00434C64"/>
    <w:rsid w:val="0045000F"/>
    <w:rsid w:val="004573FA"/>
    <w:rsid w:val="00473ED9"/>
    <w:rsid w:val="004922DE"/>
    <w:rsid w:val="00492A5A"/>
    <w:rsid w:val="004C41F2"/>
    <w:rsid w:val="004C6056"/>
    <w:rsid w:val="004D6CFE"/>
    <w:rsid w:val="004F25D0"/>
    <w:rsid w:val="00503ABF"/>
    <w:rsid w:val="0052085F"/>
    <w:rsid w:val="00535E7E"/>
    <w:rsid w:val="0053799D"/>
    <w:rsid w:val="00542B1D"/>
    <w:rsid w:val="00543F92"/>
    <w:rsid w:val="00544CCC"/>
    <w:rsid w:val="00545CD5"/>
    <w:rsid w:val="00554167"/>
    <w:rsid w:val="005652D1"/>
    <w:rsid w:val="00570742"/>
    <w:rsid w:val="00575D4D"/>
    <w:rsid w:val="0057667B"/>
    <w:rsid w:val="005837BA"/>
    <w:rsid w:val="00583C67"/>
    <w:rsid w:val="0058444F"/>
    <w:rsid w:val="00587A7C"/>
    <w:rsid w:val="00591148"/>
    <w:rsid w:val="005929E7"/>
    <w:rsid w:val="005A08FD"/>
    <w:rsid w:val="005A4267"/>
    <w:rsid w:val="005A761D"/>
    <w:rsid w:val="005A7FF9"/>
    <w:rsid w:val="005C71D2"/>
    <w:rsid w:val="005D79C5"/>
    <w:rsid w:val="005F0F1E"/>
    <w:rsid w:val="005F6BDB"/>
    <w:rsid w:val="00613C45"/>
    <w:rsid w:val="006254E3"/>
    <w:rsid w:val="0063441F"/>
    <w:rsid w:val="00635243"/>
    <w:rsid w:val="00635BD1"/>
    <w:rsid w:val="0063681E"/>
    <w:rsid w:val="006612D0"/>
    <w:rsid w:val="0067681E"/>
    <w:rsid w:val="006873CD"/>
    <w:rsid w:val="006A2EE3"/>
    <w:rsid w:val="006F5B28"/>
    <w:rsid w:val="006F7115"/>
    <w:rsid w:val="00701B36"/>
    <w:rsid w:val="00707B9D"/>
    <w:rsid w:val="007156F7"/>
    <w:rsid w:val="007233BC"/>
    <w:rsid w:val="007318CC"/>
    <w:rsid w:val="00734D67"/>
    <w:rsid w:val="00736D23"/>
    <w:rsid w:val="007455E6"/>
    <w:rsid w:val="007470E0"/>
    <w:rsid w:val="00747CDF"/>
    <w:rsid w:val="00773234"/>
    <w:rsid w:val="0077362D"/>
    <w:rsid w:val="00777EE5"/>
    <w:rsid w:val="00787CC1"/>
    <w:rsid w:val="00791764"/>
    <w:rsid w:val="007A232E"/>
    <w:rsid w:val="007A5FF8"/>
    <w:rsid w:val="007D0C23"/>
    <w:rsid w:val="007D1F54"/>
    <w:rsid w:val="0080125F"/>
    <w:rsid w:val="008067A8"/>
    <w:rsid w:val="00814032"/>
    <w:rsid w:val="00831EAA"/>
    <w:rsid w:val="00841538"/>
    <w:rsid w:val="0084211F"/>
    <w:rsid w:val="00845E30"/>
    <w:rsid w:val="008516CC"/>
    <w:rsid w:val="008608B9"/>
    <w:rsid w:val="0087193E"/>
    <w:rsid w:val="00896621"/>
    <w:rsid w:val="008A5106"/>
    <w:rsid w:val="008B3FE0"/>
    <w:rsid w:val="008C4434"/>
    <w:rsid w:val="008C78FF"/>
    <w:rsid w:val="008D34F4"/>
    <w:rsid w:val="008D66C3"/>
    <w:rsid w:val="008E2C6F"/>
    <w:rsid w:val="008E3761"/>
    <w:rsid w:val="008E7445"/>
    <w:rsid w:val="008F74A9"/>
    <w:rsid w:val="008F79E9"/>
    <w:rsid w:val="00911B59"/>
    <w:rsid w:val="00912060"/>
    <w:rsid w:val="00931F8A"/>
    <w:rsid w:val="00935379"/>
    <w:rsid w:val="009456F3"/>
    <w:rsid w:val="009518B3"/>
    <w:rsid w:val="00953B9D"/>
    <w:rsid w:val="00962160"/>
    <w:rsid w:val="009679EA"/>
    <w:rsid w:val="0097081B"/>
    <w:rsid w:val="0098137B"/>
    <w:rsid w:val="00985797"/>
    <w:rsid w:val="00987C35"/>
    <w:rsid w:val="009B213A"/>
    <w:rsid w:val="009B22B3"/>
    <w:rsid w:val="009C0477"/>
    <w:rsid w:val="009E1438"/>
    <w:rsid w:val="009E2FBE"/>
    <w:rsid w:val="009E6491"/>
    <w:rsid w:val="009F37E9"/>
    <w:rsid w:val="009F5A12"/>
    <w:rsid w:val="009F71AD"/>
    <w:rsid w:val="00A0568F"/>
    <w:rsid w:val="00A177CF"/>
    <w:rsid w:val="00A2105E"/>
    <w:rsid w:val="00A24E72"/>
    <w:rsid w:val="00A352BE"/>
    <w:rsid w:val="00A441A7"/>
    <w:rsid w:val="00A50045"/>
    <w:rsid w:val="00A60BA5"/>
    <w:rsid w:val="00A71117"/>
    <w:rsid w:val="00A7420C"/>
    <w:rsid w:val="00A76D75"/>
    <w:rsid w:val="00A80BF3"/>
    <w:rsid w:val="00A93B9F"/>
    <w:rsid w:val="00AA5F29"/>
    <w:rsid w:val="00AE1C32"/>
    <w:rsid w:val="00B0442D"/>
    <w:rsid w:val="00B115E6"/>
    <w:rsid w:val="00B304E8"/>
    <w:rsid w:val="00B33E89"/>
    <w:rsid w:val="00B4379B"/>
    <w:rsid w:val="00B459C4"/>
    <w:rsid w:val="00B530C3"/>
    <w:rsid w:val="00B532E4"/>
    <w:rsid w:val="00B56F13"/>
    <w:rsid w:val="00BA27A5"/>
    <w:rsid w:val="00BB5893"/>
    <w:rsid w:val="00BB66BC"/>
    <w:rsid w:val="00BB6FBE"/>
    <w:rsid w:val="00BD399C"/>
    <w:rsid w:val="00BE2D0B"/>
    <w:rsid w:val="00BE5A35"/>
    <w:rsid w:val="00C119BF"/>
    <w:rsid w:val="00C12EBC"/>
    <w:rsid w:val="00C34422"/>
    <w:rsid w:val="00C5091B"/>
    <w:rsid w:val="00C57A76"/>
    <w:rsid w:val="00C63D5A"/>
    <w:rsid w:val="00C67ABA"/>
    <w:rsid w:val="00C8680F"/>
    <w:rsid w:val="00C938BB"/>
    <w:rsid w:val="00C93ABA"/>
    <w:rsid w:val="00C9456B"/>
    <w:rsid w:val="00CA0E7A"/>
    <w:rsid w:val="00CA5FE7"/>
    <w:rsid w:val="00CA63EF"/>
    <w:rsid w:val="00CC0C39"/>
    <w:rsid w:val="00CE741C"/>
    <w:rsid w:val="00CF111A"/>
    <w:rsid w:val="00CF6248"/>
    <w:rsid w:val="00CF714A"/>
    <w:rsid w:val="00D130B8"/>
    <w:rsid w:val="00D34550"/>
    <w:rsid w:val="00D34EEA"/>
    <w:rsid w:val="00D3543D"/>
    <w:rsid w:val="00D36645"/>
    <w:rsid w:val="00D432F2"/>
    <w:rsid w:val="00D458FA"/>
    <w:rsid w:val="00D54144"/>
    <w:rsid w:val="00D55926"/>
    <w:rsid w:val="00D55BE6"/>
    <w:rsid w:val="00D85501"/>
    <w:rsid w:val="00D91663"/>
    <w:rsid w:val="00DA0B71"/>
    <w:rsid w:val="00DC25BC"/>
    <w:rsid w:val="00DC66AF"/>
    <w:rsid w:val="00DD477E"/>
    <w:rsid w:val="00DF5E7E"/>
    <w:rsid w:val="00DF7407"/>
    <w:rsid w:val="00E213C6"/>
    <w:rsid w:val="00E21AE3"/>
    <w:rsid w:val="00E224B9"/>
    <w:rsid w:val="00E2601A"/>
    <w:rsid w:val="00E32DEE"/>
    <w:rsid w:val="00E52DE7"/>
    <w:rsid w:val="00E93000"/>
    <w:rsid w:val="00E94327"/>
    <w:rsid w:val="00EA2ABB"/>
    <w:rsid w:val="00EB0FB9"/>
    <w:rsid w:val="00EC4927"/>
    <w:rsid w:val="00ED3C39"/>
    <w:rsid w:val="00ED4CAF"/>
    <w:rsid w:val="00ED5B1E"/>
    <w:rsid w:val="00EF0E35"/>
    <w:rsid w:val="00EF63CA"/>
    <w:rsid w:val="00EF7243"/>
    <w:rsid w:val="00F13445"/>
    <w:rsid w:val="00F1752F"/>
    <w:rsid w:val="00F17747"/>
    <w:rsid w:val="00F22FF1"/>
    <w:rsid w:val="00F43B9F"/>
    <w:rsid w:val="00F43DDC"/>
    <w:rsid w:val="00F4502F"/>
    <w:rsid w:val="00F45D64"/>
    <w:rsid w:val="00F45E97"/>
    <w:rsid w:val="00F5736D"/>
    <w:rsid w:val="00F61B80"/>
    <w:rsid w:val="00F730F5"/>
    <w:rsid w:val="00F754A2"/>
    <w:rsid w:val="00F77C0E"/>
    <w:rsid w:val="00F846AA"/>
    <w:rsid w:val="00F94DF3"/>
    <w:rsid w:val="00FB013D"/>
    <w:rsid w:val="00FB6162"/>
    <w:rsid w:val="00FC3607"/>
    <w:rsid w:val="00FC6A5D"/>
    <w:rsid w:val="00FD29FD"/>
    <w:rsid w:val="00FD5236"/>
    <w:rsid w:val="00FE5CDB"/>
    <w:rsid w:val="01581784"/>
    <w:rsid w:val="025B5DA5"/>
    <w:rsid w:val="0AA97EE7"/>
    <w:rsid w:val="0AF73EF3"/>
    <w:rsid w:val="0D3F1F31"/>
    <w:rsid w:val="0EF26C81"/>
    <w:rsid w:val="0F4D20D4"/>
    <w:rsid w:val="0F763570"/>
    <w:rsid w:val="10D707CC"/>
    <w:rsid w:val="11DD6DE3"/>
    <w:rsid w:val="13AF2ECF"/>
    <w:rsid w:val="142A0397"/>
    <w:rsid w:val="14682AD7"/>
    <w:rsid w:val="14A45985"/>
    <w:rsid w:val="1A6C2D45"/>
    <w:rsid w:val="1AA400D3"/>
    <w:rsid w:val="1B75625C"/>
    <w:rsid w:val="1CDB194C"/>
    <w:rsid w:val="1E834504"/>
    <w:rsid w:val="1F6679E3"/>
    <w:rsid w:val="208F60D4"/>
    <w:rsid w:val="20B3704D"/>
    <w:rsid w:val="2182198E"/>
    <w:rsid w:val="24412DE9"/>
    <w:rsid w:val="24842074"/>
    <w:rsid w:val="2583467A"/>
    <w:rsid w:val="284E4C55"/>
    <w:rsid w:val="29247C85"/>
    <w:rsid w:val="2A615966"/>
    <w:rsid w:val="2B8F3471"/>
    <w:rsid w:val="2BF8718F"/>
    <w:rsid w:val="2C116427"/>
    <w:rsid w:val="2C831FD9"/>
    <w:rsid w:val="2DD92ECC"/>
    <w:rsid w:val="2E853B72"/>
    <w:rsid w:val="2F46428D"/>
    <w:rsid w:val="353C3CFB"/>
    <w:rsid w:val="36A306F3"/>
    <w:rsid w:val="3A4450C3"/>
    <w:rsid w:val="3C6C7DC6"/>
    <w:rsid w:val="3C803E6E"/>
    <w:rsid w:val="3E687422"/>
    <w:rsid w:val="404E3A6C"/>
    <w:rsid w:val="43D64B47"/>
    <w:rsid w:val="47851396"/>
    <w:rsid w:val="4CB057A6"/>
    <w:rsid w:val="50173FCB"/>
    <w:rsid w:val="50356DDF"/>
    <w:rsid w:val="53357EC0"/>
    <w:rsid w:val="54774B8A"/>
    <w:rsid w:val="58B06667"/>
    <w:rsid w:val="5AA93CF6"/>
    <w:rsid w:val="61CF2CC0"/>
    <w:rsid w:val="61D50202"/>
    <w:rsid w:val="640040D1"/>
    <w:rsid w:val="66E671FE"/>
    <w:rsid w:val="68FD536C"/>
    <w:rsid w:val="694A6CC7"/>
    <w:rsid w:val="6A543081"/>
    <w:rsid w:val="6B9E4E8E"/>
    <w:rsid w:val="6E652CE5"/>
    <w:rsid w:val="74E16059"/>
    <w:rsid w:val="75F50250"/>
    <w:rsid w:val="76663AA4"/>
    <w:rsid w:val="778F676C"/>
    <w:rsid w:val="7B511B2D"/>
    <w:rsid w:val="7C2D2DCE"/>
    <w:rsid w:val="7D4E73F5"/>
    <w:rsid w:val="7F6C5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lang w:val="en-US" w:eastAsia="zh-CN" w:bidi="ar-SA"/>
    </w:rPr>
  </w:style>
  <w:style w:type="paragraph" w:styleId="3">
    <w:name w:val="heading 1"/>
    <w:basedOn w:val="1"/>
    <w:next w:val="1"/>
    <w:link w:val="41"/>
    <w:qFormat/>
    <w:uiPriority w:val="99"/>
    <w:pPr>
      <w:keepNext/>
      <w:keepLines/>
      <w:spacing w:before="340" w:after="330" w:line="578" w:lineRule="auto"/>
      <w:outlineLvl w:val="0"/>
    </w:pPr>
    <w:rPr>
      <w:rFonts w:ascii="等线" w:hAnsi="等线" w:eastAsia="等线" w:cs="等线"/>
      <w:b/>
      <w:bCs/>
      <w:kern w:val="44"/>
      <w:sz w:val="44"/>
      <w:szCs w:val="44"/>
    </w:rPr>
  </w:style>
  <w:style w:type="paragraph" w:styleId="4">
    <w:name w:val="heading 2"/>
    <w:basedOn w:val="1"/>
    <w:next w:val="1"/>
    <w:link w:val="42"/>
    <w:qFormat/>
    <w:uiPriority w:val="99"/>
    <w:pPr>
      <w:keepNext/>
      <w:keepLines/>
      <w:adjustRightInd w:val="0"/>
      <w:snapToGrid w:val="0"/>
      <w:spacing w:before="120" w:after="120" w:line="360" w:lineRule="auto"/>
      <w:outlineLvl w:val="1"/>
    </w:pPr>
    <w:rPr>
      <w:rFonts w:ascii="等线 Light" w:hAnsi="等线 Light" w:eastAsia="黑体" w:cs="等线 Light"/>
      <w:sz w:val="30"/>
      <w:szCs w:val="30"/>
    </w:rPr>
  </w:style>
  <w:style w:type="paragraph" w:styleId="5">
    <w:name w:val="heading 3"/>
    <w:basedOn w:val="1"/>
    <w:next w:val="1"/>
    <w:link w:val="43"/>
    <w:qFormat/>
    <w:uiPriority w:val="99"/>
    <w:pPr>
      <w:keepNext/>
      <w:keepLines/>
      <w:snapToGrid w:val="0"/>
      <w:spacing w:beforeLines="50" w:afterLines="50" w:line="264" w:lineRule="auto"/>
      <w:jc w:val="left"/>
      <w:outlineLvl w:val="2"/>
    </w:pPr>
    <w:rPr>
      <w:rFonts w:ascii="等线" w:hAnsi="等线" w:eastAsia="仿宋" w:cs="等线"/>
      <w:b/>
      <w:bCs/>
      <w:szCs w:val="32"/>
    </w:rPr>
  </w:style>
  <w:style w:type="character" w:default="1" w:styleId="18">
    <w:name w:val="Default Paragraph Font"/>
    <w:unhideWhenUsed/>
    <w:qFormat/>
    <w:uiPriority w:val="1"/>
  </w:style>
  <w:style w:type="table" w:default="1" w:styleId="21">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23"/>
    <w:qFormat/>
    <w:uiPriority w:val="0"/>
    <w:pPr>
      <w:spacing w:after="120"/>
    </w:pPr>
    <w:rPr>
      <w:rFonts w:hAnsi="Tahoma"/>
      <w:kern w:val="0"/>
      <w:szCs w:val="24"/>
    </w:rPr>
  </w:style>
  <w:style w:type="paragraph" w:styleId="6">
    <w:name w:val="annotation subject"/>
    <w:basedOn w:val="7"/>
    <w:next w:val="7"/>
    <w:link w:val="45"/>
    <w:semiHidden/>
    <w:qFormat/>
    <w:uiPriority w:val="99"/>
    <w:rPr>
      <w:b/>
      <w:bCs/>
    </w:rPr>
  </w:style>
  <w:style w:type="paragraph" w:styleId="7">
    <w:name w:val="annotation text"/>
    <w:basedOn w:val="1"/>
    <w:link w:val="44"/>
    <w:semiHidden/>
    <w:qFormat/>
    <w:uiPriority w:val="99"/>
    <w:pPr>
      <w:jc w:val="left"/>
    </w:pPr>
    <w:rPr>
      <w:rFonts w:ascii="等线" w:hAnsi="等线" w:eastAsia="等线" w:cs="等线"/>
      <w:sz w:val="21"/>
      <w:szCs w:val="21"/>
    </w:rPr>
  </w:style>
  <w:style w:type="paragraph" w:styleId="8">
    <w:name w:val="Document Map"/>
    <w:basedOn w:val="1"/>
    <w:link w:val="24"/>
    <w:unhideWhenUsed/>
    <w:qFormat/>
    <w:uiPriority w:val="99"/>
    <w:rPr>
      <w:rFonts w:ascii="宋体" w:hAnsi="Calibri" w:eastAsia="宋体"/>
      <w:sz w:val="18"/>
      <w:szCs w:val="18"/>
    </w:rPr>
  </w:style>
  <w:style w:type="paragraph" w:styleId="9">
    <w:name w:val="Body Text Indent"/>
    <w:basedOn w:val="1"/>
    <w:link w:val="25"/>
    <w:unhideWhenUsed/>
    <w:qFormat/>
    <w:uiPriority w:val="99"/>
    <w:pPr>
      <w:spacing w:after="120"/>
      <w:ind w:left="420" w:leftChars="200"/>
    </w:pPr>
    <w:rPr>
      <w:kern w:val="0"/>
    </w:rPr>
  </w:style>
  <w:style w:type="paragraph" w:styleId="10">
    <w:name w:val="Plain Text"/>
    <w:basedOn w:val="1"/>
    <w:next w:val="1"/>
    <w:link w:val="26"/>
    <w:unhideWhenUsed/>
    <w:qFormat/>
    <w:uiPriority w:val="99"/>
    <w:rPr>
      <w:rFonts w:ascii="宋体" w:hAnsi="宋体" w:eastAsia="宋体"/>
      <w:color w:val="000000"/>
      <w:kern w:val="0"/>
      <w:sz w:val="20"/>
      <w:szCs w:val="21"/>
    </w:rPr>
  </w:style>
  <w:style w:type="paragraph" w:styleId="11">
    <w:name w:val="Balloon Text"/>
    <w:basedOn w:val="1"/>
    <w:link w:val="27"/>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14">
    <w:name w:val="toc 1"/>
    <w:basedOn w:val="1"/>
    <w:next w:val="1"/>
    <w:qFormat/>
    <w:uiPriority w:val="39"/>
    <w:pPr>
      <w:spacing w:before="120" w:after="120"/>
      <w:jc w:val="left"/>
    </w:pPr>
    <w:rPr>
      <w:rFonts w:ascii="等线" w:hAnsi="等线" w:eastAsia="等线" w:cs="等线"/>
      <w:b/>
      <w:bCs/>
      <w:caps/>
      <w:sz w:val="20"/>
    </w:rPr>
  </w:style>
  <w:style w:type="paragraph" w:styleId="15">
    <w:name w:val="toc 2"/>
    <w:basedOn w:val="1"/>
    <w:next w:val="1"/>
    <w:qFormat/>
    <w:uiPriority w:val="39"/>
    <w:pPr>
      <w:ind w:left="210"/>
      <w:jc w:val="left"/>
    </w:pPr>
    <w:rPr>
      <w:rFonts w:ascii="等线" w:hAnsi="等线" w:eastAsia="等线" w:cs="等线"/>
      <w:smallCaps/>
      <w:sz w:val="20"/>
    </w:rPr>
  </w:style>
  <w:style w:type="paragraph" w:styleId="16">
    <w:name w:val="HTML Preformatted"/>
    <w:basedOn w:val="1"/>
    <w:link w:val="4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7">
    <w:name w:val="Normal (Web)"/>
    <w:basedOn w:val="1"/>
    <w:qFormat/>
    <w:uiPriority w:val="99"/>
    <w:pPr>
      <w:spacing w:before="100" w:beforeAutospacing="1" w:after="100" w:afterAutospacing="1"/>
      <w:jc w:val="left"/>
    </w:pPr>
    <w:rPr>
      <w:rFonts w:ascii="Calibri" w:hAnsi="Calibri" w:eastAsia="宋体"/>
      <w:kern w:val="0"/>
      <w:sz w:val="24"/>
      <w:szCs w:val="24"/>
    </w:rPr>
  </w:style>
  <w:style w:type="character" w:styleId="19">
    <w:name w:val="Hyperlink"/>
    <w:qFormat/>
    <w:uiPriority w:val="99"/>
    <w:rPr>
      <w:color w:val="0000FF"/>
      <w:u w:val="single"/>
    </w:rPr>
  </w:style>
  <w:style w:type="character" w:styleId="20">
    <w:name w:val="annotation reference"/>
    <w:basedOn w:val="18"/>
    <w:unhideWhenUsed/>
    <w:qFormat/>
    <w:uiPriority w:val="99"/>
    <w:rPr>
      <w:sz w:val="21"/>
      <w:szCs w:val="21"/>
    </w:rPr>
  </w:style>
  <w:style w:type="table" w:styleId="22">
    <w:name w:val="Table Grid"/>
    <w:basedOn w:val="2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正文文本 Char"/>
    <w:link w:val="2"/>
    <w:qFormat/>
    <w:uiPriority w:val="0"/>
    <w:rPr>
      <w:rFonts w:ascii="仿宋_GB2312" w:hAnsi="Tahoma" w:eastAsia="仿宋_GB2312"/>
      <w:sz w:val="32"/>
      <w:szCs w:val="24"/>
    </w:rPr>
  </w:style>
  <w:style w:type="character" w:customStyle="1" w:styleId="24">
    <w:name w:val="文档结构图 Char"/>
    <w:link w:val="8"/>
    <w:semiHidden/>
    <w:qFormat/>
    <w:uiPriority w:val="99"/>
    <w:rPr>
      <w:rFonts w:ascii="宋体" w:hAnsi="Calibri" w:cs="Times New Roman"/>
      <w:kern w:val="2"/>
      <w:sz w:val="18"/>
      <w:szCs w:val="18"/>
    </w:rPr>
  </w:style>
  <w:style w:type="character" w:customStyle="1" w:styleId="25">
    <w:name w:val="正文文本缩进 Char"/>
    <w:link w:val="9"/>
    <w:semiHidden/>
    <w:qFormat/>
    <w:uiPriority w:val="99"/>
    <w:rPr>
      <w:rFonts w:ascii="仿宋_GB2312" w:hAnsi="Times New Roman" w:eastAsia="仿宋_GB2312" w:cs="Times New Roman"/>
      <w:sz w:val="32"/>
      <w:szCs w:val="20"/>
    </w:rPr>
  </w:style>
  <w:style w:type="character" w:customStyle="1" w:styleId="26">
    <w:name w:val="纯文本 Char"/>
    <w:link w:val="10"/>
    <w:qFormat/>
    <w:uiPriority w:val="99"/>
    <w:rPr>
      <w:rFonts w:ascii="宋体" w:hAnsi="宋体" w:eastAsia="宋体"/>
      <w:color w:val="000000"/>
      <w:szCs w:val="21"/>
    </w:rPr>
  </w:style>
  <w:style w:type="character" w:customStyle="1" w:styleId="27">
    <w:name w:val="批注框文本 Char"/>
    <w:link w:val="11"/>
    <w:semiHidden/>
    <w:qFormat/>
    <w:uiPriority w:val="99"/>
    <w:rPr>
      <w:rFonts w:ascii="仿宋_GB2312" w:hAnsi="Times New Roman" w:eastAsia="仿宋_GB2312"/>
      <w:kern w:val="2"/>
      <w:sz w:val="18"/>
      <w:szCs w:val="18"/>
    </w:rPr>
  </w:style>
  <w:style w:type="character" w:customStyle="1" w:styleId="28">
    <w:name w:val="页脚 Char"/>
    <w:link w:val="12"/>
    <w:qFormat/>
    <w:uiPriority w:val="99"/>
    <w:rPr>
      <w:sz w:val="18"/>
      <w:szCs w:val="18"/>
    </w:rPr>
  </w:style>
  <w:style w:type="character" w:customStyle="1" w:styleId="29">
    <w:name w:val="页眉 Char"/>
    <w:link w:val="13"/>
    <w:qFormat/>
    <w:uiPriority w:val="99"/>
    <w:rPr>
      <w:sz w:val="18"/>
      <w:szCs w:val="18"/>
    </w:rPr>
  </w:style>
  <w:style w:type="character" w:customStyle="1" w:styleId="30">
    <w:name w:val="纯文本 字符1"/>
    <w:semiHidden/>
    <w:qFormat/>
    <w:uiPriority w:val="99"/>
    <w:rPr>
      <w:rFonts w:ascii="宋体" w:hAnsi="Courier New" w:cs="Courier New"/>
      <w:sz w:val="32"/>
      <w:szCs w:val="20"/>
    </w:rPr>
  </w:style>
  <w:style w:type="character" w:customStyle="1" w:styleId="31">
    <w:name w:val="正文文本 字符1"/>
    <w:semiHidden/>
    <w:qFormat/>
    <w:uiPriority w:val="99"/>
    <w:rPr>
      <w:rFonts w:ascii="仿宋_GB2312" w:hAnsi="Times New Roman" w:eastAsia="仿宋_GB2312" w:cs="Times New Roman"/>
      <w:sz w:val="32"/>
      <w:szCs w:val="20"/>
    </w:rPr>
  </w:style>
  <w:style w:type="paragraph" w:customStyle="1" w:styleId="32">
    <w:name w:val="★表头 表7-1-居中"/>
    <w:basedOn w:val="1"/>
    <w:qFormat/>
    <w:uiPriority w:val="0"/>
    <w:pPr>
      <w:widowControl/>
      <w:spacing w:beforeLines="50" w:afterLines="50" w:line="360" w:lineRule="auto"/>
      <w:ind w:firstLine="200" w:firstLineChars="200"/>
      <w:jc w:val="center"/>
    </w:pPr>
    <w:rPr>
      <w:rFonts w:ascii="Times New Roman" w:cs="宋体"/>
      <w:b/>
      <w:color w:val="000000"/>
      <w:sz w:val="24"/>
    </w:rPr>
  </w:style>
  <w:style w:type="paragraph" w:customStyle="1" w:styleId="33">
    <w:name w:val="列出段落1"/>
    <w:basedOn w:val="1"/>
    <w:qFormat/>
    <w:uiPriority w:val="99"/>
    <w:pPr>
      <w:ind w:firstLine="420" w:firstLineChars="200"/>
    </w:pPr>
    <w:rPr>
      <w:rFonts w:ascii="Times New Roman" w:eastAsia="宋体"/>
      <w:kern w:val="0"/>
      <w:sz w:val="24"/>
      <w:szCs w:val="22"/>
    </w:rPr>
  </w:style>
  <w:style w:type="paragraph" w:customStyle="1" w:styleId="34">
    <w:name w:val="样式 样式 四号 行距: 固定值 25 磅 + 首行缩进:  2 字符"/>
    <w:basedOn w:val="1"/>
    <w:qFormat/>
    <w:uiPriority w:val="99"/>
    <w:pPr>
      <w:spacing w:line="500" w:lineRule="atLeast"/>
      <w:ind w:firstLine="560" w:firstLineChars="200"/>
    </w:pPr>
    <w:rPr>
      <w:rFonts w:ascii="Times New Roman" w:eastAsia="宋体"/>
      <w:sz w:val="28"/>
      <w:szCs w:val="28"/>
    </w:rPr>
  </w:style>
  <w:style w:type="table" w:customStyle="1" w:styleId="35">
    <w:name w:val="网格型5"/>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6">
    <w:name w:val="网格型10"/>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7">
    <w:name w:val="修订1"/>
    <w:hidden/>
    <w:unhideWhenUsed/>
    <w:qFormat/>
    <w:uiPriority w:val="99"/>
    <w:rPr>
      <w:rFonts w:ascii="仿宋_GB2312" w:hAnsi="Times New Roman" w:eastAsia="仿宋_GB2312" w:cs="Times New Roman"/>
      <w:kern w:val="2"/>
      <w:sz w:val="32"/>
      <w:lang w:val="en-US" w:eastAsia="zh-CN" w:bidi="ar-SA"/>
    </w:rPr>
  </w:style>
  <w:style w:type="paragraph" w:customStyle="1" w:styleId="38">
    <w:name w:val="p15"/>
    <w:basedOn w:val="1"/>
    <w:qFormat/>
    <w:uiPriority w:val="99"/>
    <w:pPr>
      <w:widowControl/>
      <w:ind w:firstLine="420"/>
    </w:pPr>
    <w:rPr>
      <w:rFonts w:ascii="Calibri" w:hAnsi="Calibri" w:cs="宋体" w:eastAsiaTheme="minorEastAsia"/>
      <w:kern w:val="0"/>
      <w:sz w:val="21"/>
      <w:szCs w:val="21"/>
    </w:rPr>
  </w:style>
  <w:style w:type="paragraph" w:customStyle="1" w:styleId="39">
    <w:name w:val="04  公文-正文(无序)"/>
    <w:basedOn w:val="1"/>
    <w:link w:val="40"/>
    <w:qFormat/>
    <w:uiPriority w:val="99"/>
    <w:pPr>
      <w:snapToGrid w:val="0"/>
      <w:spacing w:line="560" w:lineRule="atLeast"/>
      <w:ind w:firstLine="200" w:firstLineChars="200"/>
    </w:pPr>
    <w:rPr>
      <w:rFonts w:ascii="Times New Roman" w:eastAsia="仿宋" w:cstheme="minorBidi"/>
      <w:szCs w:val="28"/>
      <w:lang w:val="zh-CN"/>
    </w:rPr>
  </w:style>
  <w:style w:type="character" w:customStyle="1" w:styleId="40">
    <w:name w:val="04  公文-正文(无序) Char"/>
    <w:link w:val="39"/>
    <w:qFormat/>
    <w:uiPriority w:val="99"/>
    <w:rPr>
      <w:rFonts w:ascii="Times New Roman" w:hAnsi="Times New Roman" w:eastAsia="仿宋" w:cstheme="minorBidi"/>
      <w:kern w:val="2"/>
      <w:sz w:val="32"/>
      <w:szCs w:val="28"/>
      <w:lang w:val="zh-CN"/>
    </w:rPr>
  </w:style>
  <w:style w:type="character" w:customStyle="1" w:styleId="41">
    <w:name w:val="标题 1 Char"/>
    <w:basedOn w:val="18"/>
    <w:link w:val="3"/>
    <w:qFormat/>
    <w:uiPriority w:val="99"/>
    <w:rPr>
      <w:rFonts w:ascii="等线" w:hAnsi="等线" w:eastAsia="等线" w:cs="等线"/>
      <w:b/>
      <w:bCs/>
      <w:kern w:val="44"/>
      <w:sz w:val="44"/>
      <w:szCs w:val="44"/>
    </w:rPr>
  </w:style>
  <w:style w:type="character" w:customStyle="1" w:styleId="42">
    <w:name w:val="标题 2 Char"/>
    <w:basedOn w:val="18"/>
    <w:link w:val="4"/>
    <w:qFormat/>
    <w:uiPriority w:val="99"/>
    <w:rPr>
      <w:rFonts w:ascii="等线 Light" w:hAnsi="等线 Light" w:eastAsia="黑体" w:cs="等线 Light"/>
      <w:kern w:val="2"/>
      <w:sz w:val="30"/>
      <w:szCs w:val="30"/>
    </w:rPr>
  </w:style>
  <w:style w:type="character" w:customStyle="1" w:styleId="43">
    <w:name w:val="标题 3 Char"/>
    <w:basedOn w:val="18"/>
    <w:link w:val="5"/>
    <w:qFormat/>
    <w:uiPriority w:val="99"/>
    <w:rPr>
      <w:rFonts w:ascii="等线" w:hAnsi="等线" w:eastAsia="仿宋" w:cs="等线"/>
      <w:b/>
      <w:bCs/>
      <w:kern w:val="2"/>
      <w:sz w:val="32"/>
      <w:szCs w:val="32"/>
    </w:rPr>
  </w:style>
  <w:style w:type="character" w:customStyle="1" w:styleId="44">
    <w:name w:val="批注文字 Char"/>
    <w:basedOn w:val="18"/>
    <w:link w:val="7"/>
    <w:semiHidden/>
    <w:qFormat/>
    <w:uiPriority w:val="99"/>
    <w:rPr>
      <w:rFonts w:ascii="等线" w:hAnsi="等线" w:eastAsia="等线" w:cs="等线"/>
      <w:kern w:val="2"/>
      <w:sz w:val="21"/>
      <w:szCs w:val="21"/>
    </w:rPr>
  </w:style>
  <w:style w:type="character" w:customStyle="1" w:styleId="45">
    <w:name w:val="批注主题 Char"/>
    <w:basedOn w:val="44"/>
    <w:link w:val="6"/>
    <w:semiHidden/>
    <w:qFormat/>
    <w:uiPriority w:val="99"/>
    <w:rPr>
      <w:rFonts w:ascii="等线" w:hAnsi="等线" w:eastAsia="等线" w:cs="等线"/>
      <w:b/>
      <w:bCs/>
      <w:kern w:val="2"/>
      <w:sz w:val="21"/>
      <w:szCs w:val="21"/>
    </w:rPr>
  </w:style>
  <w:style w:type="character" w:customStyle="1" w:styleId="46">
    <w:name w:val="HTML 预设格式 Char"/>
    <w:basedOn w:val="18"/>
    <w:link w:val="16"/>
    <w:qFormat/>
    <w:uiPriority w:val="99"/>
    <w:rPr>
      <w:rFonts w:ascii="宋体" w:hAnsi="宋体" w:cs="宋体"/>
      <w:sz w:val="24"/>
      <w:szCs w:val="24"/>
    </w:rPr>
  </w:style>
  <w:style w:type="paragraph" w:customStyle="1" w:styleId="47">
    <w:name w:val="BT2"/>
    <w:basedOn w:val="1"/>
    <w:link w:val="48"/>
    <w:qFormat/>
    <w:uiPriority w:val="99"/>
    <w:pPr>
      <w:keepNext/>
      <w:keepLines/>
      <w:spacing w:before="120" w:after="120" w:line="500" w:lineRule="atLeast"/>
      <w:outlineLvl w:val="1"/>
    </w:pPr>
    <w:rPr>
      <w:rFonts w:ascii="Times New Roman" w:eastAsia="黑体"/>
      <w:kern w:val="0"/>
      <w:sz w:val="30"/>
      <w:szCs w:val="30"/>
    </w:rPr>
  </w:style>
  <w:style w:type="character" w:customStyle="1" w:styleId="48">
    <w:name w:val="BT2 Char"/>
    <w:link w:val="47"/>
    <w:qFormat/>
    <w:locked/>
    <w:uiPriority w:val="99"/>
    <w:rPr>
      <w:rFonts w:eastAsia="黑体"/>
      <w:sz w:val="30"/>
      <w:szCs w:val="30"/>
    </w:rPr>
  </w:style>
  <w:style w:type="paragraph" w:customStyle="1" w:styleId="49">
    <w:name w:val="样式3"/>
    <w:basedOn w:val="1"/>
    <w:link w:val="50"/>
    <w:qFormat/>
    <w:uiPriority w:val="99"/>
    <w:pPr>
      <w:ind w:firstLine="600"/>
    </w:pPr>
    <w:rPr>
      <w:rFonts w:hAnsi="等线" w:cs="仿宋_GB2312"/>
      <w:sz w:val="30"/>
      <w:szCs w:val="30"/>
    </w:rPr>
  </w:style>
  <w:style w:type="character" w:customStyle="1" w:styleId="50">
    <w:name w:val="样式3 Char"/>
    <w:link w:val="49"/>
    <w:qFormat/>
    <w:locked/>
    <w:uiPriority w:val="99"/>
    <w:rPr>
      <w:rFonts w:ascii="仿宋_GB2312" w:hAnsi="等线" w:eastAsia="仿宋_GB2312" w:cs="仿宋_GB2312"/>
      <w:kern w:val="2"/>
      <w:sz w:val="30"/>
      <w:szCs w:val="30"/>
    </w:rPr>
  </w:style>
  <w:style w:type="character" w:customStyle="1" w:styleId="51">
    <w:name w:val="样式 样式 (西文) 仿宋_GB2312 四号 首行缩进:  0.99 厘米 行距: 1.5 倍行距 + Times New R...2 Char"/>
    <w:link w:val="52"/>
    <w:qFormat/>
    <w:locked/>
    <w:uiPriority w:val="99"/>
    <w:rPr>
      <w:rFonts w:eastAsia="仿宋_GB2312"/>
      <w:sz w:val="28"/>
      <w:szCs w:val="28"/>
    </w:rPr>
  </w:style>
  <w:style w:type="paragraph" w:customStyle="1" w:styleId="52">
    <w:name w:val="样式 样式 (西文) 仿宋_GB2312 四号 首行缩进:  0.99 厘米 行距: 1.5 倍行距 + Times New R...2"/>
    <w:basedOn w:val="53"/>
    <w:link w:val="51"/>
    <w:qFormat/>
    <w:uiPriority w:val="99"/>
  </w:style>
  <w:style w:type="paragraph" w:customStyle="1" w:styleId="53">
    <w:name w:val="样式 (西文) 仿宋_GB2312 四号 首行缩进:  0.99 厘米 行距: 1.5 倍行距"/>
    <w:basedOn w:val="1"/>
    <w:link w:val="54"/>
    <w:qFormat/>
    <w:uiPriority w:val="99"/>
    <w:pPr>
      <w:spacing w:line="500" w:lineRule="atLeast"/>
      <w:ind w:firstLine="561"/>
    </w:pPr>
    <w:rPr>
      <w:rFonts w:ascii="Times New Roman"/>
      <w:kern w:val="0"/>
      <w:sz w:val="28"/>
      <w:szCs w:val="28"/>
    </w:rPr>
  </w:style>
  <w:style w:type="character" w:customStyle="1" w:styleId="54">
    <w:name w:val="样式 (西文) 仿宋_GB2312 四号 首行缩进:  0.99 厘米 行距: 1.5 倍行距 Char"/>
    <w:link w:val="53"/>
    <w:qFormat/>
    <w:locked/>
    <w:uiPriority w:val="99"/>
    <w:rPr>
      <w:rFonts w:eastAsia="仿宋_GB2312"/>
      <w:sz w:val="28"/>
      <w:szCs w:val="28"/>
    </w:rPr>
  </w:style>
  <w:style w:type="character" w:customStyle="1" w:styleId="55">
    <w:name w:val="样式 样式 样式 样式 样式 样式 五号 居中 首行缩进:  0 厘米 行距: 单倍行距 + (符号) 宋体 + + (符号) ... Char"/>
    <w:link w:val="56"/>
    <w:qFormat/>
    <w:locked/>
    <w:uiPriority w:val="99"/>
    <w:rPr>
      <w:rFonts w:hAnsi="宋体" w:eastAsia="仿宋_GB2312"/>
      <w:kern w:val="2"/>
      <w:sz w:val="21"/>
      <w:szCs w:val="21"/>
    </w:rPr>
  </w:style>
  <w:style w:type="paragraph" w:customStyle="1" w:styleId="56">
    <w:name w:val="样式 样式 样式 样式 样式 样式 五号 居中 首行缩进:  0 厘米 行距: 单倍行距 + (符号) 宋体 + + (符号) ..."/>
    <w:basedOn w:val="1"/>
    <w:link w:val="55"/>
    <w:qFormat/>
    <w:uiPriority w:val="99"/>
    <w:pPr>
      <w:jc w:val="center"/>
    </w:pPr>
    <w:rPr>
      <w:rFonts w:ascii="Times New Roman" w:hAnsi="宋体"/>
      <w:sz w:val="21"/>
      <w:szCs w:val="21"/>
    </w:rPr>
  </w:style>
  <w:style w:type="character" w:customStyle="1" w:styleId="57">
    <w:name w:val="样式 样式 样式 首行缩进:  1.01 厘米 行距: 固定值 24 磅 + 黑色 行距: 最小值 24 磅 + 行距: 最小值... Char"/>
    <w:link w:val="58"/>
    <w:qFormat/>
    <w:locked/>
    <w:uiPriority w:val="99"/>
    <w:rPr>
      <w:rFonts w:eastAsia="仿宋_GB2312"/>
      <w:color w:val="000000"/>
      <w:sz w:val="28"/>
      <w:szCs w:val="28"/>
    </w:rPr>
  </w:style>
  <w:style w:type="paragraph" w:customStyle="1" w:styleId="58">
    <w:name w:val="样式 样式 样式 首行缩进:  1.01 厘米 行距: 固定值 24 磅 + 黑色 行距: 最小值 24 磅 + 行距: 最小值..."/>
    <w:basedOn w:val="1"/>
    <w:link w:val="57"/>
    <w:qFormat/>
    <w:uiPriority w:val="99"/>
    <w:pPr>
      <w:spacing w:line="500" w:lineRule="atLeast"/>
      <w:ind w:firstLine="561"/>
    </w:pPr>
    <w:rPr>
      <w:rFonts w:ascii="Times New Roman"/>
      <w:color w:val="000000"/>
      <w:kern w:val="0"/>
      <w:sz w:val="28"/>
      <w:szCs w:val="28"/>
    </w:rPr>
  </w:style>
  <w:style w:type="paragraph" w:customStyle="1" w:styleId="59">
    <w:name w:val="样式4"/>
    <w:basedOn w:val="49"/>
    <w:qFormat/>
    <w:uiPriority w:val="99"/>
    <w:pPr>
      <w:spacing w:line="600" w:lineRule="atLeast"/>
      <w:ind w:firstLine="200"/>
    </w:pPr>
    <w:rPr>
      <w:rFonts w:ascii="Times New Roman" w:hAnsi="Times New Roman" w:cs="Times New Roman"/>
      <w:sz w:val="32"/>
      <w:szCs w:val="32"/>
      <w:shd w:val="clear" w:color="auto" w:fill="FFFFFF"/>
    </w:rPr>
  </w:style>
  <w:style w:type="paragraph" w:customStyle="1" w:styleId="60">
    <w:name w:val="样式 (中文) 黑体 黑色 居中 首行缩进:  0 厘米 段前: 6 磅 段后: 6 磅 行距: 单倍行距4"/>
    <w:basedOn w:val="1"/>
    <w:qFormat/>
    <w:uiPriority w:val="99"/>
    <w:pPr>
      <w:spacing w:before="120" w:after="120"/>
      <w:ind w:left="-3" w:leftChars="-1"/>
      <w:jc w:val="center"/>
    </w:pPr>
    <w:rPr>
      <w:rFonts w:ascii="Times New Roman" w:eastAsia="黑体"/>
      <w:color w:val="000000"/>
      <w:sz w:val="30"/>
      <w:szCs w:val="30"/>
    </w:rPr>
  </w:style>
  <w:style w:type="paragraph" w:customStyle="1" w:styleId="61">
    <w:name w:val="01 公文-一级标题"/>
    <w:basedOn w:val="1"/>
    <w:qFormat/>
    <w:uiPriority w:val="99"/>
    <w:pPr>
      <w:snapToGrid w:val="0"/>
      <w:spacing w:beforeLines="100" w:afterLines="100" w:line="600" w:lineRule="atLeast"/>
      <w:outlineLvl w:val="0"/>
    </w:pPr>
    <w:rPr>
      <w:rFonts w:ascii="Tahoma" w:hAnsi="Tahoma" w:eastAsia="黑体" w:cs="Tahoma"/>
      <w:sz w:val="36"/>
      <w:szCs w:val="36"/>
    </w:rPr>
  </w:style>
  <w:style w:type="paragraph" w:customStyle="1" w:styleId="62">
    <w:name w:val="03  公文-三级标题"/>
    <w:basedOn w:val="1"/>
    <w:qFormat/>
    <w:uiPriority w:val="99"/>
    <w:pPr>
      <w:snapToGrid w:val="0"/>
      <w:spacing w:beforeLines="50" w:line="560" w:lineRule="atLeast"/>
      <w:ind w:firstLine="200" w:firstLineChars="200"/>
      <w:outlineLvl w:val="2"/>
    </w:pPr>
    <w:rPr>
      <w:rFonts w:ascii="Times New Roman" w:eastAsia="仿宋"/>
      <w:b/>
      <w:bCs/>
      <w:szCs w:val="32"/>
    </w:rPr>
  </w:style>
  <w:style w:type="paragraph" w:customStyle="1" w:styleId="63">
    <w:name w:val="样式 首行缩进:  0 厘米"/>
    <w:basedOn w:val="1"/>
    <w:qFormat/>
    <w:uiPriority w:val="99"/>
    <w:pPr>
      <w:spacing w:line="600" w:lineRule="atLeast"/>
      <w:ind w:firstLine="561"/>
    </w:pPr>
    <w:rPr>
      <w:rFonts w:ascii="Times New Roman"/>
      <w:szCs w:val="32"/>
    </w:rPr>
  </w:style>
  <w:style w:type="paragraph" w:customStyle="1" w:styleId="64">
    <w:name w:val="02 公文-二级标题"/>
    <w:basedOn w:val="1"/>
    <w:qFormat/>
    <w:uiPriority w:val="99"/>
    <w:pPr>
      <w:snapToGrid w:val="0"/>
      <w:spacing w:beforeLines="50" w:afterLines="50" w:line="600" w:lineRule="atLeast"/>
      <w:ind w:firstLine="200" w:firstLineChars="200"/>
      <w:outlineLvl w:val="1"/>
    </w:pPr>
    <w:rPr>
      <w:rFonts w:ascii="Tahoma" w:hAnsi="Tahoma" w:eastAsia="华文楷体" w:cs="Tahoma"/>
      <w:b/>
      <w:bCs/>
      <w:szCs w:val="32"/>
    </w:rPr>
  </w:style>
  <w:style w:type="paragraph" w:customStyle="1" w:styleId="65">
    <w:name w:val="样式 样式 样式 样式 四号 首行缩进:  0.99 厘米 行距: 最小值 25 磅3 + 行距: 最小值 24 磅 + 三号 ..."/>
    <w:basedOn w:val="1"/>
    <w:qFormat/>
    <w:uiPriority w:val="99"/>
    <w:pPr>
      <w:spacing w:line="600" w:lineRule="atLeast"/>
      <w:ind w:firstLine="561"/>
    </w:pPr>
    <w:rPr>
      <w:rFonts w:ascii="等线" w:hAnsi="等线" w:eastAsia="等线" w:cs="等线"/>
      <w:szCs w:val="32"/>
    </w:rPr>
  </w:style>
  <w:style w:type="paragraph" w:customStyle="1" w:styleId="66">
    <w:name w:val="Revision"/>
    <w:hidden/>
    <w:semiHidden/>
    <w:uiPriority w:val="99"/>
    <w:rPr>
      <w:rFonts w:ascii="仿宋_GB2312"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2384</Words>
  <Characters>13589</Characters>
  <Lines>113</Lines>
  <Paragraphs>31</Paragraphs>
  <TotalTime>0</TotalTime>
  <ScaleCrop>false</ScaleCrop>
  <LinksUpToDate>false</LinksUpToDate>
  <CharactersWithSpaces>15942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2022-03-02T05:52:00Z</dcterms:created>
  <dc:creator>884712077@qq.com</dc:creator>
  <cp:lastModifiedBy>ZQY</cp:lastModifiedBy>
  <cp:lastPrinted>2021-10-26T09:46:00Z</cp:lastPrinted>
  <dcterms:modified xsi:type="dcterms:W3CDTF">2023-07-18T03:17:31Z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