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AA5AF">
      <w:pPr>
        <w:spacing w:line="600" w:lineRule="exact"/>
        <w:ind w:firstLine="640" w:firstLineChars="200"/>
        <w:rPr>
          <w:rFonts w:hint="eastAsia" w:ascii="黑体" w:hAnsi="黑体" w:eastAsia="黑体" w:cs="黑体"/>
          <w:sz w:val="32"/>
          <w:szCs w:val="32"/>
        </w:rPr>
      </w:pPr>
    </w:p>
    <w:p w14:paraId="586AEAF7">
      <w:pPr>
        <w:spacing w:line="480" w:lineRule="exact"/>
        <w:rPr>
          <w:rFonts w:ascii="方正小标宋简体" w:eastAsia="方正小标宋简体"/>
          <w:sz w:val="36"/>
          <w:szCs w:val="36"/>
        </w:rPr>
      </w:pPr>
      <w:r>
        <w:rPr>
          <w:rFonts w:hint="eastAsia" w:ascii="黑体" w:hAnsi="黑体" w:eastAsia="黑体"/>
          <w:sz w:val="32"/>
          <w:szCs w:val="32"/>
        </w:rPr>
        <w:t>附件</w:t>
      </w:r>
      <w:r>
        <w:rPr>
          <w:rFonts w:hint="eastAsia" w:ascii="黑体" w:hAnsi="黑体" w:eastAsia="黑体"/>
          <w:sz w:val="32"/>
          <w:szCs w:val="32"/>
          <w:lang w:val="en-US" w:eastAsia="zh-CN"/>
        </w:rPr>
        <w:t>1</w:t>
      </w:r>
    </w:p>
    <w:p w14:paraId="709D51D7">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部门整体绩效评价报告</w:t>
      </w:r>
    </w:p>
    <w:p w14:paraId="35CE0EA8">
      <w:pPr>
        <w:jc w:val="center"/>
        <w:rPr>
          <w:rFonts w:ascii="仿宋_GB2312"/>
          <w:szCs w:val="30"/>
        </w:rPr>
      </w:pPr>
    </w:p>
    <w:p w14:paraId="27C314FE">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14:paraId="6571C878">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（一）机构设置及职责工作任务情况</w:t>
      </w:r>
    </w:p>
    <w:p w14:paraId="407349B2">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高碑店乡设书记1名，乡长1名，乡人大主席1名，副职领导11名，设置综合办公室、党群工作办公室(人大工作办公室)、平安建设办公室(人民武装部、司法所)、城乡建设办公室、民生保障办公室、社区建设办公室、经济发展办公室(统计所)、纪检监察机构、综合行政执法队等9个职能科室。下属5家事业单位，分别为便民服务中心(退役军人服务站)、市民活动中心(党群活动中心)、市民诉求处置中心(综治中心)、社会公共事务服务中心、农村合作经济经营管理站。</w:t>
      </w:r>
    </w:p>
    <w:p w14:paraId="219CB39E">
      <w:pPr>
        <w:spacing w:line="600" w:lineRule="exact"/>
        <w:ind w:firstLine="640" w:firstLineChars="200"/>
        <w:rPr>
          <w:rFonts w:hint="eastAsia" w:ascii="楷体_GB2312" w:eastAsia="楷体_GB2312"/>
          <w:sz w:val="32"/>
          <w:szCs w:val="32"/>
          <w:lang w:val="en-US" w:eastAsia="zh-CN"/>
        </w:rPr>
      </w:pPr>
      <w:bookmarkStart w:id="3" w:name="_GoBack"/>
      <w:bookmarkEnd w:id="3"/>
      <w:r>
        <w:rPr>
          <w:rFonts w:hint="eastAsia" w:ascii="楷体_GB2312" w:eastAsia="楷体_GB2312"/>
          <w:sz w:val="32"/>
          <w:szCs w:val="32"/>
          <w:lang w:val="en-US" w:eastAsia="zh-CN"/>
        </w:rPr>
        <w:t>主要工作职责：</w:t>
      </w:r>
    </w:p>
    <w:p w14:paraId="58E61D48">
      <w:pPr>
        <w:numPr>
          <w:ilvl w:val="0"/>
          <w:numId w:val="0"/>
        </w:numPr>
        <w:spacing w:line="600" w:lineRule="exact"/>
        <w:ind w:firstLine="640" w:firstLineChars="200"/>
        <w:rPr>
          <w:rFonts w:hint="eastAsia"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lang w:val="en-US" w:eastAsia="zh-CN"/>
        </w:rPr>
        <w:t>1）贯彻落实国家法律法规，执行本级人民代表大会的决议和上级行政机关的决定和命令。</w:t>
      </w:r>
    </w:p>
    <w:p w14:paraId="4E24A17C">
      <w:pPr>
        <w:numPr>
          <w:ilvl w:val="0"/>
          <w:numId w:val="0"/>
        </w:numPr>
        <w:spacing w:line="600" w:lineRule="exact"/>
        <w:ind w:firstLine="640" w:firstLineChars="200"/>
        <w:rPr>
          <w:rFonts w:hint="eastAsia"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lang w:val="en-US" w:eastAsia="zh-CN"/>
        </w:rPr>
        <w:t>2）推进乡民主政治建设，实行政务公开，指导村民委员会的工作，扩大和健全农村基层民主，加强基层政权组织建设。</w:t>
      </w:r>
    </w:p>
    <w:p w14:paraId="2E5F4450">
      <w:pPr>
        <w:numPr>
          <w:ilvl w:val="0"/>
          <w:numId w:val="0"/>
        </w:numPr>
        <w:spacing w:line="600" w:lineRule="exact"/>
        <w:ind w:firstLine="640" w:firstLineChars="200"/>
        <w:rPr>
          <w:rFonts w:hint="eastAsia"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lang w:val="en-US" w:eastAsia="zh-CN"/>
        </w:rPr>
        <w:t>3）负责制定本乡(地区)经济和社会发展规划、计划，组织指导产业结构调整，优化经济社会发展环境；管理本乡(地区)经济工作、财政预算和收支。</w:t>
      </w:r>
    </w:p>
    <w:p w14:paraId="6E69B2A4">
      <w:pPr>
        <w:numPr>
          <w:ilvl w:val="0"/>
          <w:numId w:val="0"/>
        </w:numPr>
        <w:spacing w:line="600" w:lineRule="exact"/>
        <w:ind w:firstLine="640" w:firstLineChars="200"/>
        <w:rPr>
          <w:rFonts w:hint="eastAsia"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lang w:val="en-US" w:eastAsia="zh-CN"/>
        </w:rPr>
        <w:t>4）负责农村经济体制改革工作，组织指导农业和农村经济结构调整，实施农村集体经济产权制度改革，规范农村集体经济管理。</w:t>
      </w:r>
    </w:p>
    <w:p w14:paraId="3F20BD13">
      <w:pPr>
        <w:numPr>
          <w:ilvl w:val="0"/>
          <w:numId w:val="0"/>
        </w:numPr>
        <w:spacing w:line="600" w:lineRule="exact"/>
        <w:ind w:firstLine="640" w:firstLineChars="200"/>
        <w:rPr>
          <w:rFonts w:hint="eastAsia"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lang w:val="en-US" w:eastAsia="zh-CN"/>
        </w:rPr>
        <w:t>5）负责乡村规划建设和农村土地开发建设管理工作，落实农村基础设施建设，改善农村公共生活设施，加快农村城市化建设。</w:t>
      </w:r>
    </w:p>
    <w:p w14:paraId="499C04C4">
      <w:pPr>
        <w:numPr>
          <w:ilvl w:val="0"/>
          <w:numId w:val="0"/>
        </w:numPr>
        <w:spacing w:line="600" w:lineRule="exact"/>
        <w:ind w:firstLine="640" w:firstLineChars="200"/>
        <w:rPr>
          <w:rFonts w:hint="eastAsia"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lang w:val="en-US" w:eastAsia="zh-CN"/>
        </w:rPr>
        <w:t>6）负责协同有关部门开展房屋安全管理、拆迁现场管理、施工单位依法施工监督、小区物业管理指导检查以及住宅小区公共配套设施落实情况的检查督促工作。</w:t>
      </w:r>
    </w:p>
    <w:p w14:paraId="13C80256">
      <w:pPr>
        <w:numPr>
          <w:ilvl w:val="0"/>
          <w:numId w:val="0"/>
        </w:numPr>
        <w:spacing w:line="600" w:lineRule="exact"/>
        <w:ind w:firstLine="640" w:firstLineChars="200"/>
        <w:rPr>
          <w:rFonts w:hint="eastAsia"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lang w:val="en-US" w:eastAsia="zh-CN"/>
        </w:rPr>
        <w:t>7）负责环境综合整治工作，组织监督对违法建筑、违法占用道路、无照经营行为的查处工作；负责辖区内市容市貌、环境卫生、绿化美化、节水用水、环保和防空减灾等工作。</w:t>
      </w:r>
    </w:p>
    <w:p w14:paraId="2475A843">
      <w:pPr>
        <w:numPr>
          <w:ilvl w:val="0"/>
          <w:numId w:val="0"/>
        </w:numPr>
        <w:spacing w:line="600" w:lineRule="exact"/>
        <w:ind w:firstLine="640" w:firstLineChars="200"/>
        <w:rPr>
          <w:rFonts w:hint="eastAsia"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lang w:val="en-US" w:eastAsia="zh-CN"/>
        </w:rPr>
        <w:t>8）负责辖区内社会治安综合治理以及安全生产监督、流动人口和出租房屋管理工作，协助开展交通安全、消防安全监管，维护社会秩序。</w:t>
      </w:r>
    </w:p>
    <w:p w14:paraId="463C2F03">
      <w:pPr>
        <w:numPr>
          <w:ilvl w:val="0"/>
          <w:numId w:val="0"/>
        </w:numPr>
        <w:spacing w:line="600" w:lineRule="exact"/>
        <w:ind w:firstLine="640" w:firstLineChars="200"/>
        <w:rPr>
          <w:rFonts w:hint="eastAsia"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lang w:val="en-US" w:eastAsia="zh-CN"/>
        </w:rPr>
        <w:t>9）负责组织开展法制宣传和法律援助工作，接待群众来信来访，调解民事纠纷，化解社会矛盾，处理群体突发事件。</w:t>
      </w:r>
    </w:p>
    <w:p w14:paraId="703C529A">
      <w:pPr>
        <w:numPr>
          <w:ilvl w:val="0"/>
          <w:numId w:val="0"/>
        </w:numPr>
        <w:spacing w:line="600" w:lineRule="exact"/>
        <w:ind w:firstLine="640" w:firstLineChars="200"/>
        <w:rPr>
          <w:rFonts w:hint="eastAsia"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lang w:val="en-US" w:eastAsia="zh-CN"/>
        </w:rPr>
        <w:t>10）负责推进基层政权和农村社区建设，指导村委会和居委会工作，促进村委会和居委会的组织建设，提高其自治能力。</w:t>
      </w:r>
    </w:p>
    <w:p w14:paraId="35D8F68D">
      <w:pPr>
        <w:numPr>
          <w:ilvl w:val="0"/>
          <w:numId w:val="0"/>
        </w:numPr>
        <w:spacing w:line="600" w:lineRule="exact"/>
        <w:ind w:firstLine="640" w:firstLineChars="200"/>
        <w:rPr>
          <w:rFonts w:hint="eastAsia"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lang w:val="en-US" w:eastAsia="zh-CN"/>
        </w:rPr>
        <w:t>11）保障少数民族、妇女、未成年人、老年人和残疾人的合法权益。</w:t>
      </w:r>
    </w:p>
    <w:p w14:paraId="4D213D35">
      <w:pPr>
        <w:numPr>
          <w:ilvl w:val="0"/>
          <w:numId w:val="0"/>
        </w:numPr>
        <w:spacing w:line="600" w:lineRule="exact"/>
        <w:ind w:firstLine="640" w:firstLineChars="200"/>
        <w:rPr>
          <w:rFonts w:hint="eastAsia"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lang w:val="en-US" w:eastAsia="zh-CN"/>
        </w:rPr>
        <w:t>12）负责制定社区服务发展规划，建设社区服务设施，合理配置社区服务资源。</w:t>
      </w:r>
    </w:p>
    <w:p w14:paraId="780EC492">
      <w:pPr>
        <w:numPr>
          <w:ilvl w:val="0"/>
          <w:numId w:val="0"/>
        </w:numPr>
        <w:spacing w:line="600" w:lineRule="exact"/>
        <w:ind w:firstLine="640" w:firstLineChars="200"/>
        <w:rPr>
          <w:rFonts w:hint="eastAsia"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lang w:val="en-US" w:eastAsia="zh-CN"/>
        </w:rPr>
        <w:t>13）负责本辖区社会保障和劳动就业工作，组织引导农村劳动力转移安置，增加农民收入，提高农民生活水平。</w:t>
      </w:r>
    </w:p>
    <w:p w14:paraId="4D35BEFB">
      <w:pPr>
        <w:numPr>
          <w:ilvl w:val="0"/>
          <w:numId w:val="0"/>
        </w:numPr>
        <w:spacing w:line="600" w:lineRule="exact"/>
        <w:ind w:firstLine="640" w:firstLineChars="200"/>
        <w:rPr>
          <w:rFonts w:hint="eastAsia"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lang w:val="en-US" w:eastAsia="zh-CN"/>
        </w:rPr>
        <w:t>14）负责公共卫生、计划生育、教育和社会救济等管理工作，组织开展群众文化、体育、科普活动。</w:t>
      </w:r>
    </w:p>
    <w:p w14:paraId="3D2B11BC">
      <w:pPr>
        <w:numPr>
          <w:ilvl w:val="0"/>
          <w:numId w:val="0"/>
        </w:numPr>
        <w:spacing w:line="600" w:lineRule="exact"/>
        <w:ind w:firstLine="640" w:firstLineChars="200"/>
        <w:rPr>
          <w:rFonts w:hint="eastAsia"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lang w:val="en-US" w:eastAsia="zh-CN"/>
        </w:rPr>
        <w:t>15）承办区政府交办的其他事项。</w:t>
      </w:r>
    </w:p>
    <w:p w14:paraId="3A98F04A">
      <w:pPr>
        <w:numPr>
          <w:ilvl w:val="0"/>
          <w:numId w:val="1"/>
        </w:num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部门整体绩效目标设立情况</w:t>
      </w:r>
    </w:p>
    <w:p w14:paraId="4BAC2426">
      <w:pPr>
        <w:numPr>
          <w:ilvl w:val="0"/>
          <w:numId w:val="0"/>
        </w:numPr>
        <w:spacing w:line="600" w:lineRule="exact"/>
        <w:ind w:firstLine="640" w:firstLineChars="200"/>
        <w:rPr>
          <w:rFonts w:hint="default" w:ascii="楷体_GB2312" w:eastAsia="楷体_GB2312"/>
          <w:sz w:val="32"/>
          <w:szCs w:val="32"/>
          <w:lang w:val="en-US" w:eastAsia="zh-CN"/>
        </w:rPr>
      </w:pPr>
      <w:r>
        <w:rPr>
          <w:rFonts w:hint="eastAsia" w:ascii="楷体_GB2312" w:eastAsia="楷体_GB2312"/>
          <w:sz w:val="32"/>
          <w:szCs w:val="32"/>
          <w:lang w:val="en-US" w:eastAsia="zh-CN"/>
        </w:rPr>
        <w:t>本部门的绩效目标为保障乡政府统筹其他公益事业类事权；提升人居环境，改善乡村生态环境、绿化美化乡村家园。让百姓切身感受到绿化美化在改善生态、改善农村面貌、提高生活条件等方面的益处。保证乡村绿化健康、可持续发展；保障地区基层党组织开展党建活动，提高党性，增强凝聚力。保障地区社区精神文明建设、文化教育、体育卫生、居民管理、为民办实事及其他公益事业支出等，目标与职责任务匹配度高，目标设置合理性强。</w:t>
      </w:r>
    </w:p>
    <w:p w14:paraId="3E9792BD">
      <w:pPr>
        <w:numPr>
          <w:ilvl w:val="0"/>
          <w:numId w:val="2"/>
        </w:num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14:paraId="325C4DBC">
      <w:pPr>
        <w:numPr>
          <w:ilvl w:val="0"/>
          <w:numId w:val="0"/>
        </w:num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年全</w:t>
      </w:r>
      <w:r>
        <w:rPr>
          <w:rFonts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rPr>
        <w:t>预算数</w:t>
      </w:r>
      <w:bookmarkStart w:id="0" w:name="OLE_LINK1"/>
      <w:r>
        <w:rPr>
          <w:rFonts w:hint="eastAsia" w:ascii="仿宋_GB2312" w:hAnsi="仿宋" w:eastAsia="仿宋_GB2312"/>
          <w:sz w:val="32"/>
          <w:szCs w:val="32"/>
        </w:rPr>
        <w:t>19149.18</w:t>
      </w:r>
      <w:bookmarkEnd w:id="0"/>
      <w:r>
        <w:rPr>
          <w:rFonts w:hint="eastAsia" w:ascii="仿宋_GB2312" w:hAnsi="宋体" w:eastAsia="仿宋_GB2312" w:cs="宋体"/>
          <w:color w:val="000000"/>
          <w:kern w:val="0"/>
          <w:sz w:val="32"/>
          <w:szCs w:val="32"/>
        </w:rPr>
        <w:t>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bookmarkStart w:id="1" w:name="OLE_LINK2"/>
      <w:r>
        <w:rPr>
          <w:rFonts w:hint="eastAsia" w:ascii="仿宋_GB2312" w:hAnsi="仿宋" w:eastAsia="仿宋_GB2312"/>
          <w:sz w:val="32"/>
          <w:szCs w:val="32"/>
        </w:rPr>
        <w:t>4967.56</w:t>
      </w:r>
      <w:bookmarkEnd w:id="1"/>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w:t>
      </w:r>
      <w:bookmarkStart w:id="2" w:name="OLE_LINK3"/>
      <w:r>
        <w:rPr>
          <w:rFonts w:hint="eastAsia" w:ascii="仿宋_GB2312" w:hAnsi="仿宋" w:eastAsia="仿宋_GB2312"/>
          <w:sz w:val="32"/>
          <w:szCs w:val="32"/>
        </w:rPr>
        <w:t>14181.61</w:t>
      </w:r>
      <w:bookmarkEnd w:id="2"/>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w:t>
      </w:r>
      <w:r>
        <w:rPr>
          <w:rFonts w:hint="eastAsia" w:ascii="仿宋_GB2312" w:hAnsi="仿宋" w:eastAsia="仿宋_GB2312"/>
          <w:sz w:val="32"/>
          <w:szCs w:val="32"/>
        </w:rPr>
        <w:t>19149.18</w:t>
      </w:r>
      <w:r>
        <w:rPr>
          <w:rFonts w:ascii="仿宋_GB2312" w:hAnsi="宋体" w:eastAsia="仿宋_GB2312" w:cs="宋体"/>
          <w:color w:val="000000"/>
          <w:kern w:val="0"/>
          <w:sz w:val="32"/>
          <w:szCs w:val="32"/>
        </w:rPr>
        <w:t>万元，其中，基本支出</w:t>
      </w:r>
      <w:r>
        <w:rPr>
          <w:rFonts w:hint="eastAsia" w:ascii="仿宋_GB2312" w:hAnsi="仿宋" w:eastAsia="仿宋_GB2312"/>
          <w:sz w:val="32"/>
          <w:szCs w:val="32"/>
        </w:rPr>
        <w:t>4967.56</w:t>
      </w:r>
      <w:r>
        <w:rPr>
          <w:rFonts w:ascii="仿宋_GB2312" w:hAnsi="宋体" w:eastAsia="仿宋_GB2312" w:cs="宋体"/>
          <w:color w:val="000000"/>
          <w:kern w:val="0"/>
          <w:sz w:val="32"/>
          <w:szCs w:val="32"/>
        </w:rPr>
        <w:t>万元，项目</w:t>
      </w:r>
      <w:r>
        <w:rPr>
          <w:rFonts w:hint="eastAsia" w:ascii="仿宋_GB2312" w:hAnsi="宋体" w:eastAsia="仿宋_GB2312" w:cs="宋体"/>
          <w:color w:val="000000"/>
          <w:kern w:val="0"/>
          <w:sz w:val="32"/>
          <w:szCs w:val="32"/>
        </w:rPr>
        <w:t>支出</w:t>
      </w:r>
      <w:r>
        <w:rPr>
          <w:rFonts w:hint="eastAsia" w:ascii="仿宋_GB2312" w:hAnsi="仿宋" w:eastAsia="仿宋_GB2312"/>
          <w:sz w:val="32"/>
          <w:szCs w:val="32"/>
        </w:rPr>
        <w:t>14181.61</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lang w:val="en-US" w:eastAsia="zh-CN"/>
        </w:rPr>
        <w:t>100%</w:t>
      </w:r>
      <w:r>
        <w:rPr>
          <w:rFonts w:hint="eastAsia" w:ascii="仿宋_GB2312" w:hAnsi="宋体" w:eastAsia="仿宋_GB2312" w:cs="宋体"/>
          <w:color w:val="000000"/>
          <w:kern w:val="0"/>
          <w:sz w:val="32"/>
          <w:szCs w:val="32"/>
        </w:rPr>
        <w:t>。</w:t>
      </w:r>
    </w:p>
    <w:p w14:paraId="2BFFFEDF">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14:paraId="4B0FE088">
      <w:pPr>
        <w:numPr>
          <w:ilvl w:val="0"/>
          <w:numId w:val="0"/>
        </w:numPr>
        <w:spacing w:line="600" w:lineRule="exact"/>
        <w:ind w:firstLine="640" w:firstLineChars="200"/>
        <w:rPr>
          <w:rFonts w:hint="eastAsia"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lang w:val="en-US" w:eastAsia="zh-CN"/>
        </w:rPr>
        <w:t>（一）完成情况分析</w:t>
      </w:r>
    </w:p>
    <w:p w14:paraId="514079DD">
      <w:pPr>
        <w:numPr>
          <w:ilvl w:val="0"/>
          <w:numId w:val="0"/>
        </w:numPr>
        <w:spacing w:line="600" w:lineRule="exact"/>
        <w:ind w:firstLine="640" w:firstLineChars="200"/>
        <w:rPr>
          <w:rFonts w:hint="eastAsia"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lang w:val="en-US" w:eastAsia="zh-CN"/>
        </w:rPr>
        <w:t>截至2024年底，保障人员日常基本支出，保证单位正常运转，提高机关干部工作积极性及工作效率。完成了预算单位重点职能工作保障项目，包括地区基层党组织开展各项党建活动，提高党性，增强凝聚力；保障地区精神文明建设、文教体卫活动正常开展；保障地区精神文明建设、文教体卫活动正常开展等工作。</w:t>
      </w:r>
    </w:p>
    <w:p w14:paraId="7AB6FD41">
      <w:pPr>
        <w:numPr>
          <w:ilvl w:val="0"/>
          <w:numId w:val="0"/>
        </w:numPr>
        <w:spacing w:line="600" w:lineRule="exact"/>
        <w:ind w:firstLine="640" w:firstLineChars="200"/>
        <w:rPr>
          <w:rFonts w:hint="eastAsia"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lang w:val="en-US" w:eastAsia="zh-CN"/>
        </w:rPr>
        <w:t>预算单位根据预算申报内容执行相关项目，资金拨付标准符合相关法律法规及本部门本单位规章制度，项目专款专用，资金拨付及预算调整均有完整的审批程序。</w:t>
      </w:r>
    </w:p>
    <w:p w14:paraId="0EAFBE2F">
      <w:pPr>
        <w:numPr>
          <w:ilvl w:val="0"/>
          <w:numId w:val="0"/>
        </w:numPr>
        <w:spacing w:line="600" w:lineRule="exact"/>
        <w:ind w:firstLine="640" w:firstLineChars="200"/>
        <w:rPr>
          <w:rFonts w:hint="eastAsia"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lang w:val="en-US" w:eastAsia="zh-CN"/>
        </w:rPr>
        <w:t xml:space="preserve">各预算单位在预算执行过程中，能够遵守相关政策法规的要求，严格财政支出的成本控制，在执行中对偏差情况及时申报调整预算，提高了预算执行率，也进一步减少预算成本占用；下一步需要继续强化预算项目按计划及时完成了年初设定的目标任务，对于管理过程资料加强档案全过程的完整性，提高产出实际达成情况的可考核性。                                  </w:t>
      </w:r>
    </w:p>
    <w:p w14:paraId="1C93CF3A">
      <w:pPr>
        <w:numPr>
          <w:ilvl w:val="0"/>
          <w:numId w:val="0"/>
        </w:numPr>
        <w:spacing w:line="600" w:lineRule="exact"/>
        <w:ind w:firstLine="640" w:firstLineChars="200"/>
        <w:rPr>
          <w:rFonts w:hint="eastAsia" w:ascii="楷体_GB2312" w:hAnsi="Times New Roman" w:eastAsia="楷体_GB2312" w:cs="Times New Roman"/>
          <w:sz w:val="32"/>
          <w:szCs w:val="32"/>
          <w:lang w:val="en-US" w:eastAsia="zh-CN"/>
        </w:rPr>
      </w:pPr>
      <w:r>
        <w:rPr>
          <w:rFonts w:hint="eastAsia" w:ascii="楷体_GB2312" w:eastAsia="楷体_GB2312" w:cs="Times New Roman"/>
          <w:sz w:val="32"/>
          <w:szCs w:val="32"/>
          <w:lang w:val="en-US" w:eastAsia="zh-CN"/>
        </w:rPr>
        <w:t>（二）</w:t>
      </w:r>
      <w:r>
        <w:rPr>
          <w:rFonts w:hint="eastAsia" w:ascii="楷体_GB2312" w:hAnsi="Times New Roman" w:eastAsia="楷体_GB2312" w:cs="Times New Roman"/>
          <w:sz w:val="32"/>
          <w:szCs w:val="32"/>
          <w:lang w:val="en-US" w:eastAsia="zh-CN"/>
        </w:rPr>
        <w:t>效果实现情况分析</w:t>
      </w:r>
    </w:p>
    <w:p w14:paraId="0D786508">
      <w:pPr>
        <w:spacing w:line="600" w:lineRule="exact"/>
        <w:ind w:left="105" w:leftChars="50" w:firstLine="480" w:firstLineChars="150"/>
        <w:rPr>
          <w:rFonts w:hint="eastAsia"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lang w:val="en-US" w:eastAsia="zh-CN"/>
        </w:rPr>
        <w:t>部门预算资金较好保障了各预算单位运转及主要职能工作，能够按照相关工作要点，保质保量完成工作任务。各项目实施发挥了应有的社会效益，基本达到预期设定指标，充分呈现财政资金成效，发挥了应有的社会效益。</w:t>
      </w:r>
    </w:p>
    <w:p w14:paraId="23BFF11C">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14:paraId="14FFEEEA">
      <w:pPr>
        <w:numPr>
          <w:ilvl w:val="0"/>
          <w:numId w:val="0"/>
        </w:numPr>
        <w:spacing w:line="600" w:lineRule="exact"/>
        <w:ind w:firstLine="640" w:firstLineChars="200"/>
        <w:rPr>
          <w:rFonts w:ascii="楷体_GB2312" w:eastAsia="楷体_GB2312"/>
          <w:sz w:val="32"/>
          <w:szCs w:val="32"/>
        </w:rPr>
      </w:pPr>
      <w:r>
        <w:rPr>
          <w:rFonts w:hint="eastAsia" w:ascii="楷体_GB2312" w:hAnsi="Times New Roman" w:eastAsia="楷体_GB2312" w:cs="Times New Roman"/>
          <w:sz w:val="32"/>
          <w:szCs w:val="32"/>
          <w:lang w:val="en-US" w:eastAsia="zh-CN"/>
        </w:rPr>
        <w:t xml:space="preserve"> 2024年部门整体支出绩效目标完成情况良好，重点项目绩效实行情况特较好。财务管理制度健全完善，资金使用合规性和安全性以及会计基础信息完善性得到有力保障。资产及绩效得到有效管理，结转结余率与部门预决算差异率均符合财政要求。</w:t>
      </w:r>
    </w:p>
    <w:p w14:paraId="30A929A2">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14:paraId="18EF8193">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14:paraId="3D1B9C24">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lang w:val="en-US" w:eastAsia="zh-CN"/>
        </w:rPr>
        <w:t>2024</w:t>
      </w:r>
      <w:r>
        <w:rPr>
          <w:rFonts w:hint="eastAsia" w:ascii="楷体_GB2312" w:eastAsia="楷体_GB2312"/>
          <w:sz w:val="32"/>
          <w:szCs w:val="32"/>
        </w:rPr>
        <w:t>年我单位预算执行情况较好，主要得益于采取了以下几个方面的措施：一是领导重视，保障有力保障；二是厘清职责，层层包保是关键；三是多方联手是主要手段；四是强化督办，化解问题是必要措施；五是突出重点，克难攻坚是重要手段。</w:t>
      </w:r>
    </w:p>
    <w:p w14:paraId="23A92B5E">
      <w:pPr>
        <w:spacing w:line="600" w:lineRule="exact"/>
        <w:ind w:left="105" w:leftChars="50" w:firstLine="480" w:firstLineChars="150"/>
        <w:rPr>
          <w:rFonts w:hint="eastAsia" w:ascii="楷体_GB2312" w:eastAsia="楷体_GB2312"/>
          <w:sz w:val="32"/>
          <w:szCs w:val="32"/>
          <w:lang w:eastAsia="zh-CN"/>
        </w:rPr>
      </w:pPr>
      <w:r>
        <w:rPr>
          <w:rFonts w:hint="eastAsia" w:ascii="楷体_GB2312" w:eastAsia="楷体_GB2312"/>
          <w:sz w:val="32"/>
          <w:szCs w:val="32"/>
          <w:lang w:eastAsia="zh-CN"/>
        </w:rPr>
        <w:t>（二）存在的问题及原因分析</w:t>
      </w:r>
    </w:p>
    <w:p w14:paraId="2F60C07E">
      <w:pPr>
        <w:spacing w:line="600" w:lineRule="exact"/>
        <w:ind w:left="105" w:leftChars="50" w:firstLine="480" w:firstLineChars="150"/>
        <w:rPr>
          <w:rFonts w:hint="default" w:ascii="楷体_GB2312" w:eastAsia="楷体_GB2312"/>
          <w:sz w:val="32"/>
          <w:szCs w:val="32"/>
          <w:lang w:eastAsia="zh-CN"/>
        </w:rPr>
      </w:pPr>
      <w:r>
        <w:rPr>
          <w:rFonts w:hint="eastAsia" w:ascii="楷体_GB2312" w:eastAsia="楷体_GB2312"/>
          <w:sz w:val="32"/>
          <w:szCs w:val="32"/>
          <w:lang w:eastAsia="zh-CN"/>
        </w:rPr>
        <w:t>一是进一步加强与上级有关部门沟通，细化资金支出计划，增强计划灵活性与应变能力；二是增进部门间的互联互通，提高绩效跟踪工作效率，避免不同部门间的重复工作；三是完善基层、实地调研机制，深化项目事中、事后绩效考评，着力侧重资金使用针对性、实效性。</w:t>
      </w:r>
    </w:p>
    <w:p w14:paraId="6303ABD2">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六、措施建议</w:t>
      </w:r>
    </w:p>
    <w:p w14:paraId="70FC0461">
      <w:pPr>
        <w:spacing w:line="600" w:lineRule="exact"/>
        <w:ind w:firstLine="640" w:firstLineChars="200"/>
      </w:pPr>
      <w:r>
        <w:rPr>
          <w:rFonts w:hint="eastAsia" w:ascii="黑体" w:hAnsi="黑体" w:eastAsia="黑体" w:cs="宋体"/>
          <w:color w:val="000000"/>
          <w:kern w:val="0"/>
          <w:sz w:val="32"/>
          <w:szCs w:val="32"/>
          <w:lang w:eastAsia="zh-CN"/>
        </w:rPr>
        <w:t>无</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DABAB">
    <w:pPr>
      <w:pStyle w:val="2"/>
      <w:jc w:val="right"/>
      <w:rPr>
        <w:rFonts w:ascii="宋体" w:hAnsi="宋体"/>
        <w:sz w:val="28"/>
        <w:szCs w:val="28"/>
      </w:rPr>
    </w:pPr>
  </w:p>
  <w:p w14:paraId="5B865A1D">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68D90">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D71286"/>
    <w:multiLevelType w:val="singleLevel"/>
    <w:tmpl w:val="2ED71286"/>
    <w:lvl w:ilvl="0" w:tentative="0">
      <w:start w:val="2"/>
      <w:numFmt w:val="chineseCounting"/>
      <w:suff w:val="nothing"/>
      <w:lvlText w:val="（%1）"/>
      <w:lvlJc w:val="left"/>
      <w:rPr>
        <w:rFonts w:hint="eastAsia"/>
      </w:rPr>
    </w:lvl>
  </w:abstractNum>
  <w:abstractNum w:abstractNumId="1">
    <w:nsid w:val="5775A358"/>
    <w:multiLevelType w:val="singleLevel"/>
    <w:tmpl w:val="5775A35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C7834"/>
    <w:rsid w:val="0057202C"/>
    <w:rsid w:val="005E3946"/>
    <w:rsid w:val="00B03B70"/>
    <w:rsid w:val="00CF07EE"/>
    <w:rsid w:val="00E617B2"/>
    <w:rsid w:val="00F42C33"/>
    <w:rsid w:val="0AF62277"/>
    <w:rsid w:val="1A3A7BAD"/>
    <w:rsid w:val="1CFA34F8"/>
    <w:rsid w:val="255D778F"/>
    <w:rsid w:val="275E17B8"/>
    <w:rsid w:val="2F321339"/>
    <w:rsid w:val="3DFA317F"/>
    <w:rsid w:val="43D36AB6"/>
    <w:rsid w:val="5B1D39DF"/>
    <w:rsid w:val="5E423AFE"/>
    <w:rsid w:val="69C91FDD"/>
    <w:rsid w:val="71755D36"/>
    <w:rsid w:val="7F941D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2219</Words>
  <Characters>2285</Characters>
  <Lines>3</Lines>
  <Paragraphs>1</Paragraphs>
  <TotalTime>1</TotalTime>
  <ScaleCrop>false</ScaleCrop>
  <LinksUpToDate>false</LinksUpToDate>
  <CharactersWithSpaces>2320</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大白菜百分百</cp:lastModifiedBy>
  <cp:lastPrinted>2025-01-16T06:24:00Z</cp:lastPrinted>
  <dcterms:modified xsi:type="dcterms:W3CDTF">2025-09-05T01:50:09Z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KSOTemplateDocerSaveRecord">
    <vt:lpwstr>eyJoZGlkIjoiZjc2MDRmNjFmMmIzNWE0YzM2NTk4YWUwZWFmYWFmYWEiLCJ1c2VySWQiOiIzMjAzMDc3MjEifQ==</vt:lpwstr>
  </property>
  <property fmtid="{D5CDD505-2E9C-101B-9397-08002B2CF9AE}" pid="4" name="ICV">
    <vt:lpwstr>C3A1805846094B639FD4B37472B74502_12</vt:lpwstr>
  </property>
</Properties>
</file>