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项目支出绩效评价报告</w:t>
      </w:r>
    </w:p>
    <w:p>
      <w:pPr>
        <w:numPr>
          <w:ilvl w:val="0"/>
          <w:numId w:val="1"/>
        </w:numPr>
        <w:jc w:val="left"/>
        <w:rPr>
          <w:b/>
          <w:bCs/>
          <w:sz w:val="28"/>
          <w:szCs w:val="28"/>
        </w:rPr>
      </w:pPr>
      <w:r>
        <w:rPr>
          <w:rFonts w:hint="eastAsia"/>
          <w:b/>
          <w:bCs/>
          <w:sz w:val="28"/>
          <w:szCs w:val="28"/>
        </w:rPr>
        <w:t>项目基本情况</w:t>
      </w:r>
    </w:p>
    <w:p>
      <w:pPr>
        <w:numPr>
          <w:ilvl w:val="0"/>
          <w:numId w:val="2"/>
        </w:numPr>
        <w:jc w:val="left"/>
        <w:rPr>
          <w:b/>
          <w:bCs/>
          <w:sz w:val="28"/>
          <w:szCs w:val="28"/>
        </w:rPr>
      </w:pPr>
      <w:r>
        <w:rPr>
          <w:rFonts w:hint="eastAsia"/>
          <w:b/>
          <w:bCs/>
          <w:sz w:val="28"/>
          <w:szCs w:val="28"/>
        </w:rPr>
        <w:t>项目概况。</w:t>
      </w:r>
    </w:p>
    <w:p>
      <w:pPr>
        <w:ind w:firstLine="560" w:firstLineChars="200"/>
        <w:jc w:val="left"/>
        <w:rPr>
          <w:sz w:val="28"/>
          <w:szCs w:val="28"/>
          <w:highlight w:val="none"/>
        </w:rPr>
      </w:pPr>
      <w:r>
        <w:rPr>
          <w:rFonts w:hint="eastAsia"/>
          <w:sz w:val="28"/>
          <w:szCs w:val="28"/>
        </w:rPr>
        <w:t>为落实《北京城市总体规划（2016年—2035年）》要求，坚持以人为本、可持续发展，将综合交通承载能力作为城市发展的约束条件；坚持公共交通优先战略，着力提升城市公共交通服务水平；加强交通需求调控，优化交通出行结构，提高路网运行效率；完善城市交通路网，加强静态交通秩序管理，改善城市交通微循环系统，塑造完整街道，各种出行方式和谐有序，构建安全、便捷、高效、绿色、经济的综合交通体系，同时，及时有效响应群众交通出行秩序整治类需求，及时处理群众反映的交通秩序、交通设施问题，研究建立朝阳区交通标志、标线等设施的常态化动态管理机制，加强标志、标线等设施的日常巡查、养护、维修应急、建设、台账建立及运维等管理，补足管理空白，提升群众幸福感和满意度，区交通委申请实施本项目</w:t>
      </w:r>
      <w:r>
        <w:rPr>
          <w:rFonts w:hint="eastAsia"/>
          <w:sz w:val="28"/>
          <w:szCs w:val="28"/>
          <w:lang w:eastAsia="zh-CN"/>
        </w:rPr>
        <w:t>，</w:t>
      </w:r>
      <w:r>
        <w:rPr>
          <w:rFonts w:hint="eastAsia"/>
          <w:sz w:val="28"/>
          <w:szCs w:val="28"/>
          <w:lang w:val="en-US" w:eastAsia="zh-CN"/>
        </w:rPr>
        <w:t>项目</w:t>
      </w:r>
      <w:r>
        <w:rPr>
          <w:rFonts w:hint="eastAsia"/>
          <w:sz w:val="28"/>
          <w:szCs w:val="28"/>
          <w:highlight w:val="none"/>
          <w:lang w:val="en-US" w:eastAsia="zh-CN"/>
        </w:rPr>
        <w:t>申请</w:t>
      </w:r>
      <w:r>
        <w:rPr>
          <w:rFonts w:hint="eastAsia"/>
          <w:sz w:val="28"/>
          <w:szCs w:val="28"/>
          <w:highlight w:val="none"/>
        </w:rPr>
        <w:t>财政补贴资金</w:t>
      </w:r>
      <w:r>
        <w:rPr>
          <w:rFonts w:eastAsia="仿宋_GB2312"/>
          <w:kern w:val="0"/>
          <w:sz w:val="32"/>
          <w:szCs w:val="32"/>
        </w:rPr>
        <w:t>891.8</w:t>
      </w:r>
      <w:r>
        <w:rPr>
          <w:rFonts w:hint="eastAsia" w:eastAsia="仿宋_GB2312"/>
          <w:kern w:val="0"/>
          <w:sz w:val="32"/>
          <w:szCs w:val="32"/>
        </w:rPr>
        <w:t>5</w:t>
      </w:r>
      <w:r>
        <w:rPr>
          <w:rFonts w:hint="eastAsia" w:eastAsia="仿宋_GB2312"/>
          <w:kern w:val="0"/>
          <w:sz w:val="32"/>
          <w:szCs w:val="32"/>
          <w:lang w:val="en-US" w:eastAsia="zh-CN"/>
        </w:rPr>
        <w:t>万</w:t>
      </w:r>
      <w:bookmarkStart w:id="2" w:name="_GoBack"/>
      <w:bookmarkEnd w:id="2"/>
      <w:r>
        <w:rPr>
          <w:rFonts w:hint="eastAsia"/>
          <w:sz w:val="28"/>
          <w:szCs w:val="28"/>
          <w:highlight w:val="none"/>
        </w:rPr>
        <w:t>元。</w:t>
      </w:r>
    </w:p>
    <w:p>
      <w:pPr>
        <w:ind w:firstLine="560" w:firstLineChars="200"/>
        <w:jc w:val="left"/>
        <w:rPr>
          <w:rFonts w:hint="eastAsia" w:eastAsia="仿宋_GB2312"/>
          <w:sz w:val="28"/>
          <w:szCs w:val="28"/>
          <w:lang w:eastAsia="zh-CN"/>
        </w:rPr>
      </w:pPr>
      <w:r>
        <w:rPr>
          <w:rFonts w:hint="eastAsia"/>
          <w:sz w:val="28"/>
          <w:szCs w:val="28"/>
        </w:rPr>
        <w:t>项目主要内容为对朝阳区</w:t>
      </w:r>
      <w:r>
        <w:rPr>
          <w:rFonts w:hint="eastAsia"/>
          <w:sz w:val="28"/>
          <w:szCs w:val="28"/>
          <w:lang w:val="en-US" w:eastAsia="zh-CN"/>
        </w:rPr>
        <w:t>20</w:t>
      </w:r>
      <w:r>
        <w:rPr>
          <w:rFonts w:hint="eastAsia"/>
          <w:sz w:val="28"/>
          <w:szCs w:val="28"/>
        </w:rPr>
        <w:t>所医院、</w:t>
      </w:r>
      <w:r>
        <w:rPr>
          <w:rFonts w:hint="eastAsia"/>
          <w:sz w:val="28"/>
          <w:szCs w:val="28"/>
          <w:lang w:val="en-US" w:eastAsia="zh-CN"/>
        </w:rPr>
        <w:t>21</w:t>
      </w:r>
      <w:r>
        <w:rPr>
          <w:rFonts w:hint="eastAsia"/>
          <w:sz w:val="28"/>
          <w:szCs w:val="28"/>
        </w:rPr>
        <w:t>处商业综合体、</w:t>
      </w:r>
      <w:r>
        <w:rPr>
          <w:rFonts w:hint="eastAsia"/>
          <w:sz w:val="28"/>
          <w:szCs w:val="28"/>
          <w:lang w:val="en-US" w:eastAsia="zh-CN"/>
        </w:rPr>
        <w:t>50处主要交通路口、39条主次干路的交通标线进行现场勘查，复划完善。完成0.4公里道路自行车路权保障工作，完成10公里自行车道拓宽工作，完成40公里的优先标识设置工作。</w:t>
      </w:r>
    </w:p>
    <w:p>
      <w:pPr>
        <w:ind w:firstLine="560" w:firstLineChars="200"/>
        <w:jc w:val="left"/>
        <w:rPr>
          <w:sz w:val="28"/>
          <w:szCs w:val="28"/>
          <w:highlight w:val="none"/>
        </w:rPr>
      </w:pPr>
      <w:r>
        <w:rPr>
          <w:rFonts w:hint="eastAsia"/>
          <w:sz w:val="28"/>
          <w:szCs w:val="28"/>
          <w:highlight w:val="none"/>
        </w:rPr>
        <w:t>本项目已于202</w:t>
      </w:r>
      <w:r>
        <w:rPr>
          <w:rFonts w:hint="eastAsia"/>
          <w:sz w:val="28"/>
          <w:szCs w:val="28"/>
          <w:highlight w:val="none"/>
          <w:lang w:val="en-US" w:eastAsia="zh-CN"/>
        </w:rPr>
        <w:t>3</w:t>
      </w:r>
      <w:r>
        <w:rPr>
          <w:rFonts w:hint="eastAsia"/>
          <w:sz w:val="28"/>
          <w:szCs w:val="28"/>
          <w:highlight w:val="none"/>
        </w:rPr>
        <w:t>年4月完成所有参建单位的招投标工作，</w:t>
      </w:r>
      <w:r>
        <w:rPr>
          <w:rFonts w:hint="eastAsia"/>
          <w:sz w:val="28"/>
          <w:szCs w:val="28"/>
          <w:highlight w:val="none"/>
          <w:lang w:val="en-US" w:eastAsia="zh-CN"/>
        </w:rPr>
        <w:t>并于2023年10月完成项目主体验收</w:t>
      </w:r>
      <w:r>
        <w:rPr>
          <w:rFonts w:hint="eastAsia"/>
          <w:sz w:val="28"/>
          <w:szCs w:val="28"/>
          <w:highlight w:val="none"/>
        </w:rPr>
        <w:t>，202</w:t>
      </w:r>
      <w:r>
        <w:rPr>
          <w:rFonts w:hint="eastAsia"/>
          <w:sz w:val="28"/>
          <w:szCs w:val="28"/>
          <w:highlight w:val="none"/>
          <w:lang w:val="en-US" w:eastAsia="zh-CN"/>
        </w:rPr>
        <w:t>4</w:t>
      </w:r>
      <w:r>
        <w:rPr>
          <w:rFonts w:hint="eastAsia"/>
          <w:sz w:val="28"/>
          <w:szCs w:val="28"/>
          <w:highlight w:val="none"/>
        </w:rPr>
        <w:t>年</w:t>
      </w:r>
      <w:r>
        <w:rPr>
          <w:rFonts w:hint="eastAsia"/>
          <w:sz w:val="28"/>
          <w:szCs w:val="28"/>
          <w:highlight w:val="none"/>
          <w:lang w:val="en-US" w:eastAsia="zh-CN"/>
        </w:rPr>
        <w:t>2</w:t>
      </w:r>
      <w:r>
        <w:rPr>
          <w:rFonts w:hint="eastAsia"/>
          <w:sz w:val="28"/>
          <w:szCs w:val="28"/>
          <w:highlight w:val="none"/>
        </w:rPr>
        <w:t>月项目</w:t>
      </w:r>
      <w:r>
        <w:rPr>
          <w:rFonts w:hint="eastAsia"/>
          <w:sz w:val="28"/>
          <w:szCs w:val="28"/>
          <w:highlight w:val="none"/>
          <w:lang w:val="en-US" w:eastAsia="zh-CN"/>
        </w:rPr>
        <w:t>完成</w:t>
      </w:r>
      <w:r>
        <w:rPr>
          <w:rFonts w:hint="eastAsia"/>
          <w:sz w:val="28"/>
          <w:szCs w:val="28"/>
          <w:highlight w:val="none"/>
        </w:rPr>
        <w:t>竣工验收</w:t>
      </w:r>
      <w:r>
        <w:rPr>
          <w:rFonts w:hint="eastAsia"/>
          <w:sz w:val="28"/>
          <w:szCs w:val="28"/>
          <w:highlight w:val="none"/>
          <w:lang w:val="en-US" w:eastAsia="zh-CN"/>
        </w:rPr>
        <w:t>资料整理并具备报送结算评审条件</w:t>
      </w:r>
      <w:r>
        <w:rPr>
          <w:rFonts w:hint="eastAsia"/>
          <w:sz w:val="28"/>
          <w:szCs w:val="28"/>
          <w:highlight w:val="none"/>
        </w:rPr>
        <w:t>。</w:t>
      </w:r>
    </w:p>
    <w:p>
      <w:pPr>
        <w:numPr>
          <w:ilvl w:val="0"/>
          <w:numId w:val="2"/>
        </w:numPr>
        <w:jc w:val="left"/>
        <w:rPr>
          <w:b/>
          <w:bCs/>
          <w:sz w:val="28"/>
          <w:szCs w:val="28"/>
        </w:rPr>
      </w:pPr>
      <w:r>
        <w:rPr>
          <w:rFonts w:hint="eastAsia"/>
          <w:b/>
          <w:bCs/>
          <w:sz w:val="28"/>
          <w:szCs w:val="28"/>
        </w:rPr>
        <w:t>项目绩效目标</w:t>
      </w:r>
    </w:p>
    <w:p>
      <w:pPr>
        <w:ind w:firstLine="700" w:firstLineChars="250"/>
        <w:jc w:val="left"/>
        <w:rPr>
          <w:sz w:val="28"/>
          <w:szCs w:val="28"/>
        </w:rPr>
      </w:pPr>
      <w:r>
        <w:rPr>
          <w:rFonts w:hint="eastAsia"/>
          <w:sz w:val="28"/>
          <w:szCs w:val="28"/>
        </w:rPr>
        <w:t>总体目标：达到预算申报的绩效目标，相应的数量指标、质量指标、进度指标、效益指标、服务对象满意度指标均达到预期，成本指标不超过指标值。</w:t>
      </w:r>
    </w:p>
    <w:p>
      <w:pPr>
        <w:ind w:firstLine="700" w:firstLineChars="250"/>
        <w:jc w:val="left"/>
        <w:rPr>
          <w:sz w:val="28"/>
          <w:szCs w:val="28"/>
        </w:rPr>
      </w:pPr>
      <w:r>
        <w:rPr>
          <w:rFonts w:hint="eastAsia"/>
          <w:sz w:val="28"/>
          <w:szCs w:val="28"/>
        </w:rPr>
        <w:t>阶段性目标：顺利通过创城复检，解决群众出行需求。做好2023年度创城复检、重大活动保障交通秩序保障。</w:t>
      </w:r>
    </w:p>
    <w:p>
      <w:pPr>
        <w:numPr>
          <w:ilvl w:val="0"/>
          <w:numId w:val="1"/>
        </w:numPr>
        <w:jc w:val="left"/>
        <w:rPr>
          <w:b/>
          <w:bCs/>
          <w:sz w:val="28"/>
          <w:szCs w:val="28"/>
        </w:rPr>
      </w:pPr>
      <w:r>
        <w:rPr>
          <w:rFonts w:hint="eastAsia"/>
          <w:b/>
          <w:bCs/>
          <w:sz w:val="28"/>
          <w:szCs w:val="28"/>
        </w:rPr>
        <w:t>绩效评价工作开展情况</w:t>
      </w:r>
    </w:p>
    <w:p>
      <w:pPr>
        <w:numPr>
          <w:ilvl w:val="0"/>
          <w:numId w:val="3"/>
        </w:numPr>
        <w:jc w:val="left"/>
        <w:rPr>
          <w:b/>
          <w:bCs/>
          <w:sz w:val="28"/>
          <w:szCs w:val="28"/>
        </w:rPr>
      </w:pPr>
      <w:r>
        <w:rPr>
          <w:rFonts w:hint="eastAsia"/>
          <w:b/>
          <w:bCs/>
          <w:sz w:val="28"/>
          <w:szCs w:val="28"/>
        </w:rPr>
        <w:t>绩效评价目的、对象和范围。</w:t>
      </w:r>
    </w:p>
    <w:p>
      <w:pPr>
        <w:numPr>
          <w:ilvl w:val="0"/>
          <w:numId w:val="4"/>
        </w:numPr>
        <w:ind w:left="0" w:firstLine="420" w:firstLineChars="150"/>
        <w:jc w:val="left"/>
        <w:rPr>
          <w:sz w:val="28"/>
          <w:szCs w:val="28"/>
        </w:rPr>
      </w:pPr>
      <w:r>
        <w:rPr>
          <w:rFonts w:hint="eastAsia"/>
          <w:sz w:val="28"/>
          <w:szCs w:val="28"/>
        </w:rPr>
        <w:t>评价目的：本次绩效评价在梳理本项目背景、项目主要内容、实施流程及年度工作成果的基础上，通过有针对性的绩效评价指标体系，评价项目实施取得的成效。同时总结经验，查找问题，分析问题，分析原因，提出有针对性的意见和建议，为完善相关政策、加强项目管理、提高资金使用效益提供重要的决策依据。</w:t>
      </w:r>
    </w:p>
    <w:p>
      <w:pPr>
        <w:numPr>
          <w:ilvl w:val="0"/>
          <w:numId w:val="4"/>
        </w:numPr>
        <w:ind w:left="0" w:firstLine="420" w:firstLineChars="150"/>
        <w:jc w:val="left"/>
        <w:rPr>
          <w:sz w:val="28"/>
          <w:szCs w:val="28"/>
        </w:rPr>
      </w:pPr>
      <w:r>
        <w:rPr>
          <w:rFonts w:hint="eastAsia"/>
          <w:sz w:val="28"/>
          <w:szCs w:val="28"/>
        </w:rPr>
        <w:t>评价对象：</w:t>
      </w:r>
      <w:r>
        <w:rPr>
          <w:rFonts w:hint="eastAsia"/>
          <w:sz w:val="28"/>
          <w:szCs w:val="28"/>
          <w:lang w:val="en-US" w:eastAsia="zh-CN"/>
        </w:rPr>
        <w:t>朝阳区交通委</w:t>
      </w:r>
    </w:p>
    <w:p>
      <w:pPr>
        <w:numPr>
          <w:ilvl w:val="0"/>
          <w:numId w:val="4"/>
        </w:numPr>
        <w:ind w:left="0" w:firstLine="420" w:firstLineChars="150"/>
        <w:jc w:val="left"/>
        <w:rPr>
          <w:sz w:val="28"/>
          <w:szCs w:val="28"/>
        </w:rPr>
      </w:pPr>
      <w:r>
        <w:rPr>
          <w:rFonts w:hint="eastAsia"/>
          <w:sz w:val="28"/>
          <w:szCs w:val="28"/>
        </w:rPr>
        <w:t>评价范围：</w:t>
      </w:r>
      <w:bookmarkStart w:id="0" w:name="_Hlk122015797"/>
      <w:r>
        <w:rPr>
          <w:rFonts w:hint="eastAsia"/>
          <w:sz w:val="28"/>
          <w:szCs w:val="28"/>
        </w:rPr>
        <w:t>2023年创城复检重大活动保障及群众需求交通动态维护项目</w:t>
      </w:r>
      <w:bookmarkEnd w:id="0"/>
      <w:r>
        <w:rPr>
          <w:rFonts w:hint="eastAsia"/>
          <w:sz w:val="28"/>
          <w:szCs w:val="28"/>
        </w:rPr>
        <w:t>的各项工作。</w:t>
      </w:r>
    </w:p>
    <w:p>
      <w:pPr>
        <w:numPr>
          <w:ilvl w:val="0"/>
          <w:numId w:val="3"/>
        </w:numPr>
        <w:jc w:val="left"/>
        <w:rPr>
          <w:b/>
          <w:bCs/>
          <w:sz w:val="28"/>
          <w:szCs w:val="28"/>
        </w:rPr>
      </w:pPr>
      <w:r>
        <w:rPr>
          <w:rFonts w:hint="eastAsia"/>
          <w:b/>
          <w:bCs/>
          <w:sz w:val="28"/>
          <w:szCs w:val="28"/>
        </w:rPr>
        <w:t>绩效评价原则、评价指标体系、评价方法、评价标准等。</w:t>
      </w:r>
    </w:p>
    <w:p>
      <w:pPr>
        <w:numPr>
          <w:ilvl w:val="0"/>
          <w:numId w:val="5"/>
        </w:numPr>
        <w:ind w:left="0" w:firstLine="560" w:firstLineChars="200"/>
        <w:jc w:val="left"/>
        <w:rPr>
          <w:sz w:val="28"/>
          <w:szCs w:val="28"/>
        </w:rPr>
      </w:pPr>
      <w:r>
        <w:rPr>
          <w:rFonts w:hint="eastAsia"/>
          <w:sz w:val="28"/>
          <w:szCs w:val="28"/>
        </w:rPr>
        <w:t>评价原则。绩效评价遵循科学公正原则、统筹兼顾原则、激励约束原则和公开透明原则。</w:t>
      </w:r>
    </w:p>
    <w:p>
      <w:pPr>
        <w:numPr>
          <w:ilvl w:val="0"/>
          <w:numId w:val="5"/>
        </w:numPr>
        <w:ind w:left="0" w:firstLine="560" w:firstLineChars="200"/>
        <w:jc w:val="left"/>
        <w:rPr>
          <w:sz w:val="28"/>
          <w:szCs w:val="28"/>
        </w:rPr>
      </w:pPr>
      <w:r>
        <w:rPr>
          <w:rFonts w:hint="eastAsia"/>
          <w:sz w:val="28"/>
          <w:szCs w:val="28"/>
          <w:highlight w:val="none"/>
        </w:rPr>
        <w:t>评价指标体系。本次项目绩效评价的评价指标体系分为产出指标分设4个二级指标，</w:t>
      </w:r>
      <w:r>
        <w:rPr>
          <w:rFonts w:hint="eastAsia"/>
          <w:sz w:val="28"/>
          <w:szCs w:val="28"/>
          <w:highlight w:val="none"/>
          <w:lang w:val="en-US" w:eastAsia="zh-CN"/>
        </w:rPr>
        <w:t>6</w:t>
      </w:r>
      <w:r>
        <w:rPr>
          <w:rFonts w:hint="eastAsia"/>
          <w:sz w:val="28"/>
          <w:szCs w:val="28"/>
          <w:highlight w:val="none"/>
        </w:rPr>
        <w:t>个三级指标、效果指标分设2个二级指标，</w:t>
      </w:r>
      <w:r>
        <w:rPr>
          <w:rFonts w:hint="eastAsia"/>
          <w:sz w:val="28"/>
          <w:szCs w:val="28"/>
          <w:highlight w:val="none"/>
          <w:lang w:val="en-US" w:eastAsia="zh-CN"/>
        </w:rPr>
        <w:t>3</w:t>
      </w:r>
      <w:r>
        <w:rPr>
          <w:rFonts w:hint="eastAsia"/>
          <w:sz w:val="28"/>
          <w:szCs w:val="28"/>
          <w:highlight w:val="none"/>
        </w:rPr>
        <w:t>个三级指标</w:t>
      </w:r>
      <w:r>
        <w:rPr>
          <w:rFonts w:hint="eastAsia"/>
          <w:sz w:val="28"/>
          <w:szCs w:val="28"/>
        </w:rPr>
        <w:t>。</w:t>
      </w:r>
    </w:p>
    <w:tbl>
      <w:tblPr>
        <w:tblStyle w:val="8"/>
        <w:tblW w:w="92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4"/>
        <w:gridCol w:w="1430"/>
        <w:gridCol w:w="1778"/>
        <w:gridCol w:w="48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244" w:type="dxa"/>
            <w:vAlign w:val="center"/>
          </w:tcPr>
          <w:p>
            <w:pPr>
              <w:jc w:val="center"/>
              <w:outlineLvl w:val="1"/>
              <w:rPr>
                <w:rFonts w:eastAsia="仿宋_GB2312"/>
                <w:b/>
                <w:sz w:val="24"/>
              </w:rPr>
            </w:pPr>
            <w:r>
              <w:rPr>
                <w:rFonts w:eastAsia="仿宋_GB2312"/>
                <w:b/>
                <w:sz w:val="24"/>
              </w:rPr>
              <w:t>一级指标</w:t>
            </w:r>
          </w:p>
        </w:tc>
        <w:tc>
          <w:tcPr>
            <w:tcW w:w="1430" w:type="dxa"/>
            <w:vAlign w:val="center"/>
          </w:tcPr>
          <w:p>
            <w:pPr>
              <w:jc w:val="center"/>
              <w:outlineLvl w:val="1"/>
              <w:rPr>
                <w:rFonts w:eastAsia="仿宋_GB2312"/>
                <w:b/>
                <w:sz w:val="24"/>
              </w:rPr>
            </w:pPr>
            <w:r>
              <w:rPr>
                <w:rFonts w:eastAsia="仿宋_GB2312"/>
                <w:b/>
                <w:sz w:val="24"/>
              </w:rPr>
              <w:t>二级指标</w:t>
            </w:r>
          </w:p>
        </w:tc>
        <w:tc>
          <w:tcPr>
            <w:tcW w:w="1778" w:type="dxa"/>
            <w:vAlign w:val="center"/>
          </w:tcPr>
          <w:p>
            <w:pPr>
              <w:jc w:val="center"/>
              <w:outlineLvl w:val="1"/>
              <w:rPr>
                <w:rFonts w:eastAsia="仿宋_GB2312"/>
                <w:b/>
                <w:sz w:val="24"/>
              </w:rPr>
            </w:pPr>
            <w:r>
              <w:rPr>
                <w:rFonts w:eastAsia="仿宋_GB2312"/>
                <w:b/>
                <w:sz w:val="24"/>
              </w:rPr>
              <w:t>三级指标</w:t>
            </w:r>
          </w:p>
        </w:tc>
        <w:tc>
          <w:tcPr>
            <w:tcW w:w="4846" w:type="dxa"/>
            <w:vAlign w:val="center"/>
          </w:tcPr>
          <w:p>
            <w:pPr>
              <w:jc w:val="center"/>
              <w:outlineLvl w:val="1"/>
              <w:rPr>
                <w:rFonts w:eastAsia="仿宋_GB2312"/>
                <w:b/>
                <w:sz w:val="24"/>
              </w:rPr>
            </w:pPr>
            <w:r>
              <w:rPr>
                <w:rFonts w:eastAsia="仿宋_GB2312"/>
                <w:b/>
                <w:sz w:val="24"/>
              </w:rPr>
              <w:t>指标值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restart"/>
            <w:vAlign w:val="center"/>
          </w:tcPr>
          <w:p>
            <w:pPr>
              <w:jc w:val="center"/>
              <w:outlineLvl w:val="1"/>
              <w:rPr>
                <w:rFonts w:eastAsia="仿宋_GB2312"/>
                <w:sz w:val="24"/>
              </w:rPr>
            </w:pPr>
            <w:r>
              <w:rPr>
                <w:rFonts w:eastAsia="仿宋_GB2312"/>
                <w:sz w:val="24"/>
              </w:rPr>
              <w:t>产出指标</w:t>
            </w:r>
          </w:p>
        </w:tc>
        <w:tc>
          <w:tcPr>
            <w:tcW w:w="1430" w:type="dxa"/>
            <w:vAlign w:val="center"/>
          </w:tcPr>
          <w:p>
            <w:pPr>
              <w:jc w:val="center"/>
              <w:outlineLvl w:val="1"/>
              <w:rPr>
                <w:rFonts w:eastAsia="仿宋_GB2312"/>
                <w:sz w:val="24"/>
              </w:rPr>
            </w:pPr>
            <w:r>
              <w:rPr>
                <w:rFonts w:eastAsia="仿宋_GB2312"/>
                <w:sz w:val="24"/>
              </w:rPr>
              <w:t>数量指标</w:t>
            </w:r>
          </w:p>
        </w:tc>
        <w:tc>
          <w:tcPr>
            <w:tcW w:w="1778" w:type="dxa"/>
            <w:vAlign w:val="center"/>
          </w:tcPr>
          <w:p>
            <w:pPr>
              <w:jc w:val="center"/>
              <w:rPr>
                <w:rFonts w:eastAsia="仿宋_GB2312"/>
                <w:sz w:val="24"/>
              </w:rPr>
            </w:pPr>
            <w:r>
              <w:rPr>
                <w:rFonts w:eastAsia="仿宋_GB2312"/>
                <w:sz w:val="24"/>
              </w:rPr>
              <w:t>交通工程</w:t>
            </w:r>
          </w:p>
        </w:tc>
        <w:tc>
          <w:tcPr>
            <w:tcW w:w="4846" w:type="dxa"/>
            <w:vAlign w:val="center"/>
          </w:tcPr>
          <w:p>
            <w:pPr>
              <w:rPr>
                <w:rFonts w:eastAsia="仿宋_GB2312"/>
                <w:sz w:val="24"/>
              </w:rPr>
            </w:pPr>
            <w:r>
              <w:rPr>
                <w:rFonts w:hint="eastAsia" w:eastAsia="仿宋_GB2312"/>
                <w:sz w:val="24"/>
              </w:rPr>
              <w:t>对朝阳区</w:t>
            </w:r>
            <w:r>
              <w:rPr>
                <w:rFonts w:hint="eastAsia" w:eastAsia="仿宋_GB2312"/>
                <w:sz w:val="24"/>
                <w:lang w:val="en-US" w:eastAsia="zh-CN"/>
              </w:rPr>
              <w:t>20</w:t>
            </w:r>
            <w:r>
              <w:rPr>
                <w:rFonts w:hint="eastAsia" w:eastAsia="仿宋_GB2312"/>
                <w:sz w:val="24"/>
              </w:rPr>
              <w:t>所医院、</w:t>
            </w:r>
            <w:r>
              <w:rPr>
                <w:rFonts w:hint="eastAsia" w:eastAsia="仿宋_GB2312"/>
                <w:sz w:val="24"/>
                <w:lang w:val="en-US" w:eastAsia="zh-CN"/>
              </w:rPr>
              <w:t>21</w:t>
            </w:r>
            <w:r>
              <w:rPr>
                <w:rFonts w:hint="eastAsia" w:eastAsia="仿宋_GB2312"/>
                <w:sz w:val="24"/>
              </w:rPr>
              <w:t>处商业综合体、</w:t>
            </w:r>
            <w:r>
              <w:rPr>
                <w:rFonts w:hint="eastAsia" w:eastAsia="仿宋_GB2312"/>
                <w:sz w:val="24"/>
                <w:lang w:val="en-US" w:eastAsia="zh-CN"/>
              </w:rPr>
              <w:t>50处主要交通路口、39条主次干路的交通标线进行现场勘查，复划完善。完成0.4公里道路自行车路权保障工作，完成10公里自行车道拓宽工作，完成40公里的优先标识设置工作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bookmarkStart w:id="1" w:name="_Hlk122509594"/>
          </w:p>
        </w:tc>
        <w:tc>
          <w:tcPr>
            <w:tcW w:w="1430" w:type="dxa"/>
            <w:vAlign w:val="center"/>
          </w:tcPr>
          <w:p>
            <w:pPr>
              <w:jc w:val="center"/>
              <w:outlineLvl w:val="1"/>
              <w:rPr>
                <w:rFonts w:eastAsia="仿宋_GB2312"/>
                <w:sz w:val="24"/>
              </w:rPr>
            </w:pPr>
            <w:r>
              <w:rPr>
                <w:rFonts w:eastAsia="仿宋_GB2312"/>
                <w:sz w:val="24"/>
              </w:rPr>
              <w:t>质量指标</w:t>
            </w:r>
          </w:p>
        </w:tc>
        <w:tc>
          <w:tcPr>
            <w:tcW w:w="1778" w:type="dxa"/>
            <w:vAlign w:val="center"/>
          </w:tcPr>
          <w:p>
            <w:pPr>
              <w:jc w:val="center"/>
              <w:rPr>
                <w:rFonts w:eastAsia="仿宋_GB2312"/>
                <w:sz w:val="24"/>
              </w:rPr>
            </w:pPr>
            <w:r>
              <w:rPr>
                <w:rFonts w:eastAsia="仿宋_GB2312"/>
                <w:sz w:val="24"/>
              </w:rPr>
              <w:t>标志标线</w:t>
            </w:r>
          </w:p>
        </w:tc>
        <w:tc>
          <w:tcPr>
            <w:tcW w:w="4846" w:type="dxa"/>
            <w:vAlign w:val="center"/>
          </w:tcPr>
          <w:p>
            <w:pPr>
              <w:rPr>
                <w:rFonts w:eastAsia="仿宋_GB2312"/>
                <w:sz w:val="24"/>
              </w:rPr>
            </w:pPr>
            <w:r>
              <w:rPr>
                <w:rFonts w:eastAsia="仿宋_GB2312"/>
                <w:sz w:val="24"/>
              </w:rPr>
              <w:t>竣工验收符合《城市道路工程施工质量检验标准》（DB11/T1073-2014）、《市政基础设施工程质量检验与验收标准》（DB11/1070-2014），工程质量标准：合格</w:t>
            </w:r>
          </w:p>
        </w:tc>
      </w:tr>
      <w:bookmarkEnd w:id="1"/>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restart"/>
            <w:vAlign w:val="center"/>
          </w:tcPr>
          <w:p>
            <w:pPr>
              <w:jc w:val="center"/>
              <w:outlineLvl w:val="1"/>
              <w:rPr>
                <w:rFonts w:eastAsia="仿宋_GB2312"/>
                <w:sz w:val="24"/>
              </w:rPr>
            </w:pPr>
            <w:r>
              <w:rPr>
                <w:rFonts w:eastAsia="仿宋_GB2312"/>
                <w:sz w:val="24"/>
              </w:rPr>
              <w:t>进度指标</w:t>
            </w:r>
          </w:p>
        </w:tc>
        <w:tc>
          <w:tcPr>
            <w:tcW w:w="1778" w:type="dxa"/>
            <w:vAlign w:val="center"/>
          </w:tcPr>
          <w:p>
            <w:pPr>
              <w:jc w:val="center"/>
              <w:rPr>
                <w:rFonts w:eastAsia="仿宋_GB2312"/>
                <w:sz w:val="24"/>
              </w:rPr>
            </w:pPr>
            <w:r>
              <w:rPr>
                <w:rFonts w:eastAsia="仿宋_GB2312"/>
                <w:sz w:val="24"/>
              </w:rPr>
              <w:t>立项阶段</w:t>
            </w:r>
          </w:p>
        </w:tc>
        <w:tc>
          <w:tcPr>
            <w:tcW w:w="4846" w:type="dxa"/>
            <w:vAlign w:val="center"/>
          </w:tcPr>
          <w:p>
            <w:pPr>
              <w:jc w:val="center"/>
              <w:rPr>
                <w:rFonts w:eastAsia="仿宋_GB2312"/>
                <w:sz w:val="24"/>
                <w:highlight w:val="none"/>
              </w:rPr>
            </w:pPr>
            <w:r>
              <w:rPr>
                <w:rFonts w:eastAsia="仿宋_GB2312"/>
                <w:sz w:val="24"/>
                <w:highlight w:val="none"/>
              </w:rPr>
              <w:t>2023年1月-2023年3月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continue"/>
            <w:vAlign w:val="center"/>
          </w:tcPr>
          <w:p>
            <w:pPr>
              <w:jc w:val="center"/>
              <w:outlineLvl w:val="1"/>
              <w:rPr>
                <w:rFonts w:eastAsia="仿宋_GB2312"/>
                <w:sz w:val="24"/>
              </w:rPr>
            </w:pPr>
          </w:p>
        </w:tc>
        <w:tc>
          <w:tcPr>
            <w:tcW w:w="1778" w:type="dxa"/>
            <w:vAlign w:val="center"/>
          </w:tcPr>
          <w:p>
            <w:pPr>
              <w:jc w:val="center"/>
              <w:rPr>
                <w:rFonts w:eastAsia="仿宋_GB2312"/>
                <w:sz w:val="24"/>
              </w:rPr>
            </w:pPr>
            <w:r>
              <w:rPr>
                <w:rFonts w:eastAsia="仿宋_GB2312"/>
                <w:sz w:val="24"/>
              </w:rPr>
              <w:t>招标阶段</w:t>
            </w:r>
          </w:p>
        </w:tc>
        <w:tc>
          <w:tcPr>
            <w:tcW w:w="4846" w:type="dxa"/>
            <w:vAlign w:val="center"/>
          </w:tcPr>
          <w:p>
            <w:pPr>
              <w:jc w:val="center"/>
              <w:rPr>
                <w:rFonts w:eastAsia="仿宋_GB2312"/>
                <w:sz w:val="24"/>
                <w:highlight w:val="none"/>
              </w:rPr>
            </w:pPr>
            <w:r>
              <w:rPr>
                <w:rFonts w:eastAsia="仿宋_GB2312"/>
                <w:sz w:val="24"/>
                <w:highlight w:val="none"/>
              </w:rPr>
              <w:t>2023年4月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continue"/>
            <w:vAlign w:val="center"/>
          </w:tcPr>
          <w:p>
            <w:pPr>
              <w:jc w:val="center"/>
              <w:outlineLvl w:val="1"/>
              <w:rPr>
                <w:rFonts w:eastAsia="仿宋_GB2312"/>
                <w:sz w:val="24"/>
              </w:rPr>
            </w:pPr>
          </w:p>
        </w:tc>
        <w:tc>
          <w:tcPr>
            <w:tcW w:w="1778" w:type="dxa"/>
            <w:vAlign w:val="center"/>
          </w:tcPr>
          <w:p>
            <w:pPr>
              <w:tabs>
                <w:tab w:val="left" w:pos="492"/>
              </w:tabs>
              <w:jc w:val="center"/>
              <w:rPr>
                <w:rFonts w:eastAsia="仿宋_GB2312"/>
                <w:sz w:val="24"/>
              </w:rPr>
            </w:pPr>
            <w:r>
              <w:rPr>
                <w:rFonts w:eastAsia="仿宋_GB2312"/>
                <w:sz w:val="24"/>
              </w:rPr>
              <w:t>施工阶段</w:t>
            </w:r>
          </w:p>
        </w:tc>
        <w:tc>
          <w:tcPr>
            <w:tcW w:w="4846" w:type="dxa"/>
            <w:vAlign w:val="center"/>
          </w:tcPr>
          <w:p>
            <w:pPr>
              <w:jc w:val="center"/>
              <w:rPr>
                <w:rFonts w:eastAsia="仿宋_GB2312"/>
                <w:sz w:val="24"/>
                <w:highlight w:val="none"/>
              </w:rPr>
            </w:pPr>
            <w:r>
              <w:rPr>
                <w:rFonts w:eastAsia="仿宋_GB2312"/>
                <w:sz w:val="24"/>
                <w:highlight w:val="none"/>
              </w:rPr>
              <w:t>2023年5月-2023年9月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continue"/>
            <w:vAlign w:val="center"/>
          </w:tcPr>
          <w:p>
            <w:pPr>
              <w:jc w:val="center"/>
              <w:outlineLvl w:val="1"/>
              <w:rPr>
                <w:rFonts w:eastAsia="仿宋_GB2312"/>
                <w:sz w:val="24"/>
              </w:rPr>
            </w:pPr>
          </w:p>
        </w:tc>
        <w:tc>
          <w:tcPr>
            <w:tcW w:w="1778" w:type="dxa"/>
            <w:vAlign w:val="center"/>
          </w:tcPr>
          <w:p>
            <w:pPr>
              <w:jc w:val="center"/>
              <w:rPr>
                <w:rFonts w:eastAsia="仿宋_GB2312"/>
                <w:sz w:val="24"/>
              </w:rPr>
            </w:pPr>
            <w:r>
              <w:rPr>
                <w:rFonts w:eastAsia="仿宋_GB2312"/>
                <w:sz w:val="24"/>
              </w:rPr>
              <w:t>竣工验收</w:t>
            </w:r>
          </w:p>
        </w:tc>
        <w:tc>
          <w:tcPr>
            <w:tcW w:w="4846" w:type="dxa"/>
            <w:vAlign w:val="center"/>
          </w:tcPr>
          <w:p>
            <w:pPr>
              <w:jc w:val="center"/>
              <w:rPr>
                <w:rFonts w:eastAsia="仿宋_GB2312"/>
                <w:sz w:val="24"/>
                <w:highlight w:val="none"/>
              </w:rPr>
            </w:pPr>
            <w:r>
              <w:rPr>
                <w:rFonts w:eastAsia="仿宋_GB2312"/>
                <w:sz w:val="24"/>
                <w:highlight w:val="none"/>
              </w:rPr>
              <w:t>202</w:t>
            </w:r>
            <w:r>
              <w:rPr>
                <w:rFonts w:hint="eastAsia" w:eastAsia="仿宋_GB2312"/>
                <w:sz w:val="24"/>
                <w:highlight w:val="none"/>
                <w:lang w:val="en-US" w:eastAsia="zh-CN"/>
              </w:rPr>
              <w:t>4</w:t>
            </w:r>
            <w:r>
              <w:rPr>
                <w:rFonts w:eastAsia="仿宋_GB2312"/>
                <w:sz w:val="24"/>
                <w:highlight w:val="none"/>
              </w:rPr>
              <w:t>年</w:t>
            </w:r>
            <w:r>
              <w:rPr>
                <w:rFonts w:hint="eastAsia" w:eastAsia="仿宋_GB2312"/>
                <w:sz w:val="24"/>
                <w:highlight w:val="none"/>
                <w:lang w:val="en-US" w:eastAsia="zh-CN"/>
              </w:rPr>
              <w:t>2</w:t>
            </w:r>
            <w:r>
              <w:rPr>
                <w:rFonts w:eastAsia="仿宋_GB2312"/>
                <w:sz w:val="24"/>
                <w:highlight w:val="none"/>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restart"/>
            <w:vAlign w:val="center"/>
          </w:tcPr>
          <w:p>
            <w:pPr>
              <w:jc w:val="center"/>
              <w:outlineLvl w:val="1"/>
              <w:rPr>
                <w:rFonts w:eastAsia="仿宋_GB2312"/>
                <w:sz w:val="24"/>
              </w:rPr>
            </w:pPr>
            <w:r>
              <w:rPr>
                <w:rFonts w:eastAsia="仿宋_GB2312"/>
                <w:sz w:val="24"/>
              </w:rPr>
              <w:t>成本指标</w:t>
            </w:r>
          </w:p>
        </w:tc>
        <w:tc>
          <w:tcPr>
            <w:tcW w:w="1778" w:type="dxa"/>
            <w:vAlign w:val="center"/>
          </w:tcPr>
          <w:p>
            <w:pPr>
              <w:jc w:val="center"/>
              <w:rPr>
                <w:rFonts w:eastAsia="仿宋_GB2312"/>
                <w:sz w:val="24"/>
              </w:rPr>
            </w:pPr>
            <w:r>
              <w:rPr>
                <w:rFonts w:eastAsia="仿宋_GB2312"/>
                <w:sz w:val="24"/>
              </w:rPr>
              <w:t>工程预算金额使用情况</w:t>
            </w:r>
          </w:p>
        </w:tc>
        <w:tc>
          <w:tcPr>
            <w:tcW w:w="4846" w:type="dxa"/>
            <w:vAlign w:val="center"/>
          </w:tcPr>
          <w:p>
            <w:pPr>
              <w:rPr>
                <w:rFonts w:eastAsia="仿宋_GB2312"/>
                <w:sz w:val="24"/>
                <w:highlight w:val="none"/>
              </w:rPr>
            </w:pPr>
            <w:r>
              <w:rPr>
                <w:rFonts w:eastAsia="仿宋_GB2312"/>
                <w:sz w:val="24"/>
                <w:highlight w:val="none"/>
              </w:rPr>
              <w:t>工程总投资907.16万元，2023年支付50%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continue"/>
            <w:vAlign w:val="center"/>
          </w:tcPr>
          <w:p>
            <w:pPr>
              <w:jc w:val="center"/>
              <w:outlineLvl w:val="1"/>
              <w:rPr>
                <w:rFonts w:eastAsia="仿宋_GB2312"/>
                <w:sz w:val="24"/>
              </w:rPr>
            </w:pPr>
          </w:p>
        </w:tc>
        <w:tc>
          <w:tcPr>
            <w:tcW w:w="1778" w:type="dxa"/>
            <w:vAlign w:val="center"/>
          </w:tcPr>
          <w:p>
            <w:pPr>
              <w:jc w:val="center"/>
              <w:rPr>
                <w:rFonts w:eastAsia="仿宋_GB2312"/>
                <w:sz w:val="24"/>
              </w:rPr>
            </w:pPr>
            <w:r>
              <w:rPr>
                <w:rFonts w:eastAsia="仿宋_GB2312"/>
                <w:sz w:val="24"/>
              </w:rPr>
              <w:t>成本控制措施</w:t>
            </w:r>
          </w:p>
        </w:tc>
        <w:tc>
          <w:tcPr>
            <w:tcW w:w="4846" w:type="dxa"/>
            <w:vAlign w:val="center"/>
          </w:tcPr>
          <w:p>
            <w:pPr>
              <w:rPr>
                <w:rFonts w:eastAsia="仿宋_GB2312"/>
                <w:sz w:val="24"/>
              </w:rPr>
            </w:pPr>
            <w:r>
              <w:rPr>
                <w:rFonts w:eastAsia="仿宋_GB2312"/>
                <w:sz w:val="24"/>
              </w:rPr>
              <w:t>事前绩效评审，限额设计；严格审核变更洽商，落实层层审批制，控制实施过程中的成本；事后结算评审，控制工程总价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jc w:val="center"/>
        </w:trPr>
        <w:tc>
          <w:tcPr>
            <w:tcW w:w="1244" w:type="dxa"/>
            <w:vMerge w:val="restart"/>
            <w:vAlign w:val="center"/>
          </w:tcPr>
          <w:p>
            <w:pPr>
              <w:jc w:val="center"/>
              <w:outlineLvl w:val="1"/>
              <w:rPr>
                <w:rFonts w:eastAsia="仿宋_GB2312"/>
                <w:sz w:val="24"/>
              </w:rPr>
            </w:pPr>
            <w:r>
              <w:rPr>
                <w:rFonts w:eastAsia="仿宋_GB2312"/>
                <w:sz w:val="24"/>
              </w:rPr>
              <w:t>效果指标</w:t>
            </w:r>
          </w:p>
        </w:tc>
        <w:tc>
          <w:tcPr>
            <w:tcW w:w="1430" w:type="dxa"/>
            <w:vMerge w:val="restart"/>
            <w:vAlign w:val="center"/>
          </w:tcPr>
          <w:p>
            <w:pPr>
              <w:jc w:val="center"/>
              <w:outlineLvl w:val="1"/>
              <w:rPr>
                <w:rFonts w:eastAsia="仿宋_GB2312"/>
                <w:sz w:val="24"/>
              </w:rPr>
            </w:pPr>
            <w:r>
              <w:rPr>
                <w:rFonts w:eastAsia="仿宋_GB2312"/>
                <w:sz w:val="24"/>
              </w:rPr>
              <w:t>效益指标</w:t>
            </w:r>
          </w:p>
        </w:tc>
        <w:tc>
          <w:tcPr>
            <w:tcW w:w="1778" w:type="dxa"/>
            <w:vAlign w:val="center"/>
          </w:tcPr>
          <w:p>
            <w:pPr>
              <w:jc w:val="center"/>
              <w:outlineLvl w:val="1"/>
              <w:rPr>
                <w:rFonts w:eastAsia="仿宋_GB2312"/>
                <w:sz w:val="24"/>
              </w:rPr>
            </w:pPr>
            <w:r>
              <w:rPr>
                <w:rFonts w:eastAsia="仿宋_GB2312"/>
                <w:sz w:val="24"/>
              </w:rPr>
              <w:t>社会效益</w:t>
            </w:r>
          </w:p>
        </w:tc>
        <w:tc>
          <w:tcPr>
            <w:tcW w:w="4846" w:type="dxa"/>
            <w:vAlign w:val="center"/>
          </w:tcPr>
          <w:p>
            <w:pPr>
              <w:jc w:val="center"/>
              <w:outlineLvl w:val="1"/>
              <w:rPr>
                <w:rFonts w:eastAsia="仿宋_GB2312"/>
                <w:sz w:val="24"/>
              </w:rPr>
            </w:pPr>
            <w:r>
              <w:rPr>
                <w:rFonts w:eastAsia="仿宋_GB2312"/>
                <w:sz w:val="24"/>
              </w:rPr>
              <w:t>顺利通过创城复检，解决群众出行需求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Merge w:val="continue"/>
            <w:vAlign w:val="center"/>
          </w:tcPr>
          <w:p>
            <w:pPr>
              <w:jc w:val="center"/>
              <w:outlineLvl w:val="1"/>
              <w:rPr>
                <w:rFonts w:eastAsia="仿宋_GB2312"/>
                <w:sz w:val="24"/>
              </w:rPr>
            </w:pPr>
          </w:p>
        </w:tc>
        <w:tc>
          <w:tcPr>
            <w:tcW w:w="1778" w:type="dxa"/>
            <w:vAlign w:val="center"/>
          </w:tcPr>
          <w:p>
            <w:pPr>
              <w:jc w:val="center"/>
              <w:outlineLvl w:val="1"/>
              <w:rPr>
                <w:rFonts w:eastAsia="仿宋_GB2312"/>
                <w:sz w:val="24"/>
              </w:rPr>
            </w:pPr>
            <w:r>
              <w:rPr>
                <w:rFonts w:eastAsia="仿宋_GB2312"/>
                <w:sz w:val="24"/>
              </w:rPr>
              <w:t>环境效益</w:t>
            </w:r>
          </w:p>
        </w:tc>
        <w:tc>
          <w:tcPr>
            <w:tcW w:w="4846" w:type="dxa"/>
            <w:vAlign w:val="center"/>
          </w:tcPr>
          <w:p>
            <w:pPr>
              <w:jc w:val="center"/>
              <w:outlineLvl w:val="1"/>
              <w:rPr>
                <w:rFonts w:eastAsia="仿宋_GB2312"/>
                <w:sz w:val="24"/>
              </w:rPr>
            </w:pPr>
            <w:r>
              <w:rPr>
                <w:rFonts w:eastAsia="仿宋_GB2312"/>
                <w:sz w:val="24"/>
              </w:rPr>
              <w:t>改善交通标线磨损不清现状，美化交通环境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44" w:type="dxa"/>
            <w:vMerge w:val="continue"/>
            <w:vAlign w:val="center"/>
          </w:tcPr>
          <w:p>
            <w:pPr>
              <w:jc w:val="center"/>
              <w:outlineLvl w:val="1"/>
              <w:rPr>
                <w:rFonts w:eastAsia="仿宋_GB2312"/>
                <w:sz w:val="24"/>
              </w:rPr>
            </w:pPr>
          </w:p>
        </w:tc>
        <w:tc>
          <w:tcPr>
            <w:tcW w:w="1430" w:type="dxa"/>
            <w:vAlign w:val="center"/>
          </w:tcPr>
          <w:p>
            <w:pPr>
              <w:jc w:val="center"/>
              <w:outlineLvl w:val="1"/>
              <w:rPr>
                <w:rFonts w:eastAsia="仿宋_GB2312"/>
                <w:sz w:val="24"/>
              </w:rPr>
            </w:pPr>
            <w:r>
              <w:rPr>
                <w:rFonts w:eastAsia="仿宋_GB2312"/>
                <w:sz w:val="24"/>
              </w:rPr>
              <w:t>服务对象满意度指标</w:t>
            </w:r>
          </w:p>
        </w:tc>
        <w:tc>
          <w:tcPr>
            <w:tcW w:w="1778" w:type="dxa"/>
            <w:vAlign w:val="center"/>
          </w:tcPr>
          <w:p>
            <w:pPr>
              <w:jc w:val="center"/>
              <w:outlineLvl w:val="1"/>
              <w:rPr>
                <w:rFonts w:eastAsia="仿宋_GB2312"/>
                <w:sz w:val="24"/>
              </w:rPr>
            </w:pPr>
            <w:r>
              <w:rPr>
                <w:rFonts w:eastAsia="仿宋_GB2312"/>
                <w:sz w:val="24"/>
              </w:rPr>
              <w:t>改善交通参与者出行条件</w:t>
            </w:r>
          </w:p>
        </w:tc>
        <w:tc>
          <w:tcPr>
            <w:tcW w:w="4846" w:type="dxa"/>
            <w:vAlign w:val="center"/>
          </w:tcPr>
          <w:p>
            <w:pPr>
              <w:jc w:val="center"/>
              <w:outlineLvl w:val="1"/>
              <w:rPr>
                <w:rFonts w:eastAsia="仿宋_GB2312"/>
                <w:sz w:val="24"/>
              </w:rPr>
            </w:pPr>
            <w:r>
              <w:rPr>
                <w:rFonts w:eastAsia="仿宋_GB2312"/>
                <w:sz w:val="24"/>
              </w:rPr>
              <w:t>提高群众出行满意度至90%以上</w:t>
            </w:r>
          </w:p>
        </w:tc>
      </w:tr>
    </w:tbl>
    <w:p>
      <w:pPr>
        <w:numPr>
          <w:ilvl w:val="0"/>
          <w:numId w:val="5"/>
        </w:numPr>
        <w:ind w:left="0" w:firstLine="560" w:firstLineChars="200"/>
        <w:jc w:val="left"/>
        <w:rPr>
          <w:sz w:val="28"/>
          <w:szCs w:val="28"/>
        </w:rPr>
      </w:pPr>
      <w:r>
        <w:rPr>
          <w:rFonts w:hint="eastAsia"/>
          <w:sz w:val="28"/>
          <w:szCs w:val="28"/>
        </w:rPr>
        <w:t>评价方法。本次绩效评价采取比较法，目标比较法是对建设项目的产出及效果与项目实施计划目标进行比较，分析预计目标的完成程度。</w:t>
      </w:r>
    </w:p>
    <w:p>
      <w:pPr>
        <w:numPr>
          <w:ilvl w:val="0"/>
          <w:numId w:val="5"/>
        </w:numPr>
        <w:ind w:left="0" w:firstLine="560" w:firstLineChars="200"/>
        <w:jc w:val="left"/>
        <w:rPr>
          <w:sz w:val="28"/>
          <w:szCs w:val="28"/>
        </w:rPr>
      </w:pPr>
      <w:r>
        <w:rPr>
          <w:rFonts w:hint="eastAsia"/>
          <w:sz w:val="28"/>
          <w:szCs w:val="28"/>
        </w:rPr>
        <w:t>评价标准。绩效评价标准包括计划标准、行业标准、历史标准、财政部门和预算部门确认或认可的其他标准，用于对绩效指标完成情况进行比较。</w:t>
      </w:r>
    </w:p>
    <w:p>
      <w:pPr>
        <w:numPr>
          <w:ilvl w:val="0"/>
          <w:numId w:val="3"/>
        </w:numPr>
        <w:ind w:firstLine="562" w:firstLineChars="200"/>
        <w:jc w:val="left"/>
        <w:rPr>
          <w:b/>
          <w:bCs/>
          <w:sz w:val="28"/>
          <w:szCs w:val="28"/>
        </w:rPr>
      </w:pPr>
      <w:r>
        <w:rPr>
          <w:rFonts w:hint="eastAsia"/>
          <w:b/>
          <w:bCs/>
          <w:sz w:val="28"/>
          <w:szCs w:val="28"/>
        </w:rPr>
        <w:t>绩效评价工作过程。</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1.成立绩效评估工作组，制定初步评估计划。</w:t>
      </w:r>
    </w:p>
    <w:p>
      <w:pPr>
        <w:spacing w:line="60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2.评估工作组了解项目的立项背景、实施情况，讲解绩效评估过程中需要注意的问题。</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3.评估工作组遴选专家，成立专家组。</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4.根据前期对项目情况的了解及项目资料收集情况，咨询业务专家是否进行现场调研。</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5.评估工作组对项目单位提供的评估资料进行沟通和复核。</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6.形成专家手册，供专家审阅评议。</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.整理专家评估建议，形成绩效评估报告。</w:t>
      </w:r>
    </w:p>
    <w:p>
      <w:pPr>
        <w:numPr>
          <w:ilvl w:val="0"/>
          <w:numId w:val="1"/>
        </w:numPr>
        <w:jc w:val="left"/>
        <w:rPr>
          <w:b/>
          <w:bCs/>
          <w:sz w:val="28"/>
          <w:szCs w:val="28"/>
        </w:rPr>
      </w:pPr>
      <w:r>
        <w:rPr>
          <w:rFonts w:hint="eastAsia"/>
          <w:b/>
          <w:bCs/>
          <w:sz w:val="28"/>
          <w:szCs w:val="28"/>
        </w:rPr>
        <w:t>综合评价情况及评价结论</w:t>
      </w:r>
    </w:p>
    <w:p>
      <w:pPr>
        <w:numPr>
          <w:ilvl w:val="0"/>
          <w:numId w:val="6"/>
        </w:numPr>
        <w:jc w:val="left"/>
        <w:rPr>
          <w:b/>
          <w:bCs/>
          <w:sz w:val="28"/>
          <w:szCs w:val="28"/>
        </w:rPr>
      </w:pPr>
      <w:r>
        <w:rPr>
          <w:rFonts w:hint="eastAsia"/>
          <w:b/>
          <w:bCs/>
          <w:sz w:val="28"/>
          <w:szCs w:val="28"/>
        </w:rPr>
        <w:t>综合评价情况</w:t>
      </w:r>
    </w:p>
    <w:p>
      <w:pPr>
        <w:jc w:val="left"/>
        <w:rPr>
          <w:sz w:val="28"/>
          <w:szCs w:val="28"/>
        </w:rPr>
      </w:pPr>
      <w:r>
        <w:rPr>
          <w:rFonts w:hint="eastAsia"/>
          <w:b/>
          <w:bCs/>
          <w:sz w:val="28"/>
          <w:szCs w:val="28"/>
        </w:rPr>
        <w:t xml:space="preserve">   </w:t>
      </w:r>
      <w:r>
        <w:rPr>
          <w:rFonts w:hint="eastAsia"/>
          <w:sz w:val="28"/>
          <w:szCs w:val="28"/>
        </w:rPr>
        <w:t>从项目的实施情况看，各部门领导、组织、协调有力，组织机构完备，人员分工明确，能够对各项工作进展情况进行及时调度，加强督导，定期通报，确保各项部署落实到位，针对调度中发现的问题，及时化解难题，加快改造进度。施工方通过政府采购公开招投标方式确定，与中标单位签订合同，资料较为完善。</w:t>
      </w:r>
    </w:p>
    <w:p>
      <w:pPr>
        <w:numPr>
          <w:ilvl w:val="0"/>
          <w:numId w:val="6"/>
        </w:numPr>
        <w:jc w:val="left"/>
        <w:rPr>
          <w:b/>
          <w:bCs/>
          <w:sz w:val="28"/>
          <w:szCs w:val="28"/>
        </w:rPr>
      </w:pPr>
      <w:r>
        <w:rPr>
          <w:rFonts w:hint="eastAsia"/>
          <w:b/>
          <w:bCs/>
          <w:sz w:val="28"/>
          <w:szCs w:val="28"/>
        </w:rPr>
        <w:t>绩效评价结论</w:t>
      </w:r>
    </w:p>
    <w:p>
      <w:pPr>
        <w:jc w:val="left"/>
        <w:rPr>
          <w:b/>
          <w:bCs/>
          <w:sz w:val="28"/>
          <w:szCs w:val="28"/>
        </w:rPr>
      </w:pPr>
      <w:r>
        <w:rPr>
          <w:rFonts w:hint="eastAsia"/>
          <w:b/>
          <w:bCs/>
          <w:sz w:val="28"/>
          <w:szCs w:val="28"/>
        </w:rPr>
        <w:t xml:space="preserve">     </w:t>
      </w:r>
      <w:r>
        <w:rPr>
          <w:rFonts w:hint="eastAsia"/>
          <w:sz w:val="28"/>
          <w:szCs w:val="28"/>
        </w:rPr>
        <w:t>项目整体支出绩效工作基本完成，达到预期效果。</w:t>
      </w:r>
    </w:p>
    <w:p>
      <w:pPr>
        <w:numPr>
          <w:ilvl w:val="0"/>
          <w:numId w:val="1"/>
        </w:numPr>
        <w:jc w:val="left"/>
        <w:rPr>
          <w:b/>
          <w:bCs/>
          <w:sz w:val="28"/>
          <w:szCs w:val="28"/>
        </w:rPr>
      </w:pPr>
      <w:r>
        <w:rPr>
          <w:rFonts w:hint="eastAsia"/>
          <w:b/>
          <w:bCs/>
          <w:sz w:val="28"/>
          <w:szCs w:val="28"/>
        </w:rPr>
        <w:t>绩效评价指标分析</w:t>
      </w:r>
    </w:p>
    <w:p>
      <w:pPr>
        <w:numPr>
          <w:ilvl w:val="0"/>
          <w:numId w:val="7"/>
        </w:numPr>
        <w:jc w:val="left"/>
        <w:rPr>
          <w:b/>
          <w:bCs/>
          <w:sz w:val="28"/>
          <w:szCs w:val="28"/>
        </w:rPr>
      </w:pPr>
      <w:r>
        <w:rPr>
          <w:rFonts w:hint="eastAsia"/>
          <w:b/>
          <w:bCs/>
          <w:sz w:val="28"/>
          <w:szCs w:val="28"/>
        </w:rPr>
        <w:t>项目决策情况</w:t>
      </w:r>
    </w:p>
    <w:p>
      <w:pPr>
        <w:numPr>
          <w:ilvl w:val="0"/>
          <w:numId w:val="8"/>
        </w:numPr>
        <w:ind w:left="0" w:firstLine="560" w:firstLineChars="200"/>
        <w:jc w:val="left"/>
        <w:rPr>
          <w:sz w:val="28"/>
          <w:szCs w:val="28"/>
        </w:rPr>
      </w:pPr>
      <w:r>
        <w:rPr>
          <w:rFonts w:hint="eastAsia"/>
          <w:sz w:val="28"/>
          <w:szCs w:val="28"/>
        </w:rPr>
        <w:t>决策过程分析。项目的申报文件、报送的项目申报材料程序规范，充分争求居民意见建议，提出整治方案，目标明确。</w:t>
      </w:r>
    </w:p>
    <w:p>
      <w:pPr>
        <w:numPr>
          <w:ilvl w:val="0"/>
          <w:numId w:val="7"/>
        </w:numPr>
        <w:jc w:val="left"/>
        <w:rPr>
          <w:b/>
          <w:bCs/>
          <w:sz w:val="28"/>
          <w:szCs w:val="28"/>
        </w:rPr>
      </w:pPr>
      <w:r>
        <w:rPr>
          <w:rFonts w:hint="eastAsia"/>
          <w:b/>
          <w:bCs/>
          <w:sz w:val="28"/>
          <w:szCs w:val="28"/>
        </w:rPr>
        <w:t>项目过程情况</w:t>
      </w:r>
    </w:p>
    <w:p>
      <w:pPr>
        <w:numPr>
          <w:ilvl w:val="0"/>
          <w:numId w:val="9"/>
        </w:numPr>
        <w:ind w:left="0" w:firstLine="560" w:firstLineChars="200"/>
        <w:jc w:val="left"/>
        <w:rPr>
          <w:sz w:val="28"/>
          <w:szCs w:val="28"/>
        </w:rPr>
      </w:pPr>
      <w:r>
        <w:rPr>
          <w:rFonts w:hint="eastAsia"/>
          <w:sz w:val="28"/>
          <w:szCs w:val="28"/>
        </w:rPr>
        <w:t>资金使用情况分析。不存在支出依据不合规、虚列项目支出的情况；不存在截留、挤占、挪用项目资金情况；不存在超标准开支情况。</w:t>
      </w:r>
    </w:p>
    <w:p>
      <w:pPr>
        <w:numPr>
          <w:ilvl w:val="0"/>
          <w:numId w:val="9"/>
        </w:numPr>
        <w:ind w:left="0" w:firstLine="560" w:firstLineChars="200"/>
        <w:jc w:val="left"/>
        <w:rPr>
          <w:sz w:val="28"/>
          <w:szCs w:val="28"/>
        </w:rPr>
      </w:pPr>
      <w:r>
        <w:rPr>
          <w:rFonts w:hint="eastAsia"/>
          <w:sz w:val="28"/>
          <w:szCs w:val="28"/>
        </w:rPr>
        <w:t>财务管理情况分析。财务制度健全，严格执行资金管理、费用支出等制度，会计核算规范。</w:t>
      </w:r>
    </w:p>
    <w:p>
      <w:pPr>
        <w:numPr>
          <w:ilvl w:val="0"/>
          <w:numId w:val="9"/>
        </w:numPr>
        <w:ind w:left="0" w:firstLine="560" w:firstLineChars="200"/>
        <w:jc w:val="left"/>
        <w:rPr>
          <w:sz w:val="28"/>
          <w:szCs w:val="28"/>
        </w:rPr>
      </w:pPr>
      <w:r>
        <w:rPr>
          <w:rFonts w:hint="eastAsia"/>
          <w:sz w:val="28"/>
          <w:szCs w:val="28"/>
        </w:rPr>
        <w:t>组织机构建立健全。</w:t>
      </w:r>
    </w:p>
    <w:p>
      <w:pPr>
        <w:numPr>
          <w:ilvl w:val="0"/>
          <w:numId w:val="9"/>
        </w:numPr>
        <w:ind w:left="0" w:firstLine="560" w:firstLineChars="200"/>
        <w:jc w:val="left"/>
        <w:rPr>
          <w:sz w:val="28"/>
          <w:szCs w:val="28"/>
        </w:rPr>
      </w:pPr>
      <w:r>
        <w:rPr>
          <w:rFonts w:hint="eastAsia"/>
          <w:sz w:val="28"/>
          <w:szCs w:val="28"/>
        </w:rPr>
        <w:t>项目招投标及合同管理制度及执行情况分析。在施工过程中严格执行各项管控制度，通过政府采购公开招投标，并统一签订了合同。</w:t>
      </w:r>
    </w:p>
    <w:p>
      <w:pPr>
        <w:numPr>
          <w:ilvl w:val="0"/>
          <w:numId w:val="9"/>
        </w:numPr>
        <w:ind w:left="0" w:firstLine="560" w:firstLineChars="200"/>
        <w:jc w:val="left"/>
        <w:rPr>
          <w:sz w:val="28"/>
          <w:szCs w:val="28"/>
        </w:rPr>
      </w:pPr>
      <w:r>
        <w:rPr>
          <w:rFonts w:hint="eastAsia"/>
          <w:sz w:val="28"/>
          <w:szCs w:val="28"/>
        </w:rPr>
        <w:t>工程监理制度及执行情况分析。严格执行了工程监理制度，监理方案科学、手续完整，监理小结、日志、总结报告等齐全。</w:t>
      </w:r>
    </w:p>
    <w:p>
      <w:pPr>
        <w:numPr>
          <w:ilvl w:val="0"/>
          <w:numId w:val="7"/>
        </w:numPr>
        <w:jc w:val="left"/>
        <w:rPr>
          <w:b/>
          <w:bCs/>
          <w:sz w:val="28"/>
          <w:szCs w:val="28"/>
        </w:rPr>
      </w:pPr>
      <w:r>
        <w:rPr>
          <w:rFonts w:hint="eastAsia"/>
          <w:b/>
          <w:bCs/>
          <w:sz w:val="28"/>
          <w:szCs w:val="28"/>
        </w:rPr>
        <w:t>项目产出情况</w:t>
      </w:r>
    </w:p>
    <w:p>
      <w:pPr>
        <w:jc w:val="left"/>
        <w:rPr>
          <w:sz w:val="28"/>
          <w:szCs w:val="28"/>
        </w:rPr>
      </w:pPr>
      <w:r>
        <w:rPr>
          <w:rFonts w:hint="eastAsia"/>
          <w:sz w:val="28"/>
          <w:szCs w:val="28"/>
        </w:rPr>
        <w:t xml:space="preserve">     本项目实施以来，严格按照时间节点及年度目标任务，精心组织实施，完成设计、造价单位、</w:t>
      </w:r>
      <w:r>
        <w:rPr>
          <w:rFonts w:hint="eastAsia"/>
          <w:sz w:val="28"/>
          <w:szCs w:val="28"/>
          <w:lang w:val="en-US" w:eastAsia="zh-CN"/>
        </w:rPr>
        <w:t>施工</w:t>
      </w:r>
      <w:r>
        <w:rPr>
          <w:rFonts w:hint="eastAsia"/>
          <w:sz w:val="28"/>
          <w:szCs w:val="28"/>
        </w:rPr>
        <w:t>、监理各参建单位的招投标工作。</w:t>
      </w:r>
    </w:p>
    <w:p>
      <w:pPr>
        <w:numPr>
          <w:ilvl w:val="0"/>
          <w:numId w:val="7"/>
        </w:numPr>
        <w:jc w:val="left"/>
        <w:rPr>
          <w:b/>
          <w:bCs/>
          <w:sz w:val="28"/>
          <w:szCs w:val="28"/>
        </w:rPr>
      </w:pPr>
      <w:r>
        <w:rPr>
          <w:rFonts w:hint="eastAsia"/>
          <w:b/>
          <w:bCs/>
          <w:sz w:val="28"/>
          <w:szCs w:val="28"/>
        </w:rPr>
        <w:t>项目效益情况</w:t>
      </w:r>
    </w:p>
    <w:p>
      <w:pPr>
        <w:adjustRightInd w:val="0"/>
        <w:snapToGrid w:val="0"/>
        <w:spacing w:line="580" w:lineRule="exact"/>
        <w:ind w:firstLine="640"/>
        <w:outlineLvl w:val="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提升社会效益，顺利通过创城复检，解决群众出行需求，使交通标线清晰、完善，保障驾驶安全。</w:t>
      </w:r>
    </w:p>
    <w:p>
      <w:pPr>
        <w:adjustRightInd w:val="0"/>
        <w:snapToGrid w:val="0"/>
        <w:spacing w:line="580" w:lineRule="exact"/>
        <w:ind w:firstLine="640"/>
        <w:outlineLvl w:val="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提升环境效益，改善交通标线磨损不清现状，美化交通环境</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预计交通参与者对于整治后交通标志、标线清晰满意度提升到90%。</w:t>
      </w:r>
    </w:p>
    <w:p>
      <w:pPr>
        <w:numPr>
          <w:ilvl w:val="0"/>
          <w:numId w:val="1"/>
        </w:numPr>
        <w:jc w:val="left"/>
        <w:rPr>
          <w:b/>
          <w:bCs/>
          <w:sz w:val="28"/>
          <w:szCs w:val="28"/>
          <w:highlight w:val="none"/>
        </w:rPr>
      </w:pPr>
      <w:r>
        <w:rPr>
          <w:rFonts w:hint="eastAsia"/>
          <w:b/>
          <w:bCs/>
          <w:sz w:val="28"/>
          <w:szCs w:val="28"/>
          <w:highlight w:val="none"/>
        </w:rPr>
        <w:t>主要经验及做法、存在的问题及原因分析</w:t>
      </w:r>
    </w:p>
    <w:p>
      <w:pPr>
        <w:numPr>
          <w:ilvl w:val="0"/>
          <w:numId w:val="10"/>
        </w:numPr>
        <w:jc w:val="left"/>
        <w:rPr>
          <w:b/>
          <w:bCs/>
          <w:sz w:val="28"/>
          <w:szCs w:val="28"/>
        </w:rPr>
      </w:pPr>
      <w:r>
        <w:rPr>
          <w:rFonts w:hint="eastAsia"/>
          <w:b/>
          <w:bCs/>
          <w:sz w:val="28"/>
          <w:szCs w:val="28"/>
        </w:rPr>
        <w:t>主要经验及做法</w:t>
      </w:r>
    </w:p>
    <w:p>
      <w:pPr>
        <w:adjustRightInd w:val="0"/>
        <w:snapToGrid w:val="0"/>
        <w:spacing w:line="580" w:lineRule="exact"/>
        <w:ind w:firstLine="640"/>
        <w:outlineLvl w:val="0"/>
        <w:rPr>
          <w:rFonts w:asciiTheme="minorHAnsi" w:hAnsiTheme="minorHAnsi" w:eastAsiaTheme="minorEastAsia" w:cstheme="minorBidi"/>
          <w:sz w:val="28"/>
          <w:szCs w:val="28"/>
          <w:lang w:val="en-US" w:bidi="ar-SA"/>
        </w:rPr>
      </w:pPr>
      <w:r>
        <w:rPr>
          <w:rFonts w:hint="eastAsia" w:asciiTheme="minorHAnsi" w:hAnsiTheme="minorHAnsi" w:eastAsiaTheme="minorEastAsia" w:cstheme="minorBidi"/>
          <w:sz w:val="28"/>
          <w:szCs w:val="28"/>
          <w:lang w:val="en-US" w:bidi="ar-SA"/>
        </w:rPr>
        <w:t>通过实施</w:t>
      </w:r>
      <w:r>
        <w:rPr>
          <w:rFonts w:hint="eastAsia" w:asciiTheme="minorHAnsi" w:hAnsiTheme="minorHAnsi" w:eastAsiaTheme="minorEastAsia" w:cstheme="minorBidi"/>
          <w:sz w:val="28"/>
          <w:szCs w:val="28"/>
          <w:lang w:val="en-US" w:eastAsia="zh-CN" w:bidi="ar-SA"/>
        </w:rPr>
        <w:t>本</w:t>
      </w:r>
      <w:r>
        <w:rPr>
          <w:rFonts w:hint="eastAsia" w:asciiTheme="minorHAnsi" w:hAnsiTheme="minorHAnsi" w:eastAsiaTheme="minorEastAsia" w:cstheme="minorBidi"/>
          <w:sz w:val="28"/>
          <w:szCs w:val="28"/>
          <w:lang w:val="en-US" w:bidi="ar-SA"/>
        </w:rPr>
        <w:t>项目，极大的改善了</w:t>
      </w:r>
      <w:r>
        <w:rPr>
          <w:rFonts w:hint="eastAsia" w:asciiTheme="minorHAnsi" w:hAnsiTheme="minorHAnsi" w:eastAsiaTheme="minorEastAsia" w:cstheme="minorBidi"/>
          <w:sz w:val="28"/>
          <w:szCs w:val="28"/>
          <w:lang w:val="en-US" w:eastAsia="zh-CN" w:bidi="ar-SA"/>
        </w:rPr>
        <w:t>交通出行环境</w:t>
      </w:r>
      <w:r>
        <w:rPr>
          <w:rFonts w:hint="eastAsia" w:asciiTheme="minorHAnsi" w:hAnsiTheme="minorHAnsi" w:eastAsiaTheme="minorEastAsia" w:cstheme="minorBidi"/>
          <w:sz w:val="28"/>
          <w:szCs w:val="28"/>
          <w:lang w:val="en-US" w:bidi="ar-SA"/>
        </w:rPr>
        <w:t>，解决群众出行需求，使交通标线清晰、完善，</w:t>
      </w:r>
      <w:r>
        <w:rPr>
          <w:rFonts w:hint="eastAsia" w:asciiTheme="minorHAnsi" w:hAnsiTheme="minorHAnsi" w:eastAsiaTheme="minorEastAsia" w:cstheme="minorBidi"/>
          <w:sz w:val="28"/>
          <w:szCs w:val="28"/>
          <w:lang w:val="en-US" w:eastAsia="zh-CN" w:bidi="ar-SA"/>
        </w:rPr>
        <w:t>有利于</w:t>
      </w:r>
      <w:r>
        <w:rPr>
          <w:rFonts w:hint="eastAsia" w:asciiTheme="minorHAnsi" w:hAnsiTheme="minorHAnsi" w:eastAsiaTheme="minorEastAsia" w:cstheme="minorBidi"/>
          <w:sz w:val="28"/>
          <w:szCs w:val="28"/>
          <w:lang w:val="en-US" w:bidi="ar-SA"/>
        </w:rPr>
        <w:t>保障驾驶安全。主要经验与做法体现在以下方面：</w:t>
      </w:r>
    </w:p>
    <w:p>
      <w:pPr>
        <w:ind w:right="-92" w:rightChars="-44" w:firstLine="560" w:firstLineChars="200"/>
        <w:jc w:val="left"/>
        <w:rPr>
          <w:rFonts w:hint="eastAsia"/>
          <w:sz w:val="28"/>
          <w:szCs w:val="28"/>
          <w:lang w:eastAsia="zh-CN"/>
        </w:rPr>
      </w:pPr>
      <w:r>
        <w:rPr>
          <w:rFonts w:hint="eastAsia"/>
          <w:sz w:val="28"/>
          <w:szCs w:val="28"/>
        </w:rPr>
        <w:t>细致规划和准备</w:t>
      </w:r>
      <w:r>
        <w:rPr>
          <w:rFonts w:hint="eastAsia"/>
          <w:sz w:val="28"/>
          <w:szCs w:val="28"/>
          <w:lang w:eastAsia="zh-CN"/>
        </w:rPr>
        <w:t>：制定详细的项目计划，包括时间表、责任分工、资源调配等。针对重大活动和群众需求，制定相应的交通维护方案和保障措施</w:t>
      </w:r>
    </w:p>
    <w:p>
      <w:pPr>
        <w:ind w:right="-92" w:rightChars="-44" w:firstLine="560" w:firstLineChars="200"/>
        <w:jc w:val="left"/>
        <w:rPr>
          <w:rFonts w:hint="eastAsia"/>
          <w:sz w:val="28"/>
          <w:szCs w:val="28"/>
        </w:rPr>
      </w:pPr>
      <w:r>
        <w:rPr>
          <w:rFonts w:hint="default"/>
          <w:sz w:val="28"/>
          <w:szCs w:val="28"/>
        </w:rPr>
        <w:t>安全保障和应急预案：制定交通安全保障方案，加强交通事故预防和处理。准备应急预案，应对突发事件和紧急情况</w:t>
      </w:r>
      <w:r>
        <w:rPr>
          <w:rFonts w:hint="eastAsia"/>
          <w:sz w:val="28"/>
          <w:szCs w:val="28"/>
        </w:rPr>
        <w:t>。</w:t>
      </w:r>
    </w:p>
    <w:p>
      <w:pPr>
        <w:pStyle w:val="6"/>
        <w:keepNext w:val="0"/>
        <w:keepLines w:val="0"/>
        <w:widowControl/>
        <w:suppressLineNumbers w:val="0"/>
        <w:spacing w:before="240" w:beforeAutospacing="0" w:after="240" w:afterAutospacing="0"/>
        <w:ind w:left="0" w:firstLine="560" w:firstLineChars="20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评估和总结：对项目执行过程进行及时评估和监控，发现问题及时调整。完成项目后进行总结，总结经验教训，为未来类似项目提供参考</w:t>
      </w:r>
      <w:r>
        <w:rPr>
          <w:rFonts w:hint="eastAsia" w:cstheme="minorBidi"/>
          <w:kern w:val="2"/>
          <w:sz w:val="28"/>
          <w:szCs w:val="28"/>
          <w:lang w:val="en-US" w:eastAsia="zh-CN" w:bidi="ar-SA"/>
        </w:rPr>
        <w:t>。</w:t>
      </w:r>
    </w:p>
    <w:p>
      <w:pPr>
        <w:numPr>
          <w:ilvl w:val="0"/>
          <w:numId w:val="10"/>
        </w:numPr>
        <w:jc w:val="left"/>
        <w:rPr>
          <w:b/>
          <w:bCs/>
          <w:sz w:val="28"/>
          <w:szCs w:val="28"/>
        </w:rPr>
      </w:pPr>
      <w:r>
        <w:rPr>
          <w:rFonts w:hint="eastAsia"/>
          <w:b/>
          <w:bCs/>
          <w:sz w:val="28"/>
          <w:szCs w:val="28"/>
        </w:rPr>
        <w:t>存在的问题及原因分析</w:t>
      </w:r>
    </w:p>
    <w:p>
      <w:pPr>
        <w:jc w:val="left"/>
        <w:rPr>
          <w:sz w:val="28"/>
          <w:szCs w:val="28"/>
        </w:rPr>
      </w:pPr>
      <w:r>
        <w:rPr>
          <w:rFonts w:hint="eastAsia"/>
          <w:sz w:val="28"/>
          <w:szCs w:val="28"/>
        </w:rPr>
        <w:t xml:space="preserve">     目前未发现存在的问题。</w:t>
      </w:r>
    </w:p>
    <w:p>
      <w:pPr>
        <w:numPr>
          <w:ilvl w:val="0"/>
          <w:numId w:val="1"/>
        </w:numPr>
        <w:jc w:val="left"/>
        <w:rPr>
          <w:b/>
          <w:bCs/>
          <w:sz w:val="28"/>
          <w:szCs w:val="28"/>
        </w:rPr>
      </w:pPr>
      <w:r>
        <w:rPr>
          <w:rFonts w:hint="eastAsia"/>
          <w:b/>
          <w:bCs/>
          <w:sz w:val="28"/>
          <w:szCs w:val="28"/>
        </w:rPr>
        <w:t>有关建议</w:t>
      </w:r>
    </w:p>
    <w:p>
      <w:pPr>
        <w:pStyle w:val="3"/>
        <w:tabs>
          <w:tab w:val="left" w:pos="8400"/>
        </w:tabs>
        <w:spacing w:before="240" w:line="381" w:lineRule="auto"/>
        <w:ind w:left="131" w:right="-92" w:rightChars="-44" w:firstLine="640"/>
        <w:rPr>
          <w:rFonts w:asciiTheme="minorHAnsi" w:hAnsiTheme="minorHAnsi" w:eastAsiaTheme="minorEastAsia" w:cstheme="minorBidi"/>
          <w:sz w:val="28"/>
          <w:szCs w:val="28"/>
          <w:lang w:val="en-US" w:bidi="ar-SA"/>
        </w:rPr>
      </w:pPr>
      <w:r>
        <w:rPr>
          <w:rFonts w:hint="eastAsia" w:asciiTheme="minorHAnsi" w:hAnsiTheme="minorHAnsi" w:eastAsiaTheme="minorEastAsia" w:cstheme="minorBidi"/>
          <w:sz w:val="28"/>
          <w:szCs w:val="28"/>
          <w:lang w:val="en-US" w:bidi="ar-SA"/>
        </w:rPr>
        <w:t>1、结合民意</w:t>
      </w:r>
      <w:r>
        <w:rPr>
          <w:rFonts w:hint="eastAsia" w:asciiTheme="minorHAnsi" w:hAnsiTheme="minorHAnsi" w:eastAsiaTheme="minorEastAsia" w:cstheme="minorBidi"/>
          <w:sz w:val="28"/>
          <w:szCs w:val="28"/>
          <w:lang w:val="en-US" w:eastAsia="zh-CN" w:bidi="ar-SA"/>
        </w:rPr>
        <w:t>舆情</w:t>
      </w:r>
      <w:r>
        <w:rPr>
          <w:rFonts w:hint="eastAsia" w:asciiTheme="minorHAnsi" w:hAnsiTheme="minorHAnsi" w:eastAsiaTheme="minorEastAsia" w:cstheme="minorBidi"/>
          <w:sz w:val="28"/>
          <w:szCs w:val="28"/>
          <w:lang w:val="en-US" w:bidi="ar-SA"/>
        </w:rPr>
        <w:t>，提出整治改造方案</w:t>
      </w:r>
      <w:r>
        <w:rPr>
          <w:rFonts w:hint="eastAsia" w:asciiTheme="minorHAnsi" w:hAnsiTheme="minorHAnsi" w:eastAsiaTheme="minorEastAsia" w:cstheme="minorBidi"/>
          <w:sz w:val="28"/>
          <w:szCs w:val="28"/>
          <w:lang w:val="en-US" w:eastAsia="zh-CN" w:bidi="ar-SA"/>
        </w:rPr>
        <w:t>，</w:t>
      </w:r>
      <w:r>
        <w:rPr>
          <w:rFonts w:hint="eastAsia" w:asciiTheme="minorHAnsi" w:hAnsiTheme="minorHAnsi" w:eastAsiaTheme="minorEastAsia" w:cstheme="minorBidi"/>
          <w:sz w:val="28"/>
          <w:szCs w:val="28"/>
          <w:lang w:val="en-US" w:bidi="ar-SA"/>
        </w:rPr>
        <w:t>项目实施时应履行相应手续，涉及</w:t>
      </w:r>
      <w:r>
        <w:rPr>
          <w:rFonts w:hint="eastAsia" w:asciiTheme="minorHAnsi" w:hAnsiTheme="minorHAnsi" w:eastAsiaTheme="minorEastAsia" w:cstheme="minorBidi"/>
          <w:sz w:val="28"/>
          <w:szCs w:val="28"/>
          <w:lang w:val="en-US" w:eastAsia="zh-CN" w:bidi="ar-SA"/>
        </w:rPr>
        <w:t>工程洽商</w:t>
      </w:r>
      <w:r>
        <w:rPr>
          <w:rFonts w:hint="eastAsia" w:asciiTheme="minorHAnsi" w:hAnsiTheme="minorHAnsi" w:eastAsiaTheme="minorEastAsia" w:cstheme="minorBidi"/>
          <w:sz w:val="28"/>
          <w:szCs w:val="28"/>
          <w:lang w:val="en-US" w:bidi="ar-SA"/>
        </w:rPr>
        <w:t>的，按照</w:t>
      </w:r>
      <w:r>
        <w:rPr>
          <w:rFonts w:hint="eastAsia" w:asciiTheme="minorHAnsi" w:hAnsiTheme="minorHAnsi" w:eastAsiaTheme="minorEastAsia" w:cstheme="minorBidi"/>
          <w:sz w:val="28"/>
          <w:szCs w:val="28"/>
          <w:lang w:val="en-US" w:eastAsia="zh-CN" w:bidi="ar-SA"/>
        </w:rPr>
        <w:t>工程洽商流程补充完善相应</w:t>
      </w:r>
      <w:r>
        <w:rPr>
          <w:rFonts w:hint="eastAsia" w:asciiTheme="minorHAnsi" w:hAnsiTheme="minorHAnsi" w:eastAsiaTheme="minorEastAsia" w:cstheme="minorBidi"/>
          <w:sz w:val="28"/>
          <w:szCs w:val="28"/>
          <w:lang w:val="en-US" w:bidi="ar-SA"/>
        </w:rPr>
        <w:t>手续。</w:t>
      </w:r>
    </w:p>
    <w:p>
      <w:pPr>
        <w:tabs>
          <w:tab w:val="left" w:pos="8400"/>
        </w:tabs>
        <w:ind w:right="-92" w:rightChars="-44" w:firstLine="840" w:firstLineChars="300"/>
        <w:jc w:val="left"/>
        <w:rPr>
          <w:sz w:val="28"/>
          <w:szCs w:val="28"/>
        </w:rPr>
      </w:pPr>
      <w:r>
        <w:rPr>
          <w:rFonts w:hint="eastAsia"/>
          <w:sz w:val="28"/>
          <w:szCs w:val="28"/>
        </w:rPr>
        <w:t>2、</w:t>
      </w:r>
      <w:r>
        <w:rPr>
          <w:rFonts w:hint="eastAsia"/>
          <w:sz w:val="28"/>
          <w:szCs w:val="28"/>
          <w:lang w:val="en-US" w:eastAsia="zh-CN"/>
        </w:rPr>
        <w:t>控制时间节点</w:t>
      </w:r>
      <w:r>
        <w:rPr>
          <w:rFonts w:hint="eastAsia"/>
          <w:sz w:val="28"/>
          <w:szCs w:val="28"/>
        </w:rPr>
        <w:t>，</w:t>
      </w:r>
      <w:r>
        <w:rPr>
          <w:rFonts w:hint="eastAsia"/>
          <w:sz w:val="28"/>
          <w:szCs w:val="28"/>
          <w:lang w:val="en-US" w:eastAsia="zh-CN"/>
        </w:rPr>
        <w:t>保证</w:t>
      </w:r>
      <w:r>
        <w:rPr>
          <w:rFonts w:hint="eastAsia"/>
          <w:sz w:val="28"/>
          <w:szCs w:val="28"/>
        </w:rPr>
        <w:t>工程</w:t>
      </w:r>
      <w:r>
        <w:rPr>
          <w:rFonts w:hint="eastAsia"/>
          <w:sz w:val="28"/>
          <w:szCs w:val="28"/>
          <w:lang w:val="en-US" w:eastAsia="zh-CN"/>
        </w:rPr>
        <w:t>工期及</w:t>
      </w:r>
      <w:r>
        <w:rPr>
          <w:rFonts w:hint="eastAsia"/>
          <w:sz w:val="28"/>
          <w:szCs w:val="28"/>
        </w:rPr>
        <w:t>质量。</w:t>
      </w:r>
    </w:p>
    <w:p>
      <w:pPr>
        <w:numPr>
          <w:ilvl w:val="0"/>
          <w:numId w:val="1"/>
        </w:numPr>
        <w:jc w:val="left"/>
        <w:rPr>
          <w:b/>
          <w:bCs/>
          <w:sz w:val="28"/>
          <w:szCs w:val="28"/>
        </w:rPr>
      </w:pPr>
      <w:r>
        <w:rPr>
          <w:rFonts w:hint="eastAsia"/>
          <w:b/>
          <w:bCs/>
          <w:sz w:val="28"/>
          <w:szCs w:val="28"/>
        </w:rPr>
        <w:t>其他需要说明的问题</w:t>
      </w:r>
    </w:p>
    <w:p>
      <w:pPr>
        <w:jc w:val="left"/>
        <w:rPr>
          <w:sz w:val="28"/>
          <w:szCs w:val="28"/>
        </w:rPr>
      </w:pPr>
      <w:r>
        <w:rPr>
          <w:rFonts w:hint="eastAsia"/>
          <w:sz w:val="28"/>
          <w:szCs w:val="28"/>
        </w:rPr>
        <w:t xml:space="preserve">    无。</w:t>
      </w:r>
    </w:p>
    <w:p>
      <w:pPr>
        <w:widowControl/>
        <w:jc w:val="center"/>
        <w:rPr>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6D28E"/>
    <w:multiLevelType w:val="singleLevel"/>
    <w:tmpl w:val="8646D28E"/>
    <w:lvl w:ilvl="0" w:tentative="0">
      <w:start w:val="1"/>
      <w:numFmt w:val="decimal"/>
      <w:suff w:val="nothing"/>
      <w:lvlText w:val="%1、"/>
      <w:lvlJc w:val="left"/>
      <w:pPr>
        <w:ind w:left="560" w:firstLine="0"/>
      </w:pPr>
    </w:lvl>
  </w:abstractNum>
  <w:abstractNum w:abstractNumId="1">
    <w:nsid w:val="88ACA9CE"/>
    <w:multiLevelType w:val="singleLevel"/>
    <w:tmpl w:val="88ACA9CE"/>
    <w:lvl w:ilvl="0" w:tentative="0">
      <w:start w:val="1"/>
      <w:numFmt w:val="chineseCounting"/>
      <w:suff w:val="nothing"/>
      <w:lvlText w:val="%1、"/>
      <w:lvlJc w:val="left"/>
      <w:rPr>
        <w:rFonts w:hint="eastAsia"/>
      </w:rPr>
    </w:lvl>
  </w:abstractNum>
  <w:abstractNum w:abstractNumId="2">
    <w:nsid w:val="B2022B69"/>
    <w:multiLevelType w:val="singleLevel"/>
    <w:tmpl w:val="B2022B69"/>
    <w:lvl w:ilvl="0" w:tentative="0">
      <w:start w:val="1"/>
      <w:numFmt w:val="chineseCounting"/>
      <w:suff w:val="nothing"/>
      <w:lvlText w:val="（%1）"/>
      <w:lvlJc w:val="left"/>
      <w:rPr>
        <w:rFonts w:hint="eastAsia"/>
      </w:rPr>
    </w:lvl>
  </w:abstractNum>
  <w:abstractNum w:abstractNumId="3">
    <w:nsid w:val="BFF52ECB"/>
    <w:multiLevelType w:val="singleLevel"/>
    <w:tmpl w:val="BFF52ECB"/>
    <w:lvl w:ilvl="0" w:tentative="0">
      <w:start w:val="1"/>
      <w:numFmt w:val="decimal"/>
      <w:suff w:val="nothing"/>
      <w:lvlText w:val="%1、"/>
      <w:lvlJc w:val="left"/>
      <w:pPr>
        <w:ind w:left="560" w:firstLine="0"/>
      </w:pPr>
    </w:lvl>
  </w:abstractNum>
  <w:abstractNum w:abstractNumId="4">
    <w:nsid w:val="C6B578CA"/>
    <w:multiLevelType w:val="singleLevel"/>
    <w:tmpl w:val="C6B578CA"/>
    <w:lvl w:ilvl="0" w:tentative="0">
      <w:start w:val="1"/>
      <w:numFmt w:val="decimal"/>
      <w:suff w:val="nothing"/>
      <w:lvlText w:val="%1、"/>
      <w:lvlJc w:val="left"/>
      <w:pPr>
        <w:ind w:left="560" w:firstLine="0"/>
      </w:pPr>
    </w:lvl>
  </w:abstractNum>
  <w:abstractNum w:abstractNumId="5">
    <w:nsid w:val="FA34E87F"/>
    <w:multiLevelType w:val="singleLevel"/>
    <w:tmpl w:val="FA34E87F"/>
    <w:lvl w:ilvl="0" w:tentative="0">
      <w:start w:val="1"/>
      <w:numFmt w:val="chineseCounting"/>
      <w:suff w:val="nothing"/>
      <w:lvlText w:val="（%1）"/>
      <w:lvlJc w:val="left"/>
      <w:rPr>
        <w:rFonts w:hint="eastAsia"/>
      </w:rPr>
    </w:lvl>
  </w:abstractNum>
  <w:abstractNum w:abstractNumId="6">
    <w:nsid w:val="101E3F5B"/>
    <w:multiLevelType w:val="singleLevel"/>
    <w:tmpl w:val="101E3F5B"/>
    <w:lvl w:ilvl="0" w:tentative="0">
      <w:start w:val="1"/>
      <w:numFmt w:val="chineseCounting"/>
      <w:suff w:val="nothing"/>
      <w:lvlText w:val="（%1）"/>
      <w:lvlJc w:val="left"/>
      <w:rPr>
        <w:rFonts w:hint="eastAsia"/>
      </w:rPr>
    </w:lvl>
  </w:abstractNum>
  <w:abstractNum w:abstractNumId="7">
    <w:nsid w:val="49447C82"/>
    <w:multiLevelType w:val="singleLevel"/>
    <w:tmpl w:val="49447C82"/>
    <w:lvl w:ilvl="0" w:tentative="0">
      <w:start w:val="1"/>
      <w:numFmt w:val="decimal"/>
      <w:suff w:val="nothing"/>
      <w:lvlText w:val="%1、"/>
      <w:lvlJc w:val="left"/>
      <w:pPr>
        <w:ind w:left="420" w:firstLine="0"/>
      </w:pPr>
    </w:lvl>
  </w:abstractNum>
  <w:abstractNum w:abstractNumId="8">
    <w:nsid w:val="7245DD8E"/>
    <w:multiLevelType w:val="singleLevel"/>
    <w:tmpl w:val="7245DD8E"/>
    <w:lvl w:ilvl="0" w:tentative="0">
      <w:start w:val="1"/>
      <w:numFmt w:val="chineseCounting"/>
      <w:suff w:val="nothing"/>
      <w:lvlText w:val="（%1）"/>
      <w:lvlJc w:val="left"/>
      <w:rPr>
        <w:rFonts w:hint="eastAsia"/>
      </w:rPr>
    </w:lvl>
  </w:abstractNum>
  <w:abstractNum w:abstractNumId="9">
    <w:nsid w:val="78C645C3"/>
    <w:multiLevelType w:val="singleLevel"/>
    <w:tmpl w:val="78C645C3"/>
    <w:lvl w:ilvl="0" w:tentative="0">
      <w:start w:val="1"/>
      <w:numFmt w:val="chineseCounting"/>
      <w:suff w:val="nothing"/>
      <w:lvlText w:val="（%1）"/>
      <w:lvlJc w:val="left"/>
      <w:rPr>
        <w:rFonts w:hint="eastAsia"/>
      </w:rPr>
    </w:lvl>
  </w:abstractNum>
  <w:num w:numId="1">
    <w:abstractNumId w:val="1"/>
  </w:num>
  <w:num w:numId="2">
    <w:abstractNumId w:val="8"/>
  </w:num>
  <w:num w:numId="3">
    <w:abstractNumId w:val="2"/>
  </w:num>
  <w:num w:numId="4">
    <w:abstractNumId w:val="7"/>
  </w:num>
  <w:num w:numId="5">
    <w:abstractNumId w:val="4"/>
  </w:num>
  <w:num w:numId="6">
    <w:abstractNumId w:val="9"/>
  </w:num>
  <w:num w:numId="7">
    <w:abstractNumId w:val="5"/>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jg3YTM2YmIyNDkwNDA3NmFmYzkyYmM3MGViYjAifQ=="/>
  </w:docVars>
  <w:rsids>
    <w:rsidRoot w:val="00443697"/>
    <w:rsid w:val="0034217A"/>
    <w:rsid w:val="00443697"/>
    <w:rsid w:val="004476D1"/>
    <w:rsid w:val="008B6E90"/>
    <w:rsid w:val="009A1C18"/>
    <w:rsid w:val="00BD39C4"/>
    <w:rsid w:val="00FB1B87"/>
    <w:rsid w:val="015878B2"/>
    <w:rsid w:val="02EA63A8"/>
    <w:rsid w:val="02EF10DB"/>
    <w:rsid w:val="03BF5039"/>
    <w:rsid w:val="040B46F8"/>
    <w:rsid w:val="067C5F24"/>
    <w:rsid w:val="07D700D1"/>
    <w:rsid w:val="096A38E7"/>
    <w:rsid w:val="0DFB6FCF"/>
    <w:rsid w:val="0E6D45AA"/>
    <w:rsid w:val="0E8B67DF"/>
    <w:rsid w:val="10000A8B"/>
    <w:rsid w:val="11851C0B"/>
    <w:rsid w:val="147F0B7A"/>
    <w:rsid w:val="15DC1001"/>
    <w:rsid w:val="188F4B5E"/>
    <w:rsid w:val="1BF8259E"/>
    <w:rsid w:val="1C932C40"/>
    <w:rsid w:val="1CC6408C"/>
    <w:rsid w:val="1EF17BD0"/>
    <w:rsid w:val="22941CAE"/>
    <w:rsid w:val="2480680F"/>
    <w:rsid w:val="253A3DE5"/>
    <w:rsid w:val="25A030DE"/>
    <w:rsid w:val="25FB61DE"/>
    <w:rsid w:val="26E9269F"/>
    <w:rsid w:val="2765222C"/>
    <w:rsid w:val="278B2FDC"/>
    <w:rsid w:val="2B76052E"/>
    <w:rsid w:val="2B7B3ABF"/>
    <w:rsid w:val="2D27337A"/>
    <w:rsid w:val="2D5F5883"/>
    <w:rsid w:val="2DEE2F45"/>
    <w:rsid w:val="2EE0032C"/>
    <w:rsid w:val="2F6E7DCF"/>
    <w:rsid w:val="33AA1216"/>
    <w:rsid w:val="3540783B"/>
    <w:rsid w:val="369C67E3"/>
    <w:rsid w:val="373D426B"/>
    <w:rsid w:val="37667D77"/>
    <w:rsid w:val="37C6003C"/>
    <w:rsid w:val="37FC2509"/>
    <w:rsid w:val="39721A4A"/>
    <w:rsid w:val="3AB127E1"/>
    <w:rsid w:val="414E2C1E"/>
    <w:rsid w:val="4278084D"/>
    <w:rsid w:val="44554F19"/>
    <w:rsid w:val="45C56E8A"/>
    <w:rsid w:val="46DB30A7"/>
    <w:rsid w:val="46F76459"/>
    <w:rsid w:val="479C6D8B"/>
    <w:rsid w:val="4900300D"/>
    <w:rsid w:val="4BC130D5"/>
    <w:rsid w:val="4DA034F0"/>
    <w:rsid w:val="4E7577D1"/>
    <w:rsid w:val="523B1117"/>
    <w:rsid w:val="523F275B"/>
    <w:rsid w:val="529417B2"/>
    <w:rsid w:val="55D05788"/>
    <w:rsid w:val="57F62030"/>
    <w:rsid w:val="58472D43"/>
    <w:rsid w:val="587A6F9F"/>
    <w:rsid w:val="59201B2B"/>
    <w:rsid w:val="59EA7E2A"/>
    <w:rsid w:val="5A560559"/>
    <w:rsid w:val="5A6559B6"/>
    <w:rsid w:val="5B5F2507"/>
    <w:rsid w:val="5B891CE4"/>
    <w:rsid w:val="5CF85725"/>
    <w:rsid w:val="5EE66E12"/>
    <w:rsid w:val="61221FC8"/>
    <w:rsid w:val="64CA44F4"/>
    <w:rsid w:val="66D659BE"/>
    <w:rsid w:val="670E7CF2"/>
    <w:rsid w:val="67A16835"/>
    <w:rsid w:val="69DE75EE"/>
    <w:rsid w:val="6B30123C"/>
    <w:rsid w:val="6BCE69C5"/>
    <w:rsid w:val="6E934B8C"/>
    <w:rsid w:val="6FB71F40"/>
    <w:rsid w:val="72E10E61"/>
    <w:rsid w:val="74E41BEE"/>
    <w:rsid w:val="75D614B6"/>
    <w:rsid w:val="76183F38"/>
    <w:rsid w:val="762A3E2E"/>
    <w:rsid w:val="771477F7"/>
    <w:rsid w:val="780633DF"/>
    <w:rsid w:val="780B06E7"/>
    <w:rsid w:val="7905099B"/>
    <w:rsid w:val="7A5E5C60"/>
    <w:rsid w:val="7AA65250"/>
    <w:rsid w:val="7B573BAB"/>
    <w:rsid w:val="7C861218"/>
    <w:rsid w:val="7CF26E34"/>
    <w:rsid w:val="7D181D8B"/>
    <w:rsid w:val="7E364EEB"/>
    <w:rsid w:val="7F4626AD"/>
    <w:rsid w:val="7F5F079A"/>
    <w:rsid w:val="7FA856B7"/>
    <w:rsid w:val="7FF4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ind w:left="757"/>
      <w:outlineLvl w:val="2"/>
    </w:pPr>
    <w:rPr>
      <w:rFonts w:ascii="黑体" w:hAnsi="黑体" w:eastAsia="黑体" w:cs="黑体"/>
      <w:b/>
      <w:bCs/>
      <w:sz w:val="32"/>
      <w:szCs w:val="32"/>
      <w:lang w:val="zh-CN" w:bidi="zh-CN"/>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 w:hAnsi="仿宋" w:eastAsia="仿宋" w:cs="仿宋"/>
      <w:sz w:val="32"/>
      <w:szCs w:val="32"/>
      <w:lang w:val="zh-CN" w:bidi="zh-CN"/>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2">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8</Pages>
  <Words>542</Words>
  <Characters>3093</Characters>
  <Lines>25</Lines>
  <Paragraphs>7</Paragraphs>
  <TotalTime>3</TotalTime>
  <ScaleCrop>false</ScaleCrop>
  <LinksUpToDate>false</LinksUpToDate>
  <CharactersWithSpaces>3628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蒙琳</cp:lastModifiedBy>
  <dcterms:modified xsi:type="dcterms:W3CDTF">2024-03-08T02:27:43Z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7C14E7DBB9524AC18F40F8E9BE569CD0_13</vt:lpwstr>
  </property>
</Properties>
</file>