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2021年1-11月朝阳区固定资产投资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（不含农户）同比增长13.1%</w:t>
      </w:r>
    </w:p>
    <w:p>
      <w:pPr>
        <w:widowControl/>
        <w:spacing w:line="480" w:lineRule="auto"/>
        <w:ind w:firstLine="620" w:firstLineChars="200"/>
        <w:rPr>
          <w:rFonts w:asciiTheme="minorEastAsia" w:hAnsiTheme="minorEastAsia" w:eastAsiaTheme="minorEastAsia"/>
          <w:bCs/>
          <w:spacing w:val="15"/>
          <w:sz w:val="28"/>
          <w:szCs w:val="28"/>
        </w:rPr>
      </w:pPr>
    </w:p>
    <w:p>
      <w:pPr>
        <w:spacing w:line="48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2021年1-11月，朝阳区固定资产投资（不含农户）同比增长13.1%,其中，房地产开发投资同比增长40.2%。</w:t>
      </w:r>
    </w:p>
    <w:p>
      <w:pPr>
        <w:widowControl/>
        <w:spacing w:line="48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1．1-11月，朝阳区建安投资同比增长2.1%，增速较1-10月回落3.1个百分点。</w:t>
      </w:r>
    </w:p>
    <w:p>
      <w:pPr>
        <w:widowControl/>
        <w:spacing w:line="48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2．1-11月，朝阳区民间固定资产投资同比增长92.7%，增速较</w:t>
      </w:r>
      <w:bookmarkStart w:id="0" w:name="_GoBack"/>
      <w:bookmarkEnd w:id="0"/>
      <w:r>
        <w:rPr>
          <w:rFonts w:hint="eastAsia" w:cs="宋体" w:asciiTheme="minorEastAsia" w:hAnsiTheme="minorEastAsia" w:eastAsiaTheme="minorEastAsia"/>
          <w:kern w:val="0"/>
          <w:sz w:val="28"/>
          <w:szCs w:val="28"/>
        </w:rPr>
        <w:t>1-10月</w:t>
      </w:r>
      <w:r>
        <w:rPr>
          <w:rFonts w:hint="eastAsia" w:cs="宋体" w:asciiTheme="minorEastAsia" w:hAnsiTheme="minorEastAsia" w:eastAsiaTheme="minorEastAsia"/>
          <w:kern w:val="0"/>
          <w:sz w:val="28"/>
          <w:szCs w:val="28"/>
          <w:lang w:eastAsia="zh-CN"/>
        </w:rPr>
        <w:t>提</w:t>
      </w:r>
      <w:r>
        <w:rPr>
          <w:rFonts w:hint="eastAsia" w:cs="宋体" w:asciiTheme="minorEastAsia" w:hAnsiTheme="minorEastAsia" w:eastAsiaTheme="minorEastAsia"/>
          <w:kern w:val="0"/>
          <w:sz w:val="28"/>
          <w:szCs w:val="28"/>
        </w:rPr>
        <w:t>升13.6个百分点。</w:t>
      </w:r>
    </w:p>
    <w:p>
      <w:pPr>
        <w:widowControl/>
        <w:spacing w:line="300" w:lineRule="atLeast"/>
        <w:jc w:val="center"/>
        <w:rPr>
          <w:rFonts w:ascii="宋体" w:hAnsi="宋体" w:cs="宋体"/>
          <w:kern w:val="0"/>
          <w:sz w:val="28"/>
          <w:szCs w:val="28"/>
        </w:rPr>
      </w:pPr>
      <w:r>
        <w:rPr>
          <w:rFonts w:hint="eastAsia" w:ascii="宋体" w:hAnsi="宋体" w:cs="宋体"/>
          <w:b/>
          <w:bCs/>
          <w:kern w:val="0"/>
          <w:sz w:val="28"/>
          <w:szCs w:val="28"/>
        </w:rPr>
        <w:t>图　1-11月朝阳区固定资产投资（不含农户）增速情况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beforeLines="50" w:line="480" w:lineRule="auto"/>
        <w:rPr>
          <w:rFonts w:ascii="宋体" w:hAnsi="宋体" w:cs="宋体"/>
          <w:kern w:val="0"/>
          <w:szCs w:val="21"/>
        </w:rPr>
      </w:pPr>
      <w:r>
        <w:rPr>
          <w:rFonts w:ascii="宋体" w:hAnsi="宋体" w:cs="宋体"/>
          <w:kern w:val="0"/>
          <w:szCs w:val="21"/>
        </w:rPr>
        <w:drawing>
          <wp:inline distT="0" distB="0" distL="0" distR="0">
            <wp:extent cx="5385435" cy="2014220"/>
            <wp:effectExtent l="0" t="0" r="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27E1E"/>
    <w:rsid w:val="00132E82"/>
    <w:rsid w:val="00141006"/>
    <w:rsid w:val="0016261B"/>
    <w:rsid w:val="001662C1"/>
    <w:rsid w:val="0016748C"/>
    <w:rsid w:val="00175617"/>
    <w:rsid w:val="00175AED"/>
    <w:rsid w:val="00177F75"/>
    <w:rsid w:val="00181610"/>
    <w:rsid w:val="00190C1C"/>
    <w:rsid w:val="001B4C03"/>
    <w:rsid w:val="001C2D04"/>
    <w:rsid w:val="001C3842"/>
    <w:rsid w:val="001D3BD8"/>
    <w:rsid w:val="001F5891"/>
    <w:rsid w:val="002011BF"/>
    <w:rsid w:val="00207DFD"/>
    <w:rsid w:val="002100CF"/>
    <w:rsid w:val="00211257"/>
    <w:rsid w:val="0021398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7F74"/>
    <w:rsid w:val="00583C2C"/>
    <w:rsid w:val="00590911"/>
    <w:rsid w:val="00593027"/>
    <w:rsid w:val="00593D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5332"/>
    <w:rsid w:val="006E1F62"/>
    <w:rsid w:val="006E6B3F"/>
    <w:rsid w:val="006F06DC"/>
    <w:rsid w:val="006F7B6E"/>
    <w:rsid w:val="007005C8"/>
    <w:rsid w:val="007066B2"/>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713B2"/>
    <w:rsid w:val="00971A83"/>
    <w:rsid w:val="00976D63"/>
    <w:rsid w:val="00985F2E"/>
    <w:rsid w:val="0099040C"/>
    <w:rsid w:val="0099556D"/>
    <w:rsid w:val="009A0580"/>
    <w:rsid w:val="009B50F8"/>
    <w:rsid w:val="009C56EB"/>
    <w:rsid w:val="009C61DD"/>
    <w:rsid w:val="009E6A8F"/>
    <w:rsid w:val="009E73AF"/>
    <w:rsid w:val="009F456B"/>
    <w:rsid w:val="009F5FCA"/>
    <w:rsid w:val="00A02A12"/>
    <w:rsid w:val="00A036FD"/>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33F12"/>
    <w:rsid w:val="00B405B9"/>
    <w:rsid w:val="00B46D6F"/>
    <w:rsid w:val="00B50E1F"/>
    <w:rsid w:val="00B538F0"/>
    <w:rsid w:val="00B54F6B"/>
    <w:rsid w:val="00B5754A"/>
    <w:rsid w:val="00B6485D"/>
    <w:rsid w:val="00B66BC8"/>
    <w:rsid w:val="00B74F49"/>
    <w:rsid w:val="00B77CAF"/>
    <w:rsid w:val="00B93BA8"/>
    <w:rsid w:val="00BA3C3C"/>
    <w:rsid w:val="00BA5E97"/>
    <w:rsid w:val="00BB14C2"/>
    <w:rsid w:val="00BC211D"/>
    <w:rsid w:val="00BD66D6"/>
    <w:rsid w:val="00BF131D"/>
    <w:rsid w:val="00C00E8B"/>
    <w:rsid w:val="00C01996"/>
    <w:rsid w:val="00C0776A"/>
    <w:rsid w:val="00C13875"/>
    <w:rsid w:val="00C140C2"/>
    <w:rsid w:val="00C240B2"/>
    <w:rsid w:val="00C35C17"/>
    <w:rsid w:val="00C47498"/>
    <w:rsid w:val="00C55CB9"/>
    <w:rsid w:val="00C67F6F"/>
    <w:rsid w:val="00C70802"/>
    <w:rsid w:val="00C71CDE"/>
    <w:rsid w:val="00C84C54"/>
    <w:rsid w:val="00C92199"/>
    <w:rsid w:val="00C96151"/>
    <w:rsid w:val="00CA1C27"/>
    <w:rsid w:val="00CA5739"/>
    <w:rsid w:val="00CB614A"/>
    <w:rsid w:val="00CB61E3"/>
    <w:rsid w:val="00CC61ED"/>
    <w:rsid w:val="00CD38F6"/>
    <w:rsid w:val="00CD5B4A"/>
    <w:rsid w:val="00CE2C8F"/>
    <w:rsid w:val="00CE3749"/>
    <w:rsid w:val="00CE754A"/>
    <w:rsid w:val="00CF3CF6"/>
    <w:rsid w:val="00CF750B"/>
    <w:rsid w:val="00D00DB2"/>
    <w:rsid w:val="00D21AC7"/>
    <w:rsid w:val="00D25BAE"/>
    <w:rsid w:val="00D30ECD"/>
    <w:rsid w:val="00D37B42"/>
    <w:rsid w:val="00D5032E"/>
    <w:rsid w:val="00D55F5F"/>
    <w:rsid w:val="00D566B5"/>
    <w:rsid w:val="00D571DF"/>
    <w:rsid w:val="00D67E71"/>
    <w:rsid w:val="00D76A52"/>
    <w:rsid w:val="00D85A01"/>
    <w:rsid w:val="00D90374"/>
    <w:rsid w:val="00D91FB4"/>
    <w:rsid w:val="00DA571E"/>
    <w:rsid w:val="00DB22D6"/>
    <w:rsid w:val="00DC2738"/>
    <w:rsid w:val="00DC36D3"/>
    <w:rsid w:val="00DD5744"/>
    <w:rsid w:val="00DE44CD"/>
    <w:rsid w:val="00DF03D6"/>
    <w:rsid w:val="00DF0D0D"/>
    <w:rsid w:val="00DF1303"/>
    <w:rsid w:val="00DF2D34"/>
    <w:rsid w:val="00E064B7"/>
    <w:rsid w:val="00E07AC2"/>
    <w:rsid w:val="00E16F3A"/>
    <w:rsid w:val="00E302E8"/>
    <w:rsid w:val="00E44F61"/>
    <w:rsid w:val="00E51361"/>
    <w:rsid w:val="00E55C86"/>
    <w:rsid w:val="00E62231"/>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B21EA"/>
    <w:rsid w:val="00FC26BC"/>
    <w:rsid w:val="00FC403B"/>
    <w:rsid w:val="00FD0324"/>
    <w:rsid w:val="00FE6177"/>
    <w:rsid w:val="00FE6A88"/>
    <w:rsid w:val="0F371CB7"/>
    <w:rsid w:val="10673459"/>
    <w:rsid w:val="178D2071"/>
    <w:rsid w:val="234852A8"/>
    <w:rsid w:val="26F45322"/>
    <w:rsid w:val="27A32BF1"/>
    <w:rsid w:val="31F0151C"/>
    <w:rsid w:val="3C0C2124"/>
    <w:rsid w:val="45A44DB2"/>
    <w:rsid w:val="56197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5151;&#22320;&#20135;&#24320;&#21457;\zxx&#20849;&#20139;\&#20449;&#24687;&#21457;&#24067;\202111\&#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89835261128637"/>
          <c:y val="0.0336684948202316"/>
          <c:w val="0.923019628461269"/>
          <c:h val="0.829524680073127"/>
        </c:manualLayout>
      </c:layout>
      <c:lineChart>
        <c:grouping val="standard"/>
        <c:varyColors val="0"/>
        <c:ser>
          <c:idx val="0"/>
          <c:order val="0"/>
          <c:spPr>
            <a:ln w="28575" cap="rnd" cmpd="sng" algn="ctr">
              <a:solidFill>
                <a:srgbClr val="0070C0"/>
              </a:solidFill>
              <a:prstDash val="solid"/>
              <a:round/>
            </a:ln>
          </c:spPr>
          <c:marker>
            <c:spPr>
              <a:solidFill>
                <a:srgbClr val="0070C0"/>
              </a:solidFill>
              <a:ln w="9525" cap="flat" cmpd="sng" algn="ctr">
                <a:solidFill>
                  <a:srgbClr val="0070C0"/>
                </a:solidFill>
                <a:prstDash val="solid"/>
                <a:round/>
              </a:ln>
            </c:spPr>
          </c:marker>
          <c:dPt>
            <c:idx val="7"/>
            <c:marker>
              <c:spPr>
                <a:solidFill>
                  <a:srgbClr val="0070C0"/>
                </a:solidFill>
                <a:ln w="9525" cap="flat" cmpd="sng" algn="ctr">
                  <a:solidFill>
                    <a:srgbClr val="0070C0"/>
                  </a:solidFill>
                  <a:prstDash val="solid"/>
                  <a:round/>
                </a:ln>
              </c:spPr>
            </c:marker>
            <c:bubble3D val="0"/>
            <c:spPr>
              <a:ln w="28575" cap="rnd" cmpd="sng" algn="ctr">
                <a:solidFill>
                  <a:srgbClr val="0070C0"/>
                </a:solidFill>
                <a:prstDash val="solid"/>
                <a:round/>
              </a:ln>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全社会固定资产投资!$B$60:$C$71</c:f>
              <c:multiLvlStrCache>
                <c:ptCount val="12"/>
                <c:lvl>
                  <c:pt idx="0">
                    <c:v>1-11月</c:v>
                  </c:pt>
                  <c:pt idx="1">
                    <c:v>1-12月</c:v>
                  </c:pt>
                  <c:pt idx="2">
                    <c:v>1-2月</c:v>
                  </c:pt>
                  <c:pt idx="3">
                    <c:v>1-3月</c:v>
                  </c:pt>
                  <c:pt idx="4">
                    <c:v>1-4月</c:v>
                  </c:pt>
                  <c:pt idx="5">
                    <c:v>1-5月</c:v>
                  </c:pt>
                  <c:pt idx="6">
                    <c:v>1-6月</c:v>
                  </c:pt>
                  <c:pt idx="7">
                    <c:v>1-7月</c:v>
                  </c:pt>
                  <c:pt idx="8">
                    <c:v>1-8月</c:v>
                  </c:pt>
                  <c:pt idx="9">
                    <c:v>1-9月</c:v>
                  </c:pt>
                  <c:pt idx="10">
                    <c:v>1-10月</c:v>
                  </c:pt>
                  <c:pt idx="11">
                    <c:v>1-11月</c:v>
                  </c:pt>
                </c:lvl>
                <c:lvl>
                  <c:pt idx="0">
                    <c:v>2020年</c:v>
                  </c:pt>
                  <c:pt idx="2">
                    <c:v>2021年</c:v>
                  </c:pt>
                </c:lvl>
              </c:multiLvlStrCache>
            </c:multiLvlStrRef>
          </c:cat>
          <c:val>
            <c:numRef>
              <c:f>全社会固定资产投资!$D$60:$D$71</c:f>
              <c:numCache>
                <c:formatCode>General</c:formatCode>
                <c:ptCount val="12"/>
                <c:pt idx="0">
                  <c:v>-20.9</c:v>
                </c:pt>
                <c:pt idx="1">
                  <c:v>-18.3</c:v>
                </c:pt>
                <c:pt idx="2">
                  <c:v>11.4</c:v>
                </c:pt>
                <c:pt idx="3">
                  <c:v>5.4</c:v>
                </c:pt>
                <c:pt idx="4">
                  <c:v>23.9</c:v>
                </c:pt>
                <c:pt idx="5">
                  <c:v>28.1</c:v>
                </c:pt>
                <c:pt idx="6">
                  <c:v>4.2</c:v>
                </c:pt>
                <c:pt idx="7">
                  <c:v>7.8</c:v>
                </c:pt>
                <c:pt idx="8">
                  <c:v>11.5</c:v>
                </c:pt>
                <c:pt idx="9">
                  <c:v>7.3</c:v>
                </c:pt>
                <c:pt idx="10">
                  <c:v>11.5</c:v>
                </c:pt>
                <c:pt idx="11">
                  <c:v>13.1</c:v>
                </c:pt>
              </c:numCache>
            </c:numRef>
          </c:val>
          <c:smooth val="0"/>
        </c:ser>
        <c:dLbls>
          <c:showLegendKey val="0"/>
          <c:showVal val="1"/>
          <c:showCatName val="0"/>
          <c:showSerName val="0"/>
          <c:showPercent val="0"/>
          <c:showBubbleSize val="0"/>
        </c:dLbls>
        <c:marker val="1"/>
        <c:smooth val="0"/>
        <c:axId val="114772992"/>
        <c:axId val="114803456"/>
      </c:lineChart>
      <c:catAx>
        <c:axId val="114772992"/>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803456"/>
        <c:crosses val="autoZero"/>
        <c:auto val="1"/>
        <c:lblAlgn val="ctr"/>
        <c:lblOffset val="100"/>
        <c:noMultiLvlLbl val="0"/>
      </c:catAx>
      <c:valAx>
        <c:axId val="1148034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772992"/>
        <c:crosses val="autoZero"/>
        <c:crossBetween val="midCat"/>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98</Words>
  <Characters>562</Characters>
  <Lines>4</Lines>
  <Paragraphs>1</Paragraphs>
  <TotalTime>0</TotalTime>
  <ScaleCrop>false</ScaleCrop>
  <LinksUpToDate>false</LinksUpToDate>
  <CharactersWithSpaces>659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2016-12-16T08:59:00Z</dcterms:created>
  <dc:creator>user</dc:creator>
  <cp:lastModifiedBy>赵雪岑</cp:lastModifiedBy>
  <cp:lastPrinted>2019-01-14T08:51:00Z</cp:lastPrinted>
  <dcterms:modified xsi:type="dcterms:W3CDTF">2021-12-17T01:35:52Z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