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80" w:lineRule="auto"/>
        <w:jc w:val="center"/>
        <w:rPr>
          <w:rFonts w:hint="default" w:ascii="Times New Roman" w:hAnsi="Times New Roman" w:cs="Times New Roman"/>
          <w:b/>
          <w:sz w:val="44"/>
          <w:szCs w:val="44"/>
        </w:rPr>
      </w:pPr>
      <w:r>
        <w:rPr>
          <w:rFonts w:hint="default" w:ascii="Times New Roman" w:hAnsi="Times New Roman" w:cs="Times New Roman"/>
          <w:b/>
          <w:sz w:val="44"/>
          <w:szCs w:val="44"/>
        </w:rPr>
        <w:t>202</w:t>
      </w:r>
      <w:r>
        <w:rPr>
          <w:rFonts w:hint="eastAsia" w:cs="Times New Roman"/>
          <w:b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cs="Times New Roman"/>
          <w:b/>
          <w:sz w:val="44"/>
          <w:szCs w:val="44"/>
        </w:rPr>
        <w:t>年</w:t>
      </w:r>
      <w:r>
        <w:rPr>
          <w:rFonts w:hint="eastAsia" w:cs="Times New Roman"/>
          <w:b/>
          <w:sz w:val="44"/>
          <w:szCs w:val="44"/>
          <w:lang w:eastAsia="zh-CN"/>
        </w:rPr>
        <w:t>1-5月</w:t>
      </w:r>
      <w:r>
        <w:rPr>
          <w:rFonts w:hint="default" w:ascii="Times New Roman" w:hAnsi="Times New Roman" w:cs="Times New Roman"/>
          <w:b/>
          <w:sz w:val="44"/>
          <w:szCs w:val="44"/>
        </w:rPr>
        <w:t>朝阳区主要经济指标数据</w:t>
      </w:r>
    </w:p>
    <w:p>
      <w:pPr>
        <w:spacing w:line="480" w:lineRule="auto"/>
        <w:ind w:firstLine="560" w:firstLineChars="200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line="480" w:lineRule="auto"/>
        <w:ind w:firstLine="562" w:firstLineChars="200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1．工业生产</w:t>
      </w:r>
    </w:p>
    <w:p>
      <w:pPr>
        <w:spacing w:line="480" w:lineRule="auto"/>
        <w:ind w:firstLine="560" w:firstLineChars="200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eastAsia" w:cs="Times New Roman"/>
          <w:sz w:val="28"/>
          <w:szCs w:val="28"/>
          <w:highlight w:val="none"/>
          <w:lang w:eastAsia="zh-CN"/>
        </w:rPr>
        <w:t>1-5月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，</w:t>
      </w:r>
      <w:r>
        <w:rPr>
          <w:rFonts w:hint="default" w:ascii="Times New Roman" w:hAnsi="Times New Roman" w:eastAsia="宋体" w:cs="Times New Roman"/>
          <w:color w:val="000000"/>
          <w:sz w:val="28"/>
          <w:szCs w:val="28"/>
        </w:rPr>
        <w:t>朝阳区规模以上工业企业实现总产值848.0亿元，同比下降1.6%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eastAsia="zh-CN"/>
        </w:rPr>
        <w:t>，</w:t>
      </w:r>
      <w:r>
        <w:rPr>
          <w:rFonts w:hint="default" w:ascii="Times New Roman" w:hAnsi="Times New Roman" w:cs="Times New Roman"/>
          <w:sz w:val="28"/>
          <w:szCs w:val="28"/>
          <w:lang w:eastAsia="zh-CN"/>
        </w:rPr>
        <w:t>降幅</w:t>
      </w:r>
      <w:r>
        <w:rPr>
          <w:rFonts w:hint="default" w:ascii="Times New Roman" w:hAnsi="Times New Roman" w:cs="Times New Roman"/>
          <w:kern w:val="0"/>
          <w:sz w:val="28"/>
          <w:szCs w:val="28"/>
          <w:lang w:eastAsia="zh-CN"/>
        </w:rPr>
        <w:t>较</w:t>
      </w:r>
      <w:r>
        <w:rPr>
          <w:rFonts w:hint="eastAsia" w:cs="Times New Roman"/>
          <w:sz w:val="28"/>
          <w:szCs w:val="28"/>
          <w:highlight w:val="none"/>
          <w:lang w:val="en-US" w:eastAsia="zh-CN"/>
        </w:rPr>
        <w:t>1-4月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val="en-US" w:eastAsia="zh-CN"/>
        </w:rPr>
        <w:t>收窄</w:t>
      </w:r>
      <w:r>
        <w:rPr>
          <w:rFonts w:hint="eastAsia" w:cs="Times New Roman"/>
          <w:sz w:val="28"/>
          <w:szCs w:val="28"/>
          <w:highlight w:val="none"/>
          <w:lang w:val="en-US" w:eastAsia="zh-CN"/>
        </w:rPr>
        <w:t>1.0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val="en-US" w:eastAsia="zh-CN"/>
        </w:rPr>
        <w:t>个百分点</w:t>
      </w:r>
      <w:r>
        <w:rPr>
          <w:rFonts w:hint="default" w:ascii="Times New Roman" w:hAnsi="Times New Roman" w:cs="Times New Roman"/>
          <w:color w:val="000000"/>
          <w:sz w:val="28"/>
          <w:szCs w:val="28"/>
          <w:highlight w:val="none"/>
        </w:rPr>
        <w:t>。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其中，电力、热力、燃气及水生产和供应业</w:t>
      </w:r>
      <w:r>
        <w:rPr>
          <w:rFonts w:hint="default" w:ascii="Times New Roman" w:hAnsi="Times New Roman" w:eastAsia="宋体" w:cs="Times New Roman"/>
          <w:color w:val="000000"/>
          <w:sz w:val="28"/>
          <w:szCs w:val="28"/>
        </w:rPr>
        <w:t>实现产值667.5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亿元，同比下降</w:t>
      </w:r>
      <w:r>
        <w:rPr>
          <w:rFonts w:hint="eastAsia" w:cs="Times New Roman"/>
          <w:kern w:val="0"/>
          <w:sz w:val="28"/>
          <w:szCs w:val="28"/>
          <w:highlight w:val="none"/>
          <w:lang w:val="en-US" w:eastAsia="zh-CN"/>
        </w:rPr>
        <w:t>0.2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%；制造业</w:t>
      </w:r>
      <w:r>
        <w:rPr>
          <w:rFonts w:hint="default" w:ascii="Times New Roman" w:hAnsi="Times New Roman" w:eastAsia="宋体" w:cs="Times New Roman"/>
          <w:color w:val="000000"/>
          <w:sz w:val="28"/>
          <w:szCs w:val="28"/>
        </w:rPr>
        <w:t>实现产值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123.5亿元，同比下降</w:t>
      </w:r>
      <w:r>
        <w:rPr>
          <w:rFonts w:hint="eastAsia" w:cs="Times New Roman"/>
          <w:kern w:val="0"/>
          <w:sz w:val="28"/>
          <w:szCs w:val="28"/>
          <w:highlight w:val="none"/>
          <w:lang w:val="en-US" w:eastAsia="zh-CN"/>
        </w:rPr>
        <w:t>7.6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%；采矿业</w:t>
      </w:r>
      <w:r>
        <w:rPr>
          <w:rFonts w:hint="default" w:ascii="Times New Roman" w:hAnsi="Times New Roman" w:eastAsia="宋体" w:cs="Times New Roman"/>
          <w:color w:val="000000"/>
          <w:sz w:val="28"/>
          <w:szCs w:val="28"/>
        </w:rPr>
        <w:t>实现产值</w:t>
      </w:r>
      <w:r>
        <w:rPr>
          <w:rFonts w:hint="eastAsia" w:cs="Times New Roman"/>
          <w:kern w:val="0"/>
          <w:sz w:val="28"/>
          <w:szCs w:val="28"/>
          <w:highlight w:val="none"/>
          <w:lang w:val="en-US" w:eastAsia="zh-CN"/>
        </w:rPr>
        <w:t>57.0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亿元，同比下降3.</w:t>
      </w:r>
      <w:r>
        <w:rPr>
          <w:rFonts w:hint="eastAsia" w:cs="Times New Roman"/>
          <w:kern w:val="0"/>
          <w:sz w:val="28"/>
          <w:szCs w:val="28"/>
          <w:highlight w:val="none"/>
          <w:lang w:val="en-US" w:eastAsia="zh-CN"/>
        </w:rPr>
        <w:t>6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%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</w:rPr>
        <w:t>。</w:t>
      </w:r>
    </w:p>
    <w:p>
      <w:pPr>
        <w:spacing w:line="480" w:lineRule="auto"/>
        <w:jc w:val="center"/>
        <w:rPr>
          <w:rFonts w:hint="default" w:ascii="Times New Roman" w:hAnsi="Times New Roman" w:cs="Times New Roman"/>
          <w:b/>
          <w:w w:val="90"/>
          <w:sz w:val="28"/>
          <w:szCs w:val="28"/>
        </w:rPr>
      </w:pP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图1  202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年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1-2月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至202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年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1-5月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规模以上工业总产值累计增速（%）</w:t>
      </w:r>
    </w:p>
    <w:p>
      <w:pPr>
        <w:spacing w:line="480" w:lineRule="auto"/>
        <w:jc w:val="center"/>
        <w:rPr>
          <w:rFonts w:hint="default" w:ascii="Times New Roman" w:hAnsi="Times New Roman" w:cs="Times New Roman"/>
          <w:b/>
          <w:sz w:val="28"/>
          <w:szCs w:val="28"/>
        </w:rPr>
      </w:pPr>
      <w:r>
        <w:drawing>
          <wp:inline distT="0" distB="0" distL="114300" distR="114300">
            <wp:extent cx="5273040" cy="1750060"/>
            <wp:effectExtent l="0" t="0" r="10160" b="2540"/>
            <wp:docPr id="6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spacing w:line="480" w:lineRule="auto"/>
        <w:ind w:firstLine="562" w:firstLineChars="200"/>
        <w:jc w:val="left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2．固定资产投资</w:t>
      </w:r>
    </w:p>
    <w:p>
      <w:pPr>
        <w:widowControl/>
        <w:spacing w:line="480" w:lineRule="auto"/>
        <w:ind w:firstLine="560" w:firstLineChars="200"/>
        <w:rPr>
          <w:rFonts w:hint="default" w:ascii="Times New Roman" w:hAnsi="Times New Roman" w:cs="Times New Roman"/>
          <w:w w:val="100"/>
          <w:sz w:val="28"/>
          <w:szCs w:val="28"/>
        </w:rPr>
      </w:pPr>
      <w:r>
        <w:rPr>
          <w:rFonts w:hint="eastAsia" w:cs="Times New Roman"/>
          <w:w w:val="100"/>
          <w:sz w:val="28"/>
          <w:szCs w:val="28"/>
          <w:lang w:eastAsia="zh-CN"/>
        </w:rPr>
        <w:t>1-5月</w:t>
      </w:r>
      <w:r>
        <w:rPr>
          <w:rFonts w:hint="default" w:ascii="Times New Roman" w:hAnsi="Times New Roman" w:cs="Times New Roman"/>
          <w:w w:val="100"/>
          <w:sz w:val="28"/>
          <w:szCs w:val="28"/>
        </w:rPr>
        <w:t>，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朝阳区固定资产投资（不含农户）同比增长</w:t>
      </w:r>
      <w:r>
        <w:rPr>
          <w:rFonts w:hint="default" w:ascii="Times New Roman" w:hAnsi="Times New Roman" w:cs="Times New Roman"/>
          <w:kern w:val="0"/>
          <w:sz w:val="28"/>
          <w:szCs w:val="28"/>
          <w:highlight w:val="none"/>
          <w:lang w:val="en-US" w:eastAsia="zh-CN"/>
        </w:rPr>
        <w:t>0.9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%</w:t>
      </w:r>
      <w:r>
        <w:rPr>
          <w:rFonts w:hint="default" w:ascii="Times New Roman" w:hAnsi="Times New Roman" w:cs="Times New Roman"/>
          <w:w w:val="100"/>
          <w:kern w:val="0"/>
          <w:sz w:val="28"/>
          <w:szCs w:val="28"/>
          <w:lang w:eastAsia="zh-CN"/>
        </w:rPr>
        <w:t>，增速较</w:t>
      </w:r>
      <w:r>
        <w:rPr>
          <w:rFonts w:hint="eastAsia" w:cs="Times New Roman"/>
          <w:w w:val="100"/>
          <w:sz w:val="28"/>
          <w:szCs w:val="28"/>
          <w:highlight w:val="none"/>
          <w:lang w:val="en-US" w:eastAsia="zh-CN"/>
        </w:rPr>
        <w:t>1-4月回落2.5</w:t>
      </w:r>
      <w:r>
        <w:rPr>
          <w:rFonts w:hint="default" w:ascii="Times New Roman" w:hAnsi="Times New Roman" w:cs="Times New Roman"/>
          <w:w w:val="100"/>
          <w:sz w:val="28"/>
          <w:szCs w:val="28"/>
          <w:highlight w:val="none"/>
          <w:lang w:val="en-US" w:eastAsia="zh-CN"/>
        </w:rPr>
        <w:t>个百分点</w:t>
      </w:r>
      <w:r>
        <w:rPr>
          <w:rFonts w:hint="default" w:ascii="Times New Roman" w:hAnsi="Times New Roman" w:cs="Times New Roman"/>
          <w:w w:val="100"/>
          <w:sz w:val="28"/>
          <w:szCs w:val="28"/>
          <w:lang w:eastAsia="zh-CN"/>
        </w:rPr>
        <w:t>。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其中，房地产开发投资同比</w:t>
      </w:r>
      <w:r>
        <w:rPr>
          <w:rFonts w:hint="default" w:ascii="Times New Roman" w:hAnsi="Times New Roman" w:cs="Times New Roman"/>
          <w:kern w:val="0"/>
          <w:sz w:val="28"/>
          <w:szCs w:val="28"/>
          <w:highlight w:val="none"/>
          <w:lang w:eastAsia="zh-CN"/>
        </w:rPr>
        <w:t>下降</w:t>
      </w:r>
      <w:r>
        <w:rPr>
          <w:rFonts w:hint="eastAsia" w:ascii="Times New Roman" w:hAnsi="Times New Roman" w:cs="Times New Roman"/>
          <w:kern w:val="0"/>
          <w:sz w:val="28"/>
          <w:szCs w:val="28"/>
          <w:highlight w:val="none"/>
          <w:lang w:val="en-US" w:eastAsia="zh-CN"/>
        </w:rPr>
        <w:t>3</w:t>
      </w:r>
      <w:r>
        <w:rPr>
          <w:rFonts w:hint="default" w:ascii="Times New Roman" w:hAnsi="Times New Roman" w:cs="Times New Roman"/>
          <w:kern w:val="0"/>
          <w:sz w:val="28"/>
          <w:szCs w:val="28"/>
          <w:highlight w:val="none"/>
          <w:lang w:val="en-US" w:eastAsia="zh-CN"/>
        </w:rPr>
        <w:t>.</w:t>
      </w:r>
      <w:r>
        <w:rPr>
          <w:rFonts w:hint="eastAsia" w:cs="Times New Roman"/>
          <w:kern w:val="0"/>
          <w:sz w:val="28"/>
          <w:szCs w:val="28"/>
          <w:highlight w:val="none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%。</w:t>
      </w:r>
    </w:p>
    <w:p>
      <w:pPr>
        <w:spacing w:line="480" w:lineRule="auto"/>
        <w:jc w:val="center"/>
        <w:rPr>
          <w:rFonts w:hint="default" w:ascii="Times New Roman" w:hAnsi="Times New Roman" w:cs="Times New Roman"/>
          <w:b/>
          <w:spacing w:val="-6"/>
          <w:w w:val="90"/>
          <w:sz w:val="28"/>
          <w:szCs w:val="28"/>
        </w:rPr>
      </w:pPr>
      <w:r>
        <w:rPr>
          <w:rFonts w:hint="default" w:ascii="Times New Roman" w:hAnsi="Times New Roman" w:cs="Times New Roman"/>
          <w:b/>
          <w:spacing w:val="-6"/>
          <w:w w:val="90"/>
          <w:sz w:val="28"/>
          <w:szCs w:val="28"/>
        </w:rPr>
        <w:t xml:space="preserve">图2  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202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年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1-2月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至202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年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1-5月</w:t>
      </w:r>
      <w:r>
        <w:rPr>
          <w:rFonts w:hint="default" w:ascii="Times New Roman" w:hAnsi="Times New Roman" w:cs="Times New Roman"/>
          <w:b/>
          <w:spacing w:val="-6"/>
          <w:w w:val="90"/>
          <w:sz w:val="28"/>
          <w:szCs w:val="28"/>
        </w:rPr>
        <w:t>固定资产投资（不含农户）累计增速（%）</w:t>
      </w:r>
    </w:p>
    <w:p>
      <w:pPr>
        <w:spacing w:line="480" w:lineRule="auto"/>
        <w:jc w:val="center"/>
        <w:rPr>
          <w:rFonts w:hint="default" w:ascii="Times New Roman" w:hAnsi="Times New Roman" w:cs="Times New Roman"/>
          <w:b/>
          <w:sz w:val="28"/>
          <w:szCs w:val="28"/>
        </w:rPr>
      </w:pPr>
      <w:r>
        <w:drawing>
          <wp:inline distT="0" distB="0" distL="114300" distR="114300">
            <wp:extent cx="5273040" cy="1701165"/>
            <wp:effectExtent l="0" t="0" r="10160" b="635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spacing w:line="480" w:lineRule="auto"/>
        <w:ind w:firstLine="562" w:firstLineChars="200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3．消费品市场</w:t>
      </w:r>
    </w:p>
    <w:p>
      <w:pPr>
        <w:widowControl/>
        <w:spacing w:line="300" w:lineRule="atLeast"/>
        <w:ind w:firstLine="560"/>
        <w:jc w:val="left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eastAsia" w:cs="Times New Roman"/>
          <w:kern w:val="0"/>
          <w:sz w:val="28"/>
          <w:szCs w:val="28"/>
          <w:highlight w:val="none"/>
          <w:lang w:eastAsia="zh-CN"/>
        </w:rPr>
        <w:t>1-5月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，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</w:rPr>
        <w:t>朝阳区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实现社会消费品零售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</w:rPr>
        <w:t>总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额1080.8亿元，同比下降3.6%</w:t>
      </w:r>
      <w:r>
        <w:rPr>
          <w:rFonts w:hint="default" w:ascii="Times New Roman" w:hAnsi="Times New Roman" w:cs="Times New Roman"/>
          <w:sz w:val="28"/>
          <w:szCs w:val="28"/>
          <w:lang w:eastAsia="zh-CN"/>
        </w:rPr>
        <w:t>，降幅</w:t>
      </w:r>
      <w:r>
        <w:rPr>
          <w:rFonts w:hint="default" w:ascii="Times New Roman" w:hAnsi="Times New Roman" w:cs="Times New Roman"/>
          <w:kern w:val="0"/>
          <w:sz w:val="28"/>
          <w:szCs w:val="28"/>
          <w:lang w:eastAsia="zh-CN"/>
        </w:rPr>
        <w:t>较</w:t>
      </w:r>
      <w:r>
        <w:rPr>
          <w:rFonts w:hint="eastAsia" w:cs="Times New Roman"/>
          <w:sz w:val="28"/>
          <w:szCs w:val="28"/>
          <w:highlight w:val="none"/>
          <w:lang w:val="en-US" w:eastAsia="zh-CN"/>
        </w:rPr>
        <w:t>1-4月加深0.1个百分点</w:t>
      </w:r>
      <w:r>
        <w:rPr>
          <w:rFonts w:hint="default" w:ascii="Times New Roman" w:hAnsi="Times New Roman" w:eastAsia="宋体" w:cs="Times New Roman"/>
          <w:kern w:val="0"/>
          <w:sz w:val="28"/>
          <w:szCs w:val="28"/>
          <w:highlight w:val="none"/>
        </w:rPr>
        <w:t>。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  <w:lang w:eastAsia="zh-CN"/>
        </w:rPr>
        <w:t>其中，商品零售925.8亿元，同比下降3.2%；餐饮收入155.0亿元，同比下降6.2%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highlight w:val="none"/>
        </w:rPr>
        <w:t>。</w:t>
      </w:r>
    </w:p>
    <w:p>
      <w:pPr>
        <w:spacing w:line="480" w:lineRule="auto"/>
        <w:jc w:val="center"/>
        <w:rPr>
          <w:rFonts w:hint="default" w:ascii="Times New Roman" w:hAnsi="Times New Roman" w:cs="Times New Roman"/>
          <w:b/>
          <w:spacing w:val="-6"/>
          <w:sz w:val="28"/>
          <w:szCs w:val="28"/>
        </w:rPr>
      </w:pPr>
      <w:r>
        <w:rPr>
          <w:rFonts w:hint="default" w:ascii="Times New Roman" w:hAnsi="Times New Roman" w:cs="Times New Roman"/>
          <w:b/>
          <w:spacing w:val="-6"/>
          <w:sz w:val="28"/>
          <w:szCs w:val="28"/>
        </w:rPr>
        <w:t xml:space="preserve">图3  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202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年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1-2月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至202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cs="Times New Roman"/>
          <w:b/>
          <w:w w:val="90"/>
          <w:sz w:val="28"/>
          <w:szCs w:val="28"/>
        </w:rPr>
        <w:t>年</w:t>
      </w:r>
      <w:r>
        <w:rPr>
          <w:rFonts w:hint="eastAsia" w:cs="Times New Roman"/>
          <w:b/>
          <w:w w:val="90"/>
          <w:sz w:val="28"/>
          <w:szCs w:val="28"/>
          <w:lang w:val="en-US" w:eastAsia="zh-CN"/>
        </w:rPr>
        <w:t>1-5月</w:t>
      </w:r>
      <w:r>
        <w:rPr>
          <w:rFonts w:hint="default" w:ascii="Times New Roman" w:hAnsi="Times New Roman" w:cs="Times New Roman"/>
          <w:b/>
          <w:spacing w:val="-6"/>
          <w:sz w:val="28"/>
          <w:szCs w:val="28"/>
        </w:rPr>
        <w:t>社会消费品零售总额累计增速（%）</w:t>
      </w:r>
    </w:p>
    <w:p>
      <w:pPr>
        <w:spacing w:line="480" w:lineRule="auto"/>
        <w:jc w:val="center"/>
        <w:rPr>
          <w:rFonts w:hint="default" w:ascii="Times New Roman" w:hAnsi="Times New Roman" w:cs="Times New Roman"/>
          <w:b/>
          <w:bCs/>
        </w:rPr>
      </w:pPr>
      <w:r>
        <w:drawing>
          <wp:inline distT="0" distB="0" distL="114300" distR="114300">
            <wp:extent cx="5273040" cy="1718310"/>
            <wp:effectExtent l="0" t="0" r="10160" b="8890"/>
            <wp:docPr id="4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Start w:id="0" w:name="_GoBack"/>
      <w:bookmarkEnd w:id="0"/>
    </w:p>
    <w:p>
      <w:pPr>
        <w:widowControl/>
        <w:adjustRightInd w:val="0"/>
        <w:spacing w:line="480" w:lineRule="auto"/>
        <w:ind w:firstLine="560" w:firstLineChars="200"/>
        <w:rPr>
          <w:rFonts w:hint="default" w:ascii="Times New Roman" w:hAnsi="Times New Roman" w:cs="Times New Roman"/>
          <w:color w:val="000000"/>
          <w:kern w:val="0"/>
          <w:sz w:val="28"/>
          <w:szCs w:val="21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书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ESI仿宋-GB18030">
    <w:panose1 w:val="02000500000000000000"/>
    <w:charset w:val="86"/>
    <w:family w:val="auto"/>
    <w:pitch w:val="default"/>
    <w:sig w:usb0="A00002BF" w:usb1="38C77CFA" w:usb2="00000016" w:usb3="00000000" w:csb0="0004000F" w:csb1="00000000"/>
  </w:font>
  <w:font w:name="CESI黑体-GB18030">
    <w:panose1 w:val="02000500000000000000"/>
    <w:charset w:val="86"/>
    <w:family w:val="auto"/>
    <w:pitch w:val="default"/>
    <w:sig w:usb0="A00002BF" w:usb1="38C77CFA" w:usb2="00000016" w:usb3="00000000" w:csb0="0004000F" w:csb1="00000000"/>
  </w:font>
  <w:font w:name="CESI楷体-GB18030">
    <w:panose1 w:val="02000500000000000000"/>
    <w:charset w:val="86"/>
    <w:family w:val="auto"/>
    <w:pitch w:val="default"/>
    <w:sig w:usb0="A00002BF" w:usb1="38CF7CFA" w:usb2="00000016" w:usb3="00000000" w:csb0="0004000F" w:csb1="00000000"/>
  </w:font>
  <w:font w:name="CESI小标宋-GB18030">
    <w:panose1 w:val="02000500000000000000"/>
    <w:charset w:val="86"/>
    <w:family w:val="auto"/>
    <w:pitch w:val="default"/>
    <w:sig w:usb0="A00002BF" w:usb1="38CF7CFA" w:usb2="00000016" w:usb3="00000000" w:csb0="0004000F" w:csb1="00000000"/>
  </w:font>
  <w:font w:name="CESI宋体-GB18030">
    <w:panose1 w:val="02000500000000000000"/>
    <w:charset w:val="86"/>
    <w:family w:val="auto"/>
    <w:pitch w:val="default"/>
    <w:sig w:usb0="A00002BF" w:usb1="38C77CFA" w:usb2="00000016" w:usb3="00000000" w:csb0="0004000F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Van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Utsaah">
    <w:panose1 w:val="020B0604020202020204"/>
    <w:charset w:val="00"/>
    <w:family w:val="auto"/>
    <w:pitch w:val="default"/>
    <w:sig w:usb0="00008003" w:usb1="00000000" w:usb2="00000000" w:usb3="00000000" w:csb0="00000001" w:csb1="0000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287" w:usb1="00000003" w:usb2="00000000" w:usb3="00000000" w:csb0="2000009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21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imSun, STSong">
    <w:altName w:val="宋体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Rod">
    <w:panose1 w:val="02030509050101010101"/>
    <w:charset w:val="00"/>
    <w:family w:val="auto"/>
    <w:pitch w:val="default"/>
    <w:sig w:usb0="00000801" w:usb1="00000000" w:usb2="00000000" w:usb3="00000000" w:csb0="00000020" w:csb1="00200000"/>
  </w:font>
  <w:font w:name="Raavi">
    <w:panose1 w:val="020B0502040204020203"/>
    <w:charset w:val="00"/>
    <w:family w:val="auto"/>
    <w:pitch w:val="default"/>
    <w:sig w:usb0="00020003" w:usb1="00000000" w:usb2="00000000" w:usb3="00000000" w:csb0="00000001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Lao UI">
    <w:panose1 w:val="020B0502040204020203"/>
    <w:charset w:val="00"/>
    <w:family w:val="auto"/>
    <w:pitch w:val="default"/>
    <w:sig w:usb0="02000003" w:usb1="00000000" w:usb2="00000000" w:usb3="00000000" w:csb0="00000001" w:csb1="00000000"/>
  </w:font>
  <w:font w:name="汉仪书宋二KW">
    <w:altName w:val="宋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Kingsoft Confetti">
    <w:altName w:val="Segoe Print"/>
    <w:panose1 w:val="05000100010000000000"/>
    <w:charset w:val="00"/>
    <w:family w:val="auto"/>
    <w:pitch w:val="default"/>
    <w:sig w:usb0="00000000" w:usb1="00000000" w:usb2="00000000" w:usb3="00000000" w:csb0="80000000" w:csb1="00000000"/>
  </w:font>
  <w:font w:name="汉仪中黑KW">
    <w:altName w:val="黑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Kingsoft Sign">
    <w:altName w:val="Segoe Print"/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汉仪仿宋KW">
    <w:altName w:val="仿宋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楷体KW">
    <w:altName w:val="宋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文泉驿正黑">
    <w:altName w:val="黑体"/>
    <w:panose1 w:val="02000603000000000000"/>
    <w:charset w:val="86"/>
    <w:family w:val="auto"/>
    <w:pitch w:val="default"/>
    <w:sig w:usb0="00000000" w:usb1="00000000" w:usb2="00000036" w:usb3="00000000" w:csb0="603E000D" w:csb1="D2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ngsuh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Gungsuh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eiryo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汉仪中黑 197">
    <w:altName w:val="黑体"/>
    <w:panose1 w:val="00020600040101010101"/>
    <w:charset w:val="86"/>
    <w:family w:val="auto"/>
    <w:pitch w:val="default"/>
    <w:sig w:usb0="00000000" w:usb1="00000000" w:usb2="00000016" w:usb3="00000000" w:csb0="0004009F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Microsoft JhengHei UI">
    <w:altName w:val="Microsoft JhengHei"/>
    <w:panose1 w:val="020B0604030504040204"/>
    <w:charset w:val="88"/>
    <w:family w:val="auto"/>
    <w:pitch w:val="default"/>
    <w:sig w:usb0="00000000" w:usb1="00000000" w:usb2="00000016" w:usb3="00000000" w:csb0="00100009" w:csb1="00000000"/>
  </w:font>
  <w:font w:name="Wingdings 3">
    <w:panose1 w:val="05040102010807070707"/>
    <w:charset w:val="00"/>
    <w:family w:val="auto"/>
    <w:pitch w:val="default"/>
    <w:sig w:usb0="00000000" w:usb1="00000000" w:usb2="00000000" w:usb3="00000000" w:csb0="8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Tempus Sans ITC">
    <w:altName w:val="Gabriola"/>
    <w:panose1 w:val="04020404030D07020202"/>
    <w:charset w:val="00"/>
    <w:family w:val="auto"/>
    <w:pitch w:val="default"/>
    <w:sig w:usb0="00000000" w:usb1="00000000" w:usb2="00000000" w:usb3="00000000" w:csb0="20000001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1877935"/>
    </w:sdtPr>
    <w:sdtContent>
      <w:p>
        <w:pPr>
          <w:pStyle w:val="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1E5"/>
    <w:rsid w:val="00007353"/>
    <w:rsid w:val="000174FA"/>
    <w:rsid w:val="000243C9"/>
    <w:rsid w:val="000430DE"/>
    <w:rsid w:val="00050BFE"/>
    <w:rsid w:val="00082B00"/>
    <w:rsid w:val="000906E9"/>
    <w:rsid w:val="000A3C19"/>
    <w:rsid w:val="000C07D5"/>
    <w:rsid w:val="000D4083"/>
    <w:rsid w:val="000F2A72"/>
    <w:rsid w:val="001110A1"/>
    <w:rsid w:val="0014294D"/>
    <w:rsid w:val="00156F60"/>
    <w:rsid w:val="001651E5"/>
    <w:rsid w:val="00166B17"/>
    <w:rsid w:val="00171FF5"/>
    <w:rsid w:val="00173FF1"/>
    <w:rsid w:val="001A2CAD"/>
    <w:rsid w:val="001F1861"/>
    <w:rsid w:val="00204E88"/>
    <w:rsid w:val="00234A41"/>
    <w:rsid w:val="00252BDF"/>
    <w:rsid w:val="00256B5C"/>
    <w:rsid w:val="002668C1"/>
    <w:rsid w:val="00282257"/>
    <w:rsid w:val="00282FED"/>
    <w:rsid w:val="00287C6F"/>
    <w:rsid w:val="002A1893"/>
    <w:rsid w:val="002B7FBA"/>
    <w:rsid w:val="002C7417"/>
    <w:rsid w:val="002E1BD9"/>
    <w:rsid w:val="002F011B"/>
    <w:rsid w:val="00313402"/>
    <w:rsid w:val="00313EF2"/>
    <w:rsid w:val="00315527"/>
    <w:rsid w:val="00340104"/>
    <w:rsid w:val="0034079B"/>
    <w:rsid w:val="003415F7"/>
    <w:rsid w:val="00346654"/>
    <w:rsid w:val="00350B0C"/>
    <w:rsid w:val="003676B6"/>
    <w:rsid w:val="00387D81"/>
    <w:rsid w:val="00396857"/>
    <w:rsid w:val="003B7401"/>
    <w:rsid w:val="003E7FE2"/>
    <w:rsid w:val="00414248"/>
    <w:rsid w:val="00417C4C"/>
    <w:rsid w:val="00421047"/>
    <w:rsid w:val="00476212"/>
    <w:rsid w:val="00497210"/>
    <w:rsid w:val="004A5B2D"/>
    <w:rsid w:val="004D4457"/>
    <w:rsid w:val="004E63F0"/>
    <w:rsid w:val="004F2736"/>
    <w:rsid w:val="00502EED"/>
    <w:rsid w:val="00504E29"/>
    <w:rsid w:val="00506056"/>
    <w:rsid w:val="00513146"/>
    <w:rsid w:val="005A5A04"/>
    <w:rsid w:val="005B0CC7"/>
    <w:rsid w:val="005D4ACA"/>
    <w:rsid w:val="005D63B2"/>
    <w:rsid w:val="005E2D49"/>
    <w:rsid w:val="005F1B70"/>
    <w:rsid w:val="00603CAD"/>
    <w:rsid w:val="006109D6"/>
    <w:rsid w:val="00620C58"/>
    <w:rsid w:val="006812BB"/>
    <w:rsid w:val="006840BC"/>
    <w:rsid w:val="00686AAD"/>
    <w:rsid w:val="006B2BF0"/>
    <w:rsid w:val="006B7F69"/>
    <w:rsid w:val="006C07C9"/>
    <w:rsid w:val="006D6919"/>
    <w:rsid w:val="006E3080"/>
    <w:rsid w:val="006E68E4"/>
    <w:rsid w:val="006F0B88"/>
    <w:rsid w:val="006F1078"/>
    <w:rsid w:val="006F41A8"/>
    <w:rsid w:val="006F5391"/>
    <w:rsid w:val="00700E51"/>
    <w:rsid w:val="0070407B"/>
    <w:rsid w:val="00710499"/>
    <w:rsid w:val="0071342C"/>
    <w:rsid w:val="0073426D"/>
    <w:rsid w:val="00775F28"/>
    <w:rsid w:val="007760B2"/>
    <w:rsid w:val="00790652"/>
    <w:rsid w:val="007A7FA7"/>
    <w:rsid w:val="007B5378"/>
    <w:rsid w:val="007C2230"/>
    <w:rsid w:val="007D261D"/>
    <w:rsid w:val="008178CD"/>
    <w:rsid w:val="0083577C"/>
    <w:rsid w:val="0083665C"/>
    <w:rsid w:val="00860649"/>
    <w:rsid w:val="008A360B"/>
    <w:rsid w:val="008C54DD"/>
    <w:rsid w:val="008E0D56"/>
    <w:rsid w:val="008E1A7E"/>
    <w:rsid w:val="00901126"/>
    <w:rsid w:val="00903824"/>
    <w:rsid w:val="009111AC"/>
    <w:rsid w:val="0091740F"/>
    <w:rsid w:val="009415C3"/>
    <w:rsid w:val="00951E9F"/>
    <w:rsid w:val="00954469"/>
    <w:rsid w:val="00974BC9"/>
    <w:rsid w:val="00984BE8"/>
    <w:rsid w:val="009A7B0C"/>
    <w:rsid w:val="009C0CFF"/>
    <w:rsid w:val="009D2207"/>
    <w:rsid w:val="00A32187"/>
    <w:rsid w:val="00A4702D"/>
    <w:rsid w:val="00A506E1"/>
    <w:rsid w:val="00A526FE"/>
    <w:rsid w:val="00A57D70"/>
    <w:rsid w:val="00A62620"/>
    <w:rsid w:val="00A73BA4"/>
    <w:rsid w:val="00A82D6E"/>
    <w:rsid w:val="00A852A8"/>
    <w:rsid w:val="00AC6201"/>
    <w:rsid w:val="00AE055E"/>
    <w:rsid w:val="00AF4DF7"/>
    <w:rsid w:val="00AF7AE8"/>
    <w:rsid w:val="00B0507F"/>
    <w:rsid w:val="00B07926"/>
    <w:rsid w:val="00B17347"/>
    <w:rsid w:val="00B32EE7"/>
    <w:rsid w:val="00B4295D"/>
    <w:rsid w:val="00B60FA0"/>
    <w:rsid w:val="00B67E07"/>
    <w:rsid w:val="00B93D8D"/>
    <w:rsid w:val="00B95F67"/>
    <w:rsid w:val="00BE29F5"/>
    <w:rsid w:val="00BF6415"/>
    <w:rsid w:val="00C21C9F"/>
    <w:rsid w:val="00C2780C"/>
    <w:rsid w:val="00C307FA"/>
    <w:rsid w:val="00C361A7"/>
    <w:rsid w:val="00C44919"/>
    <w:rsid w:val="00C5150E"/>
    <w:rsid w:val="00C668AA"/>
    <w:rsid w:val="00C87CFF"/>
    <w:rsid w:val="00CA0F2A"/>
    <w:rsid w:val="00CA57E3"/>
    <w:rsid w:val="00CC498C"/>
    <w:rsid w:val="00CF2048"/>
    <w:rsid w:val="00CF70B6"/>
    <w:rsid w:val="00D168DA"/>
    <w:rsid w:val="00D3467D"/>
    <w:rsid w:val="00D4430C"/>
    <w:rsid w:val="00D61D76"/>
    <w:rsid w:val="00D828D2"/>
    <w:rsid w:val="00D945BD"/>
    <w:rsid w:val="00D94733"/>
    <w:rsid w:val="00DA66A2"/>
    <w:rsid w:val="00DA7AEA"/>
    <w:rsid w:val="00DB44A5"/>
    <w:rsid w:val="00DC407B"/>
    <w:rsid w:val="00DD0B26"/>
    <w:rsid w:val="00DD33E4"/>
    <w:rsid w:val="00DD556C"/>
    <w:rsid w:val="00E140CE"/>
    <w:rsid w:val="00E27B7F"/>
    <w:rsid w:val="00E31FC2"/>
    <w:rsid w:val="00E54E5F"/>
    <w:rsid w:val="00E61DF0"/>
    <w:rsid w:val="00E63694"/>
    <w:rsid w:val="00E63D44"/>
    <w:rsid w:val="00E7033D"/>
    <w:rsid w:val="00E94B84"/>
    <w:rsid w:val="00EE0E27"/>
    <w:rsid w:val="00F20415"/>
    <w:rsid w:val="00F453DA"/>
    <w:rsid w:val="00F46B15"/>
    <w:rsid w:val="00F57CA3"/>
    <w:rsid w:val="00F64D25"/>
    <w:rsid w:val="00F66B13"/>
    <w:rsid w:val="00F745B0"/>
    <w:rsid w:val="00FA3E35"/>
    <w:rsid w:val="00FC0729"/>
    <w:rsid w:val="00FC4B2A"/>
    <w:rsid w:val="00FC63D3"/>
    <w:rsid w:val="00FD2E5E"/>
    <w:rsid w:val="00FD723C"/>
    <w:rsid w:val="00FD7C63"/>
    <w:rsid w:val="00FE3B32"/>
    <w:rsid w:val="00FE75BD"/>
    <w:rsid w:val="00FF0D86"/>
    <w:rsid w:val="00FF266F"/>
    <w:rsid w:val="03D65480"/>
    <w:rsid w:val="04A518BA"/>
    <w:rsid w:val="055F4794"/>
    <w:rsid w:val="06D206FE"/>
    <w:rsid w:val="075D0C31"/>
    <w:rsid w:val="079239A0"/>
    <w:rsid w:val="09FE6C99"/>
    <w:rsid w:val="0C1151FE"/>
    <w:rsid w:val="0C716D0F"/>
    <w:rsid w:val="0CD2757C"/>
    <w:rsid w:val="0D11454D"/>
    <w:rsid w:val="0E0941F6"/>
    <w:rsid w:val="0EAC2FE8"/>
    <w:rsid w:val="0EF546E1"/>
    <w:rsid w:val="10D16479"/>
    <w:rsid w:val="121C5A48"/>
    <w:rsid w:val="12636611"/>
    <w:rsid w:val="14BD186A"/>
    <w:rsid w:val="14C24D68"/>
    <w:rsid w:val="156C4552"/>
    <w:rsid w:val="1B5B5321"/>
    <w:rsid w:val="1CBF19CA"/>
    <w:rsid w:val="1D451E7D"/>
    <w:rsid w:val="1F136385"/>
    <w:rsid w:val="20BC6E7B"/>
    <w:rsid w:val="22327339"/>
    <w:rsid w:val="22CA17D0"/>
    <w:rsid w:val="2372627F"/>
    <w:rsid w:val="23E75101"/>
    <w:rsid w:val="250E012A"/>
    <w:rsid w:val="2540269A"/>
    <w:rsid w:val="26362F2D"/>
    <w:rsid w:val="269C0B69"/>
    <w:rsid w:val="26D96D0C"/>
    <w:rsid w:val="270C712C"/>
    <w:rsid w:val="2D627F28"/>
    <w:rsid w:val="31BA52B8"/>
    <w:rsid w:val="345348D7"/>
    <w:rsid w:val="34C25C14"/>
    <w:rsid w:val="35E80586"/>
    <w:rsid w:val="383B2A49"/>
    <w:rsid w:val="39CD7A11"/>
    <w:rsid w:val="3A0C6F8F"/>
    <w:rsid w:val="3BA8525B"/>
    <w:rsid w:val="3BDC11AE"/>
    <w:rsid w:val="3C242497"/>
    <w:rsid w:val="3C974745"/>
    <w:rsid w:val="3CBF1BA4"/>
    <w:rsid w:val="409C235D"/>
    <w:rsid w:val="41532AEA"/>
    <w:rsid w:val="41D47F41"/>
    <w:rsid w:val="422135F3"/>
    <w:rsid w:val="43062204"/>
    <w:rsid w:val="473D71C1"/>
    <w:rsid w:val="494F1A65"/>
    <w:rsid w:val="4CA2427C"/>
    <w:rsid w:val="4E8F256C"/>
    <w:rsid w:val="4FB17C81"/>
    <w:rsid w:val="519E5A87"/>
    <w:rsid w:val="54770CC2"/>
    <w:rsid w:val="54DB6640"/>
    <w:rsid w:val="565E3A62"/>
    <w:rsid w:val="567C5CAC"/>
    <w:rsid w:val="56D555C3"/>
    <w:rsid w:val="5A4C4590"/>
    <w:rsid w:val="5C2A2F81"/>
    <w:rsid w:val="5D3C397F"/>
    <w:rsid w:val="5E2451F4"/>
    <w:rsid w:val="5E4334CC"/>
    <w:rsid w:val="5F7A1F11"/>
    <w:rsid w:val="62CB76AB"/>
    <w:rsid w:val="63544997"/>
    <w:rsid w:val="647A4536"/>
    <w:rsid w:val="664C647F"/>
    <w:rsid w:val="6927334E"/>
    <w:rsid w:val="6DA57E9F"/>
    <w:rsid w:val="6DB51254"/>
    <w:rsid w:val="72B0126F"/>
    <w:rsid w:val="75203DE9"/>
    <w:rsid w:val="75601036"/>
    <w:rsid w:val="75C7123D"/>
    <w:rsid w:val="771861AB"/>
    <w:rsid w:val="78103697"/>
    <w:rsid w:val="78A7092A"/>
    <w:rsid w:val="78C460F2"/>
    <w:rsid w:val="79CA22FD"/>
    <w:rsid w:val="7BA303AA"/>
    <w:rsid w:val="7BDE6FA5"/>
    <w:rsid w:val="7D1C639F"/>
    <w:rsid w:val="7FB54F6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eastAsia="仿宋_GB2312" w:cs="Times New Roman"/>
      <w:sz w:val="32"/>
      <w:szCs w:val="24"/>
    </w:rPr>
  </w:style>
  <w:style w:type="paragraph" w:styleId="3">
    <w:name w:val="Title"/>
    <w:basedOn w:val="1"/>
    <w:next w:val="1"/>
    <w:qFormat/>
    <w:uiPriority w:val="0"/>
    <w:pPr>
      <w:jc w:val="center"/>
      <w:outlineLvl w:val="0"/>
    </w:pPr>
    <w:rPr>
      <w:rFonts w:ascii="方正小标宋_GBK" w:hAnsi="方正小标宋_GBK" w:eastAsia="方正小标宋_GBK" w:cs="方正小标宋_GBK"/>
      <w:sz w:val="44"/>
      <w:szCs w:val="44"/>
    </w:rPr>
  </w:style>
  <w:style w:type="paragraph" w:styleId="4">
    <w:name w:val="Balloon Text"/>
    <w:basedOn w:val="1"/>
    <w:link w:val="9"/>
    <w:qFormat/>
    <w:uiPriority w:val="0"/>
    <w:rPr>
      <w:sz w:val="18"/>
      <w:szCs w:val="1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批注框文本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页眉 Char"/>
    <w:basedOn w:val="7"/>
    <w:link w:val="6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7"/>
    <w:link w:val="5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chart" Target="charts/chart3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1.&#20449;&#24687;\5.&#22806;&#32593;&#20449;&#24687;\&#22806;&#32593;&#20449;&#24687;&#22270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1.&#20449;&#24687;\5.&#22806;&#32593;&#20449;&#24687;\&#22806;&#32593;&#20449;&#24687;&#22270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1.&#20449;&#24687;\5.&#22806;&#32593;&#20449;&#24687;\&#22806;&#32593;&#20449;&#24687;&#22270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066222098731129"/>
          <c:y val="0.215048769159313"/>
          <c:w val="0.914976382328425"/>
          <c:h val="0.504133766836972"/>
        </c:manualLayout>
      </c:layout>
      <c:lineChart>
        <c:grouping val="standard"/>
        <c:varyColors val="0"/>
        <c:ser>
          <c:idx val="0"/>
          <c:order val="0"/>
          <c:spPr>
            <a:ln w="25400" cap="rnd" cmpd="sng" algn="ctr">
              <a:solidFill>
                <a:schemeClr val="tx1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marker>
              <c:spPr>
                <a:solidFill>
                  <a:sysClr val="windowText" lastClr="000000"/>
                </a:solidFill>
                <a:ln w="9525" cap="flat" cmpd="sng" algn="ctr">
                  <a:solidFill>
                    <a:prstClr val="black"/>
                  </a:solidFill>
                  <a:prstDash val="solid"/>
                  <a:round/>
                </a:ln>
              </c:spPr>
            </c:marker>
            <c:bubble3D val="0"/>
            <c:spPr>
              <a:ln w="25400" cap="rnd" cmpd="sng" algn="ctr">
                <a:solidFill>
                  <a:schemeClr val="tx1"/>
                </a:solidFill>
                <a:prstDash val="solid"/>
                <a:round/>
              </a:ln>
            </c:spPr>
          </c:dPt>
          <c:dLbls>
            <c:dLbl>
              <c:idx val="13"/>
              <c:layout>
                <c:manualLayout>
                  <c:x val="-0.00120423892100193"/>
                  <c:y val="0.0236008091706001"/>
                </c:manualLayout>
              </c:layout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4"/>
              <c:layout>
                <c:manualLayout>
                  <c:x val="0.000348419545998511"/>
                  <c:y val="0.0472016183412003"/>
                </c:manualLayout>
              </c:layout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multiLvlStrRef>
              <c:f>[外网信息图.xls]工业!$A$112:$B$126</c:f>
              <c:multiLvlStrCache>
                <c:ptCount val="15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</c:lvl>
                <c:lvl>
                  <c:pt idx="0">
                    <c:v>2024年</c:v>
                  </c:pt>
                  <c:pt idx="11">
                    <c:v>2025年</c:v>
                  </c:pt>
                </c:lvl>
              </c:multiLvlStrCache>
            </c:multiLvlStrRef>
          </c:cat>
          <c:val>
            <c:numRef>
              <c:f>[外网信息图.xls]工业!$C$112:$C$126</c:f>
              <c:numCache>
                <c:formatCode>0.0_ </c:formatCode>
                <c:ptCount val="15"/>
                <c:pt idx="0">
                  <c:v>-0.1894</c:v>
                </c:pt>
                <c:pt idx="1">
                  <c:v>0.586</c:v>
                </c:pt>
                <c:pt idx="2">
                  <c:v>0.3238</c:v>
                </c:pt>
                <c:pt idx="3">
                  <c:v>-2.6</c:v>
                </c:pt>
                <c:pt idx="4">
                  <c:v>-4.9878</c:v>
                </c:pt>
                <c:pt idx="5">
                  <c:v>-4.4</c:v>
                </c:pt>
                <c:pt idx="6">
                  <c:v>-4.9</c:v>
                </c:pt>
                <c:pt idx="7">
                  <c:v>-4.9954</c:v>
                </c:pt>
                <c:pt idx="8">
                  <c:v>-4.9526</c:v>
                </c:pt>
                <c:pt idx="9">
                  <c:v>-4.9</c:v>
                </c:pt>
                <c:pt idx="10">
                  <c:v>-3.6</c:v>
                </c:pt>
                <c:pt idx="11">
                  <c:v>-6.9</c:v>
                </c:pt>
                <c:pt idx="12">
                  <c:v>-4.5</c:v>
                </c:pt>
                <c:pt idx="13">
                  <c:v>-2.6</c:v>
                </c:pt>
                <c:pt idx="14">
                  <c:v>-1.6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4447872"/>
        <c:axId val="60162816"/>
      </c:lineChart>
      <c:catAx>
        <c:axId val="74447872"/>
        <c:scaling>
          <c:orientation val="minMax"/>
        </c:scaling>
        <c:delete val="0"/>
        <c:axPos val="b"/>
        <c:majorTickMark val="out"/>
        <c:minorTickMark val="none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60162816"/>
        <c:crosses val="autoZero"/>
        <c:auto val="1"/>
        <c:lblAlgn val="ctr"/>
        <c:lblOffset val="150"/>
        <c:noMultiLvlLbl val="0"/>
      </c:catAx>
      <c:valAx>
        <c:axId val="60162816"/>
        <c:scaling>
          <c:orientation val="minMax"/>
        </c:scaling>
        <c:delete val="0"/>
        <c:axPos val="l"/>
        <c:numFmt formatCode="0.0_ " sourceLinked="1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74447872"/>
        <c:crosses val="autoZero"/>
        <c:crossBetween val="between"/>
      </c:valAx>
    </c:plotArea>
    <c:plotVisOnly val="1"/>
    <c:dispBlanksAs val="gap"/>
    <c:showDLblsOverMax val="0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0589378238341969"/>
          <c:y val="0.193176579068695"/>
          <c:w val="0.920706883789785"/>
          <c:h val="0.568418626094975"/>
        </c:manualLayout>
      </c:layout>
      <c:lineChart>
        <c:grouping val="standard"/>
        <c:varyColors val="0"/>
        <c:ser>
          <c:idx val="0"/>
          <c:order val="0"/>
          <c:spPr>
            <a:ln w="25400" cap="rnd" cmpd="sng" algn="ctr">
              <a:solidFill>
                <a:schemeClr val="tx1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marker>
              <c:spPr>
                <a:solidFill>
                  <a:sysClr val="windowText" lastClr="000000"/>
                </a:solidFill>
                <a:ln w="9525" cap="flat" cmpd="sng" algn="ctr">
                  <a:solidFill>
                    <a:prstClr val="black"/>
                  </a:solidFill>
                  <a:prstDash val="solid"/>
                  <a:round/>
                </a:ln>
              </c:spPr>
            </c:marker>
            <c:bubble3D val="0"/>
            <c:spPr>
              <a:ln w="25400" cap="rnd" cmpd="sng" algn="ctr">
                <a:solidFill>
                  <a:schemeClr val="tx1"/>
                </a:solidFill>
                <a:prstDash val="solid"/>
                <a:round/>
              </a:ln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multiLvlStrRef>
              <c:f>[外网信息图.xls]投资!$A$112:$B$126</c:f>
              <c:multiLvlStrCache>
                <c:ptCount val="15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</c:lvl>
                <c:lvl>
                  <c:pt idx="0">
                    <c:v>2024年</c:v>
                  </c:pt>
                  <c:pt idx="11">
                    <c:v>2025年</c:v>
                  </c:pt>
                </c:lvl>
              </c:multiLvlStrCache>
            </c:multiLvlStrRef>
          </c:cat>
          <c:val>
            <c:numRef>
              <c:f>[外网信息图.xls]投资!$C$112:$C$126</c:f>
              <c:numCache>
                <c:formatCode>0.0_ </c:formatCode>
                <c:ptCount val="15"/>
                <c:pt idx="0">
                  <c:v>7.62759358628691</c:v>
                </c:pt>
                <c:pt idx="1">
                  <c:v>11.8267891698825</c:v>
                </c:pt>
                <c:pt idx="2">
                  <c:v>0.756588042779853</c:v>
                </c:pt>
                <c:pt idx="3">
                  <c:v>0.9</c:v>
                </c:pt>
                <c:pt idx="4">
                  <c:v>3.51790091396185</c:v>
                </c:pt>
                <c:pt idx="5">
                  <c:v>1.9</c:v>
                </c:pt>
                <c:pt idx="6">
                  <c:v>0.2</c:v>
                </c:pt>
                <c:pt idx="7">
                  <c:v>3.44708685918621</c:v>
                </c:pt>
                <c:pt idx="8">
                  <c:v>5.506575755285</c:v>
                </c:pt>
                <c:pt idx="9">
                  <c:v>3.9</c:v>
                </c:pt>
                <c:pt idx="10">
                  <c:v>7</c:v>
                </c:pt>
                <c:pt idx="11">
                  <c:v>10.2</c:v>
                </c:pt>
                <c:pt idx="12">
                  <c:v>5.4</c:v>
                </c:pt>
                <c:pt idx="13">
                  <c:v>3.4</c:v>
                </c:pt>
                <c:pt idx="14">
                  <c:v>0.9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4409088"/>
        <c:axId val="74410624"/>
      </c:lineChart>
      <c:catAx>
        <c:axId val="74409088"/>
        <c:scaling>
          <c:orientation val="minMax"/>
        </c:scaling>
        <c:delete val="0"/>
        <c:axPos val="b"/>
        <c:majorTickMark val="out"/>
        <c:minorTickMark val="none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cap="none" spc="0" normalizeH="0" baseline="0">
                <a:solidFill>
                  <a:schemeClr val="tx1"/>
                </a:solidFill>
                <a:uFill>
                  <a:solidFill>
                    <a:schemeClr val="tx1"/>
                  </a:solidFill>
                </a:uFill>
                <a:latin typeface="+mn-lt"/>
                <a:ea typeface="+mn-ea"/>
                <a:cs typeface="+mn-cs"/>
              </a:defRPr>
            </a:pPr>
          </a:p>
        </c:txPr>
        <c:crossAx val="74410624"/>
        <c:crosses val="autoZero"/>
        <c:auto val="1"/>
        <c:lblAlgn val="ctr"/>
        <c:lblOffset val="100"/>
        <c:noMultiLvlLbl val="0"/>
      </c:catAx>
      <c:valAx>
        <c:axId val="74410624"/>
        <c:scaling>
          <c:orientation val="minMax"/>
        </c:scaling>
        <c:delete val="0"/>
        <c:axPos val="l"/>
        <c:numFmt formatCode="#,##0.0_);[Red]\(#,##0.0\)" sourceLinked="0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74409088"/>
        <c:crosses val="autoZero"/>
        <c:crossBetween val="between"/>
      </c:valAx>
    </c:plotArea>
    <c:plotVisOnly val="1"/>
    <c:dispBlanksAs val="gap"/>
    <c:showDLblsOverMax val="0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066222098731129"/>
          <c:y val="0.215048769159313"/>
          <c:w val="0.914976382328425"/>
          <c:h val="0.504133766836972"/>
        </c:manualLayout>
      </c:layout>
      <c:lineChart>
        <c:grouping val="standard"/>
        <c:varyColors val="0"/>
        <c:ser>
          <c:idx val="0"/>
          <c:order val="0"/>
          <c:spPr>
            <a:ln w="25400" cap="rnd" cmpd="sng" algn="ctr">
              <a:solidFill>
                <a:schemeClr val="tx1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marker>
              <c:spPr>
                <a:solidFill>
                  <a:sysClr val="windowText" lastClr="000000"/>
                </a:solidFill>
                <a:ln w="9525" cap="flat" cmpd="sng" algn="ctr">
                  <a:solidFill>
                    <a:prstClr val="black"/>
                  </a:solidFill>
                  <a:prstDash val="solid"/>
                  <a:round/>
                </a:ln>
              </c:spPr>
            </c:marker>
            <c:bubble3D val="0"/>
            <c:spPr>
              <a:ln w="25400" cap="rnd" cmpd="sng" algn="ctr">
                <a:solidFill>
                  <a:schemeClr val="tx1"/>
                </a:solidFill>
                <a:prstDash val="solid"/>
                <a:round/>
              </a:ln>
            </c:spPr>
          </c:dPt>
          <c:dLbls>
            <c:dLbl>
              <c:idx val="1"/>
              <c:layout>
                <c:manualLayout>
                  <c:x val="0.00361271676300578"/>
                  <c:y val="0.0303438975050573"/>
                </c:manualLayout>
              </c:layout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00268585758939714"/>
                  <c:y val="0.0178434204704544"/>
                </c:manualLayout>
              </c:layout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multiLvlStrRef>
              <c:f>[外网信息图.xls]零售额!$A$112:$B$126</c:f>
              <c:multiLvlStrCache>
                <c:ptCount val="15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</c:lvl>
                <c:lvl>
                  <c:pt idx="0">
                    <c:v>2024年</c:v>
                  </c:pt>
                  <c:pt idx="11">
                    <c:v>2025年</c:v>
                  </c:pt>
                </c:lvl>
              </c:multiLvlStrCache>
            </c:multiLvlStrRef>
          </c:cat>
          <c:val>
            <c:numRef>
              <c:f>[外网信息图.xls]零售额!$C$112:$C$126</c:f>
              <c:numCache>
                <c:formatCode>0.0_ </c:formatCode>
                <c:ptCount val="15"/>
                <c:pt idx="0">
                  <c:v>0.424981476701419</c:v>
                </c:pt>
                <c:pt idx="1">
                  <c:v>-1.3086653268425</c:v>
                </c:pt>
                <c:pt idx="2">
                  <c:v>-2.11775244020259</c:v>
                </c:pt>
                <c:pt idx="3">
                  <c:v>-0.736081161010887</c:v>
                </c:pt>
                <c:pt idx="4">
                  <c:v>-2.10329904508094</c:v>
                </c:pt>
                <c:pt idx="5">
                  <c:v>-2.4</c:v>
                </c:pt>
                <c:pt idx="6">
                  <c:v>-2.3</c:v>
                </c:pt>
                <c:pt idx="7">
                  <c:v>-3.02515487019657</c:v>
                </c:pt>
                <c:pt idx="8">
                  <c:v>-3.05027832152541</c:v>
                </c:pt>
                <c:pt idx="9">
                  <c:v>-4</c:v>
                </c:pt>
                <c:pt idx="10">
                  <c:v>-4.1</c:v>
                </c:pt>
                <c:pt idx="11">
                  <c:v>-2.5</c:v>
                </c:pt>
                <c:pt idx="12">
                  <c:v>-3.5</c:v>
                </c:pt>
                <c:pt idx="13">
                  <c:v>-3.5</c:v>
                </c:pt>
                <c:pt idx="14">
                  <c:v>-3.6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4447872"/>
        <c:axId val="60162816"/>
      </c:lineChart>
      <c:catAx>
        <c:axId val="74447872"/>
        <c:scaling>
          <c:orientation val="minMax"/>
        </c:scaling>
        <c:delete val="0"/>
        <c:axPos val="b"/>
        <c:majorTickMark val="out"/>
        <c:minorTickMark val="none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60162816"/>
        <c:crosses val="autoZero"/>
        <c:auto val="1"/>
        <c:lblAlgn val="ctr"/>
        <c:lblOffset val="150"/>
        <c:noMultiLvlLbl val="0"/>
      </c:catAx>
      <c:valAx>
        <c:axId val="60162816"/>
        <c:scaling>
          <c:orientation val="minMax"/>
        </c:scaling>
        <c:delete val="0"/>
        <c:axPos val="l"/>
        <c:numFmt formatCode="0.0_ " sourceLinked="1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74447872"/>
        <c:crosses val="autoZero"/>
        <c:crossBetween val="between"/>
        <c:majorUnit val="1"/>
      </c:valAx>
    </c:plotArea>
    <c:plotVisOnly val="1"/>
    <c:dispBlanksAs val="gap"/>
    <c:showDLblsOverMax val="0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F972AB3-0B5A-4D70-915A-69439C02FE3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48</Words>
  <Characters>276</Characters>
  <Lines>2</Lines>
  <Paragraphs>1</Paragraphs>
  <ScaleCrop>false</ScaleCrop>
  <LinksUpToDate>false</LinksUpToDate>
  <CharactersWithSpaces>323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2014-03-17T02:07:00Z</dcterms:created>
  <dc:creator>黄桂俊</dc:creator>
  <cp:lastModifiedBy>闫菲</cp:lastModifiedBy>
  <cp:lastPrinted>2025-04-22T02:36:00Z</cp:lastPrinted>
  <dcterms:modified xsi:type="dcterms:W3CDTF">2025-06-19T02:58:27Z</dcterms:modified>
  <cp:revision>72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