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9C" w:rsidRDefault="0085709C">
      <w:pPr>
        <w:spacing w:afterLines="100" w:after="312"/>
        <w:jc w:val="center"/>
        <w:rPr>
          <w:lang w:eastAsia="zh-CN"/>
        </w:rPr>
      </w:pPr>
      <w:r>
        <w:rPr>
          <w:rFonts w:hint="eastAsia"/>
          <w:b/>
          <w:sz w:val="36"/>
          <w:szCs w:val="36"/>
          <w:lang w:eastAsia="zh-CN"/>
        </w:rPr>
        <w:t>住宿和餐饮业营业额</w:t>
      </w:r>
    </w:p>
    <w:tbl>
      <w:tblPr>
        <w:tblW w:w="0" w:type="auto"/>
        <w:tblInd w:w="25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3"/>
        <w:gridCol w:w="2267"/>
        <w:gridCol w:w="1985"/>
      </w:tblGrid>
      <w:tr w:rsidR="0085709C">
        <w:trPr>
          <w:trHeight w:val="449"/>
        </w:trPr>
        <w:tc>
          <w:tcPr>
            <w:tcW w:w="3402" w:type="dxa"/>
            <w:vAlign w:val="center"/>
          </w:tcPr>
          <w:p w:rsidR="0085709C" w:rsidRDefault="0085709C">
            <w:pPr>
              <w:spacing w:after="0" w:line="240" w:lineRule="auto"/>
              <w:jc w:val="center"/>
              <w:rPr>
                <w:rFonts w:ascii="宋体" w:hAnsi="宋体"/>
                <w:sz w:val="28"/>
                <w:szCs w:val="28"/>
                <w:lang w:eastAsia="zh-CN"/>
              </w:rPr>
            </w:pPr>
            <w:r>
              <w:rPr>
                <w:rFonts w:ascii="宋体" w:hAnsi="宋体" w:hint="eastAsia"/>
                <w:sz w:val="28"/>
                <w:szCs w:val="28"/>
                <w:lang w:eastAsia="zh-CN"/>
              </w:rPr>
              <w:t>项  目</w:t>
            </w:r>
          </w:p>
        </w:tc>
        <w:tc>
          <w:tcPr>
            <w:tcW w:w="993" w:type="dxa"/>
            <w:vAlign w:val="center"/>
          </w:tcPr>
          <w:p w:rsidR="0085709C" w:rsidRDefault="0085709C">
            <w:pPr>
              <w:spacing w:after="0" w:line="240" w:lineRule="auto"/>
              <w:jc w:val="center"/>
              <w:rPr>
                <w:rFonts w:ascii="宋体" w:hAnsi="宋体"/>
                <w:sz w:val="28"/>
                <w:szCs w:val="28"/>
                <w:lang w:eastAsia="zh-CN"/>
              </w:rPr>
            </w:pPr>
            <w:r>
              <w:rPr>
                <w:rFonts w:ascii="宋体" w:hAnsi="宋体" w:hint="eastAsia"/>
                <w:sz w:val="28"/>
                <w:szCs w:val="28"/>
                <w:lang w:eastAsia="zh-CN"/>
              </w:rPr>
              <w:t>单位</w:t>
            </w:r>
          </w:p>
        </w:tc>
        <w:tc>
          <w:tcPr>
            <w:tcW w:w="2267" w:type="dxa"/>
            <w:vAlign w:val="center"/>
          </w:tcPr>
          <w:p w:rsidR="0085709C" w:rsidRDefault="0085709C" w:rsidP="001D3BF2">
            <w:pPr>
              <w:spacing w:after="0" w:line="240" w:lineRule="auto"/>
              <w:jc w:val="center"/>
              <w:rPr>
                <w:rFonts w:ascii="宋体" w:hAnsi="宋体"/>
                <w:sz w:val="28"/>
                <w:szCs w:val="28"/>
                <w:lang w:eastAsia="zh-CN"/>
              </w:rPr>
            </w:pPr>
            <w:r>
              <w:rPr>
                <w:rFonts w:ascii="宋体" w:hAnsi="宋体" w:hint="eastAsia"/>
                <w:sz w:val="28"/>
                <w:szCs w:val="28"/>
                <w:lang w:eastAsia="zh-CN"/>
              </w:rPr>
              <w:t>202</w:t>
            </w:r>
            <w:r w:rsidR="00375BEA">
              <w:rPr>
                <w:rFonts w:ascii="宋体" w:hAnsi="宋体"/>
                <w:sz w:val="28"/>
                <w:szCs w:val="28"/>
                <w:lang w:eastAsia="zh-CN"/>
              </w:rPr>
              <w:t>0</w:t>
            </w:r>
            <w:r>
              <w:rPr>
                <w:rFonts w:ascii="宋体" w:hAnsi="宋体" w:hint="eastAsia"/>
                <w:sz w:val="28"/>
                <w:szCs w:val="28"/>
                <w:lang w:eastAsia="zh-CN"/>
              </w:rPr>
              <w:t>年</w:t>
            </w:r>
          </w:p>
        </w:tc>
        <w:tc>
          <w:tcPr>
            <w:tcW w:w="1985" w:type="dxa"/>
            <w:vAlign w:val="center"/>
          </w:tcPr>
          <w:p w:rsidR="0085709C" w:rsidRDefault="0085709C">
            <w:pPr>
              <w:spacing w:after="0" w:line="240" w:lineRule="auto"/>
              <w:jc w:val="center"/>
              <w:rPr>
                <w:rFonts w:ascii="宋体" w:hAnsi="宋体"/>
                <w:sz w:val="28"/>
                <w:szCs w:val="28"/>
                <w:lang w:eastAsia="zh-CN"/>
              </w:rPr>
            </w:pPr>
            <w:r>
              <w:rPr>
                <w:rFonts w:ascii="宋体" w:hAnsi="宋体" w:hint="eastAsia"/>
                <w:sz w:val="28"/>
                <w:szCs w:val="28"/>
                <w:lang w:eastAsia="zh-CN"/>
              </w:rPr>
              <w:t>同比增长（%）</w:t>
            </w:r>
          </w:p>
        </w:tc>
      </w:tr>
      <w:tr w:rsidR="0085709C">
        <w:trPr>
          <w:trHeight w:val="412"/>
        </w:trPr>
        <w:tc>
          <w:tcPr>
            <w:tcW w:w="3402" w:type="dxa"/>
            <w:vAlign w:val="center"/>
          </w:tcPr>
          <w:p w:rsidR="0085709C" w:rsidRDefault="0085709C">
            <w:pPr>
              <w:spacing w:after="0" w:line="240" w:lineRule="auto"/>
              <w:rPr>
                <w:sz w:val="28"/>
                <w:szCs w:val="28"/>
                <w:lang w:eastAsia="zh-CN"/>
              </w:rPr>
            </w:pPr>
            <w:r>
              <w:rPr>
                <w:rFonts w:hint="eastAsia"/>
                <w:sz w:val="28"/>
                <w:szCs w:val="28"/>
                <w:lang w:eastAsia="zh-CN"/>
              </w:rPr>
              <w:t>住宿和餐饮业营业额</w:t>
            </w:r>
          </w:p>
        </w:tc>
        <w:tc>
          <w:tcPr>
            <w:tcW w:w="993" w:type="dxa"/>
            <w:vAlign w:val="center"/>
          </w:tcPr>
          <w:p w:rsidR="0085709C" w:rsidRDefault="0085709C">
            <w:pPr>
              <w:spacing w:after="0" w:line="240" w:lineRule="auto"/>
              <w:jc w:val="center"/>
              <w:rPr>
                <w:sz w:val="28"/>
                <w:szCs w:val="28"/>
                <w:lang w:eastAsia="zh-CN"/>
              </w:rPr>
            </w:pPr>
            <w:r>
              <w:rPr>
                <w:rFonts w:hint="eastAsia"/>
                <w:sz w:val="28"/>
                <w:szCs w:val="28"/>
                <w:lang w:eastAsia="zh-CN"/>
              </w:rPr>
              <w:t>亿元</w:t>
            </w:r>
          </w:p>
        </w:tc>
        <w:tc>
          <w:tcPr>
            <w:tcW w:w="2267" w:type="dxa"/>
            <w:vAlign w:val="center"/>
          </w:tcPr>
          <w:p w:rsidR="0085709C" w:rsidRDefault="001D3BF2">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313.2</w:t>
            </w:r>
          </w:p>
        </w:tc>
        <w:tc>
          <w:tcPr>
            <w:tcW w:w="1985" w:type="dxa"/>
            <w:vAlign w:val="center"/>
          </w:tcPr>
          <w:p w:rsidR="0085709C" w:rsidRDefault="001D3BF2">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-32.7</w:t>
            </w:r>
          </w:p>
        </w:tc>
      </w:tr>
      <w:tr w:rsidR="0085709C">
        <w:trPr>
          <w:trHeight w:val="412"/>
        </w:trPr>
        <w:tc>
          <w:tcPr>
            <w:tcW w:w="3402" w:type="dxa"/>
            <w:vAlign w:val="center"/>
          </w:tcPr>
          <w:p w:rsidR="0085709C" w:rsidRDefault="0085709C">
            <w:pPr>
              <w:spacing w:after="0" w:line="240" w:lineRule="auto"/>
              <w:ind w:firstLineChars="150" w:firstLine="420"/>
              <w:rPr>
                <w:sz w:val="28"/>
                <w:szCs w:val="28"/>
                <w:lang w:eastAsia="zh-CN"/>
              </w:rPr>
            </w:pPr>
            <w:r>
              <w:rPr>
                <w:rFonts w:hint="eastAsia"/>
                <w:sz w:val="28"/>
                <w:szCs w:val="28"/>
                <w:lang w:eastAsia="zh-CN"/>
              </w:rPr>
              <w:t>住宿业</w:t>
            </w:r>
          </w:p>
        </w:tc>
        <w:tc>
          <w:tcPr>
            <w:tcW w:w="993" w:type="dxa"/>
            <w:vAlign w:val="center"/>
          </w:tcPr>
          <w:p w:rsidR="0085709C" w:rsidRDefault="005C073B">
            <w:pPr>
              <w:spacing w:after="0" w:line="240" w:lineRule="auto"/>
              <w:jc w:val="center"/>
              <w:rPr>
                <w:rFonts w:hint="eastAsia"/>
                <w:sz w:val="28"/>
                <w:szCs w:val="28"/>
                <w:lang w:eastAsia="zh-CN"/>
              </w:rPr>
            </w:pPr>
            <w:r>
              <w:rPr>
                <w:rFonts w:hint="eastAsia"/>
                <w:sz w:val="28"/>
                <w:szCs w:val="28"/>
                <w:lang w:eastAsia="zh-CN"/>
              </w:rPr>
              <w:t>亿元</w:t>
            </w:r>
          </w:p>
        </w:tc>
        <w:tc>
          <w:tcPr>
            <w:tcW w:w="2267" w:type="dxa"/>
            <w:vAlign w:val="center"/>
          </w:tcPr>
          <w:p w:rsidR="0085709C" w:rsidRDefault="001D3BF2">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82.6</w:t>
            </w:r>
          </w:p>
        </w:tc>
        <w:tc>
          <w:tcPr>
            <w:tcW w:w="1985" w:type="dxa"/>
            <w:vAlign w:val="center"/>
          </w:tcPr>
          <w:p w:rsidR="0085709C" w:rsidRDefault="001D3BF2">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-43.7</w:t>
            </w:r>
          </w:p>
        </w:tc>
      </w:tr>
      <w:tr w:rsidR="0085709C">
        <w:trPr>
          <w:trHeight w:val="412"/>
        </w:trPr>
        <w:tc>
          <w:tcPr>
            <w:tcW w:w="3402" w:type="dxa"/>
            <w:vAlign w:val="center"/>
          </w:tcPr>
          <w:p w:rsidR="0085709C" w:rsidRDefault="0085709C">
            <w:pPr>
              <w:spacing w:after="0" w:line="240" w:lineRule="auto"/>
              <w:ind w:firstLineChars="150" w:firstLine="420"/>
              <w:rPr>
                <w:sz w:val="28"/>
                <w:szCs w:val="28"/>
                <w:lang w:eastAsia="zh-CN"/>
              </w:rPr>
            </w:pPr>
            <w:r>
              <w:rPr>
                <w:rFonts w:hint="eastAsia"/>
                <w:sz w:val="28"/>
                <w:szCs w:val="28"/>
                <w:lang w:eastAsia="zh-CN"/>
              </w:rPr>
              <w:t>餐饮业</w:t>
            </w:r>
          </w:p>
        </w:tc>
        <w:tc>
          <w:tcPr>
            <w:tcW w:w="993" w:type="dxa"/>
            <w:vAlign w:val="center"/>
          </w:tcPr>
          <w:p w:rsidR="0085709C" w:rsidRDefault="005C073B">
            <w:pPr>
              <w:spacing w:after="0" w:line="240" w:lineRule="auto"/>
              <w:jc w:val="center"/>
              <w:rPr>
                <w:sz w:val="28"/>
                <w:szCs w:val="28"/>
                <w:lang w:eastAsia="zh-CN"/>
              </w:rPr>
            </w:pPr>
            <w:r>
              <w:rPr>
                <w:rFonts w:hint="eastAsia"/>
                <w:sz w:val="28"/>
                <w:szCs w:val="28"/>
                <w:lang w:eastAsia="zh-CN"/>
              </w:rPr>
              <w:t>亿元</w:t>
            </w:r>
          </w:p>
        </w:tc>
        <w:tc>
          <w:tcPr>
            <w:tcW w:w="2267" w:type="dxa"/>
            <w:vAlign w:val="center"/>
          </w:tcPr>
          <w:p w:rsidR="0085709C" w:rsidRDefault="001D3BF2">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230.7</w:t>
            </w:r>
          </w:p>
        </w:tc>
        <w:tc>
          <w:tcPr>
            <w:tcW w:w="1985" w:type="dxa"/>
            <w:vAlign w:val="center"/>
          </w:tcPr>
          <w:p w:rsidR="0085709C" w:rsidRDefault="001D3BF2">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-27.6</w:t>
            </w:r>
          </w:p>
        </w:tc>
      </w:tr>
    </w:tbl>
    <w:p w:rsidR="0085709C" w:rsidRDefault="0085709C">
      <w:pPr>
        <w:ind w:firstLineChars="200" w:firstLine="440"/>
        <w:rPr>
          <w:lang w:eastAsia="zh-CN"/>
        </w:rPr>
      </w:pPr>
      <w:r>
        <w:rPr>
          <w:rFonts w:hint="eastAsia"/>
          <w:lang w:eastAsia="zh-CN"/>
        </w:rPr>
        <w:t>注：表内数据按“产业经营地”原则统计。</w:t>
      </w:r>
    </w:p>
    <w:p w:rsidR="0085709C" w:rsidRDefault="0085709C">
      <w:pPr>
        <w:spacing w:afterLines="100" w:after="312"/>
        <w:jc w:val="center"/>
        <w:rPr>
          <w:b/>
          <w:sz w:val="32"/>
          <w:szCs w:val="32"/>
          <w:lang w:eastAsia="zh-CN"/>
        </w:rPr>
      </w:pPr>
      <w:bookmarkStart w:id="0" w:name="_GoBack"/>
      <w:bookmarkEnd w:id="0"/>
    </w:p>
    <w:p w:rsidR="0085709C" w:rsidRDefault="0085709C">
      <w:pPr>
        <w:spacing w:afterLines="100" w:after="312"/>
        <w:jc w:val="center"/>
        <w:rPr>
          <w:rFonts w:ascii="宋体" w:hAnsi="宋体"/>
          <w:b/>
          <w:bCs/>
          <w:color w:val="000000"/>
          <w:sz w:val="32"/>
          <w:szCs w:val="32"/>
          <w:lang w:eastAsia="zh-CN"/>
        </w:rPr>
      </w:pPr>
      <w:r>
        <w:rPr>
          <w:rFonts w:hint="eastAsia"/>
          <w:b/>
          <w:sz w:val="32"/>
          <w:szCs w:val="32"/>
          <w:lang w:eastAsia="zh-CN"/>
        </w:rPr>
        <w:t>营业额</w:t>
      </w:r>
      <w:r>
        <w:rPr>
          <w:rFonts w:ascii="宋体" w:hAnsi="宋体" w:hint="eastAsia"/>
          <w:b/>
          <w:bCs/>
          <w:color w:val="000000"/>
          <w:sz w:val="32"/>
          <w:szCs w:val="32"/>
          <w:lang w:eastAsia="zh-CN"/>
        </w:rPr>
        <w:t>统计范围、采集渠道及指标解释</w:t>
      </w:r>
    </w:p>
    <w:p w:rsidR="0085709C" w:rsidRDefault="0085709C">
      <w:pPr>
        <w:spacing w:after="0" w:line="240" w:lineRule="auto"/>
        <w:ind w:firstLineChars="200" w:firstLine="562"/>
        <w:rPr>
          <w:rFonts w:ascii="宋体" w:hAnsi="宋体" w:cs="宋体"/>
          <w:b/>
          <w:iCs/>
          <w:color w:val="000000"/>
          <w:sz w:val="28"/>
          <w:lang w:eastAsia="zh-CN"/>
        </w:rPr>
      </w:pPr>
      <w:r>
        <w:rPr>
          <w:rFonts w:ascii="宋体" w:hAnsi="宋体" w:cs="宋体"/>
          <w:b/>
          <w:iCs/>
          <w:color w:val="000000"/>
          <w:sz w:val="28"/>
          <w:lang w:eastAsia="zh-CN"/>
        </w:rPr>
        <w:t>一、统计范围</w:t>
      </w:r>
    </w:p>
    <w:p w:rsidR="0085709C" w:rsidRDefault="0085709C">
      <w:pPr>
        <w:spacing w:after="0" w:line="240" w:lineRule="auto"/>
        <w:ind w:firstLineChars="200" w:firstLine="560"/>
        <w:rPr>
          <w:rFonts w:ascii="宋体" w:hAnsi="宋体"/>
          <w:color w:val="000000"/>
          <w:sz w:val="28"/>
          <w:szCs w:val="28"/>
          <w:lang w:eastAsia="zh-CN"/>
        </w:rPr>
      </w:pPr>
      <w:r>
        <w:rPr>
          <w:rFonts w:ascii="宋体" w:hAnsi="宋体" w:hint="eastAsia"/>
          <w:color w:val="000000"/>
          <w:sz w:val="28"/>
          <w:szCs w:val="28"/>
          <w:lang w:eastAsia="zh-CN"/>
        </w:rPr>
        <w:t>朝阳区</w:t>
      </w:r>
      <w:r>
        <w:rPr>
          <w:rFonts w:ascii="宋体" w:hAnsi="宋体"/>
          <w:color w:val="000000"/>
          <w:sz w:val="28"/>
          <w:szCs w:val="28"/>
          <w:lang w:eastAsia="zh-CN"/>
        </w:rPr>
        <w:t>地域内</w:t>
      </w:r>
      <w:r>
        <w:rPr>
          <w:rFonts w:ascii="宋体" w:hAnsi="宋体" w:hint="eastAsia"/>
          <w:color w:val="000000"/>
          <w:sz w:val="28"/>
          <w:szCs w:val="28"/>
          <w:lang w:eastAsia="zh-CN"/>
        </w:rPr>
        <w:t>全部住宿和餐饮业法人单位、产业活动单位和个体经营户。</w:t>
      </w:r>
    </w:p>
    <w:p w:rsidR="0085709C" w:rsidRDefault="0085709C">
      <w:pPr>
        <w:spacing w:after="0" w:line="240" w:lineRule="auto"/>
        <w:ind w:firstLineChars="200" w:firstLine="562"/>
        <w:rPr>
          <w:rFonts w:ascii="宋体" w:hAnsi="宋体" w:cs="宋体"/>
          <w:bCs/>
          <w:iCs/>
          <w:color w:val="000000"/>
          <w:sz w:val="28"/>
          <w:szCs w:val="21"/>
          <w:lang w:eastAsia="zh-CN"/>
        </w:rPr>
      </w:pPr>
      <w:r>
        <w:rPr>
          <w:rFonts w:ascii="宋体" w:hAnsi="宋体" w:cs="宋体"/>
          <w:b/>
          <w:iCs/>
          <w:color w:val="000000"/>
          <w:sz w:val="28"/>
          <w:lang w:eastAsia="zh-CN"/>
        </w:rPr>
        <w:t>二、采集渠道</w:t>
      </w:r>
    </w:p>
    <w:p w:rsidR="0085709C" w:rsidRDefault="0085709C">
      <w:pPr>
        <w:spacing w:after="0" w:line="240" w:lineRule="auto"/>
        <w:ind w:firstLineChars="200" w:firstLine="560"/>
        <w:rPr>
          <w:rFonts w:ascii="宋体" w:hAnsi="宋体"/>
          <w:color w:val="000000"/>
          <w:sz w:val="28"/>
          <w:szCs w:val="28"/>
          <w:lang w:eastAsia="zh-CN"/>
        </w:rPr>
      </w:pPr>
      <w:r>
        <w:rPr>
          <w:rFonts w:ascii="宋体" w:hAnsi="宋体" w:cs="宋体"/>
          <w:bCs/>
          <w:iCs/>
          <w:color w:val="000000"/>
          <w:sz w:val="28"/>
          <w:szCs w:val="21"/>
          <w:lang w:eastAsia="zh-CN"/>
        </w:rPr>
        <w:t>按照《</w:t>
      </w:r>
      <w:r>
        <w:rPr>
          <w:rFonts w:ascii="宋体" w:hAnsi="宋体" w:cs="宋体" w:hint="eastAsia"/>
          <w:bCs/>
          <w:iCs/>
          <w:color w:val="000000"/>
          <w:sz w:val="28"/>
          <w:szCs w:val="21"/>
          <w:lang w:eastAsia="zh-CN"/>
        </w:rPr>
        <w:t>住宿和餐饮</w:t>
      </w:r>
      <w:r>
        <w:rPr>
          <w:rFonts w:ascii="宋体" w:hAnsi="宋体" w:cs="宋体"/>
          <w:bCs/>
          <w:iCs/>
          <w:color w:val="000000"/>
          <w:sz w:val="28"/>
          <w:szCs w:val="21"/>
          <w:lang w:eastAsia="zh-CN"/>
        </w:rPr>
        <w:t>业统计报表制度》要求，</w:t>
      </w:r>
      <w:r>
        <w:rPr>
          <w:rFonts w:ascii="宋体" w:hAnsi="宋体" w:hint="eastAsia"/>
          <w:color w:val="000000"/>
          <w:sz w:val="28"/>
          <w:szCs w:val="28"/>
          <w:lang w:eastAsia="zh-CN"/>
        </w:rPr>
        <w:t>①限额以上住宿和餐饮业法人单位、产业活动单位和个体经营户通过联网直报系统上报统计数据；②限额以下住宿和餐饮业法人单位、产业活动单位和个体经营户通过抽样调查获取数据，进而推算总体。</w:t>
      </w:r>
    </w:p>
    <w:p w:rsidR="0085709C" w:rsidRDefault="0085709C">
      <w:pPr>
        <w:spacing w:after="0" w:line="240" w:lineRule="auto"/>
        <w:ind w:firstLineChars="200" w:firstLine="562"/>
        <w:rPr>
          <w:rFonts w:ascii="宋体" w:hAnsi="宋体" w:cs="宋体"/>
          <w:b/>
          <w:iCs/>
          <w:color w:val="000000"/>
          <w:sz w:val="28"/>
          <w:lang w:eastAsia="zh-CN"/>
        </w:rPr>
      </w:pPr>
      <w:r>
        <w:rPr>
          <w:rFonts w:ascii="宋体" w:hAnsi="宋体" w:cs="宋体"/>
          <w:b/>
          <w:iCs/>
          <w:color w:val="000000"/>
          <w:sz w:val="28"/>
          <w:lang w:eastAsia="zh-CN"/>
        </w:rPr>
        <w:t>三、指标解释</w:t>
      </w:r>
    </w:p>
    <w:p w:rsidR="0085709C" w:rsidRDefault="0085709C">
      <w:pPr>
        <w:spacing w:after="0" w:line="240" w:lineRule="auto"/>
        <w:ind w:firstLineChars="200" w:firstLine="560"/>
        <w:rPr>
          <w:rFonts w:ascii="宋体" w:hAnsi="宋体" w:cs="宋体"/>
          <w:bCs/>
          <w:iCs/>
          <w:color w:val="000000"/>
          <w:sz w:val="28"/>
          <w:szCs w:val="21"/>
          <w:lang w:eastAsia="zh-CN"/>
        </w:rPr>
      </w:pPr>
      <w:r>
        <w:rPr>
          <w:rFonts w:ascii="宋体" w:hAnsi="宋体" w:cs="宋体" w:hint="eastAsia"/>
          <w:bCs/>
          <w:iCs/>
          <w:color w:val="000000"/>
          <w:sz w:val="28"/>
          <w:szCs w:val="21"/>
          <w:lang w:eastAsia="zh-CN"/>
        </w:rPr>
        <w:t>住宿和餐饮业营业额：指住宿和餐饮业单位在经营活动中因提供服务或销售商品等取得的全部收入。</w:t>
      </w:r>
    </w:p>
    <w:p w:rsidR="0085709C" w:rsidRDefault="0085709C">
      <w:pPr>
        <w:spacing w:after="0" w:line="240" w:lineRule="auto"/>
        <w:ind w:firstLineChars="200" w:firstLine="560"/>
        <w:rPr>
          <w:rFonts w:ascii="宋体" w:hAnsi="宋体"/>
          <w:color w:val="000000"/>
          <w:sz w:val="28"/>
          <w:szCs w:val="28"/>
          <w:lang w:eastAsia="zh-CN"/>
        </w:rPr>
      </w:pPr>
      <w:r>
        <w:rPr>
          <w:rFonts w:ascii="宋体" w:hAnsi="宋体" w:cs="宋体" w:hint="eastAsia"/>
          <w:bCs/>
          <w:iCs/>
          <w:color w:val="000000"/>
          <w:sz w:val="28"/>
          <w:szCs w:val="21"/>
          <w:lang w:eastAsia="zh-CN"/>
        </w:rPr>
        <w:lastRenderedPageBreak/>
        <w:t>住宿和餐饮业</w:t>
      </w:r>
      <w:r>
        <w:rPr>
          <w:rFonts w:ascii="宋体" w:hAnsi="宋体" w:cs="宋体"/>
          <w:bCs/>
          <w:iCs/>
          <w:color w:val="000000"/>
          <w:sz w:val="28"/>
          <w:szCs w:val="21"/>
          <w:lang w:eastAsia="zh-CN"/>
        </w:rPr>
        <w:t>统计限额标准：①</w:t>
      </w:r>
      <w:r>
        <w:rPr>
          <w:rFonts w:ascii="宋体" w:hAnsi="宋体" w:cs="宋体" w:hint="eastAsia"/>
          <w:bCs/>
          <w:iCs/>
          <w:color w:val="000000"/>
          <w:sz w:val="28"/>
          <w:szCs w:val="21"/>
          <w:lang w:eastAsia="zh-CN"/>
        </w:rPr>
        <w:t>住宿</w:t>
      </w:r>
      <w:r>
        <w:rPr>
          <w:rFonts w:ascii="宋体" w:hAnsi="宋体" w:cs="宋体"/>
          <w:bCs/>
          <w:iCs/>
          <w:color w:val="000000"/>
          <w:sz w:val="28"/>
          <w:szCs w:val="21"/>
          <w:lang w:eastAsia="zh-CN"/>
        </w:rPr>
        <w:t>业：年主营业务收入200万元及以上；②</w:t>
      </w:r>
      <w:r>
        <w:rPr>
          <w:rFonts w:ascii="宋体" w:hAnsi="宋体" w:cs="宋体" w:hint="eastAsia"/>
          <w:bCs/>
          <w:iCs/>
          <w:color w:val="000000"/>
          <w:sz w:val="28"/>
          <w:szCs w:val="21"/>
          <w:lang w:eastAsia="zh-CN"/>
        </w:rPr>
        <w:t>餐饮</w:t>
      </w:r>
      <w:r>
        <w:rPr>
          <w:rFonts w:ascii="宋体" w:hAnsi="宋体" w:cs="宋体"/>
          <w:bCs/>
          <w:iCs/>
          <w:color w:val="000000"/>
          <w:sz w:val="28"/>
          <w:szCs w:val="21"/>
          <w:lang w:eastAsia="zh-CN"/>
        </w:rPr>
        <w:t>业：年主营业务收入</w:t>
      </w:r>
      <w:r>
        <w:rPr>
          <w:rFonts w:ascii="宋体" w:hAnsi="宋体" w:cs="宋体" w:hint="eastAsia"/>
          <w:bCs/>
          <w:iCs/>
          <w:color w:val="000000"/>
          <w:sz w:val="28"/>
          <w:szCs w:val="21"/>
          <w:lang w:eastAsia="zh-CN"/>
        </w:rPr>
        <w:t>2</w:t>
      </w:r>
      <w:r>
        <w:rPr>
          <w:rFonts w:ascii="宋体" w:hAnsi="宋体" w:cs="宋体"/>
          <w:bCs/>
          <w:iCs/>
          <w:color w:val="000000"/>
          <w:sz w:val="28"/>
          <w:szCs w:val="21"/>
          <w:lang w:eastAsia="zh-CN"/>
        </w:rPr>
        <w:t>00万元及以上。</w:t>
      </w:r>
    </w:p>
    <w:sectPr w:rsidR="0085709C">
      <w:pgSz w:w="11906" w:h="16838"/>
      <w:pgMar w:top="1440" w:right="1558" w:bottom="1440" w:left="15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18"/>
    <w:rsid w:val="000036C3"/>
    <w:rsid w:val="00006118"/>
    <w:rsid w:val="000A2A7D"/>
    <w:rsid w:val="000D5BF0"/>
    <w:rsid w:val="000E5BDA"/>
    <w:rsid w:val="0010197B"/>
    <w:rsid w:val="00127BC4"/>
    <w:rsid w:val="001332B8"/>
    <w:rsid w:val="00172B04"/>
    <w:rsid w:val="00174918"/>
    <w:rsid w:val="001A5BE0"/>
    <w:rsid w:val="001A61CE"/>
    <w:rsid w:val="001D1A1A"/>
    <w:rsid w:val="001D3BF2"/>
    <w:rsid w:val="001E271C"/>
    <w:rsid w:val="00203872"/>
    <w:rsid w:val="00211C30"/>
    <w:rsid w:val="0021768C"/>
    <w:rsid w:val="002503FE"/>
    <w:rsid w:val="00260CB1"/>
    <w:rsid w:val="0027588E"/>
    <w:rsid w:val="002A70AC"/>
    <w:rsid w:val="002C4179"/>
    <w:rsid w:val="00312ABB"/>
    <w:rsid w:val="003165E7"/>
    <w:rsid w:val="00320776"/>
    <w:rsid w:val="00322663"/>
    <w:rsid w:val="00362EBF"/>
    <w:rsid w:val="003734A4"/>
    <w:rsid w:val="00375BEA"/>
    <w:rsid w:val="004664FF"/>
    <w:rsid w:val="00534044"/>
    <w:rsid w:val="0053767E"/>
    <w:rsid w:val="00556EA8"/>
    <w:rsid w:val="00557681"/>
    <w:rsid w:val="005A750B"/>
    <w:rsid w:val="005B3E18"/>
    <w:rsid w:val="005C073B"/>
    <w:rsid w:val="005C0F4F"/>
    <w:rsid w:val="006A5C54"/>
    <w:rsid w:val="006B262E"/>
    <w:rsid w:val="007216B0"/>
    <w:rsid w:val="007259BD"/>
    <w:rsid w:val="0075426D"/>
    <w:rsid w:val="0077383B"/>
    <w:rsid w:val="007739CC"/>
    <w:rsid w:val="007760C3"/>
    <w:rsid w:val="00782588"/>
    <w:rsid w:val="00795E1B"/>
    <w:rsid w:val="007A2505"/>
    <w:rsid w:val="007A7AB2"/>
    <w:rsid w:val="007A7E8F"/>
    <w:rsid w:val="007E5005"/>
    <w:rsid w:val="007E51E5"/>
    <w:rsid w:val="00807C65"/>
    <w:rsid w:val="008324A8"/>
    <w:rsid w:val="00833155"/>
    <w:rsid w:val="0085709C"/>
    <w:rsid w:val="00885D8C"/>
    <w:rsid w:val="008B4C83"/>
    <w:rsid w:val="00923B8C"/>
    <w:rsid w:val="009455DC"/>
    <w:rsid w:val="00956F26"/>
    <w:rsid w:val="009C0768"/>
    <w:rsid w:val="009D1852"/>
    <w:rsid w:val="00AB76DD"/>
    <w:rsid w:val="00B727D7"/>
    <w:rsid w:val="00B82E3B"/>
    <w:rsid w:val="00B93B51"/>
    <w:rsid w:val="00BA1127"/>
    <w:rsid w:val="00BF7219"/>
    <w:rsid w:val="00C0626B"/>
    <w:rsid w:val="00C11B12"/>
    <w:rsid w:val="00C30A7E"/>
    <w:rsid w:val="00C33F37"/>
    <w:rsid w:val="00C95508"/>
    <w:rsid w:val="00CB23DF"/>
    <w:rsid w:val="00CF59B0"/>
    <w:rsid w:val="00D64F08"/>
    <w:rsid w:val="00D7692A"/>
    <w:rsid w:val="00DA57A8"/>
    <w:rsid w:val="00DE6BF2"/>
    <w:rsid w:val="00E1539B"/>
    <w:rsid w:val="00E63FCB"/>
    <w:rsid w:val="00E82FB3"/>
    <w:rsid w:val="00EA00AA"/>
    <w:rsid w:val="00EA4489"/>
    <w:rsid w:val="00EB3B35"/>
    <w:rsid w:val="00F178F1"/>
    <w:rsid w:val="00F80F6F"/>
    <w:rsid w:val="00F92324"/>
    <w:rsid w:val="00F94F2A"/>
    <w:rsid w:val="00FA2BD8"/>
    <w:rsid w:val="00FB592F"/>
    <w:rsid w:val="00FD753D"/>
    <w:rsid w:val="6AC5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0726-5701-4B39-9D22-E8953C36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bidi="en-US"/>
    </w:rPr>
  </w:style>
  <w:style w:type="paragraph" w:styleId="1">
    <w:name w:val="heading 1"/>
    <w:basedOn w:val="a"/>
    <w:next w:val="a"/>
    <w:link w:val="1Char"/>
    <w:uiPriority w:val="9"/>
    <w:qFormat/>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Char"/>
    <w:uiPriority w:val="9"/>
    <w:qFormat/>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Char"/>
    <w:uiPriority w:val="9"/>
    <w:qFormat/>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Char"/>
    <w:uiPriority w:val="9"/>
    <w:qFormat/>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Char"/>
    <w:uiPriority w:val="9"/>
    <w:qFormat/>
    <w:pPr>
      <w:keepNext/>
      <w:keepLines/>
      <w:spacing w:before="200" w:after="0"/>
      <w:outlineLvl w:val="4"/>
    </w:pPr>
    <w:rPr>
      <w:rFonts w:ascii="Cambria" w:hAnsi="Cambria"/>
      <w:color w:val="243F60"/>
      <w:sz w:val="20"/>
      <w:szCs w:val="20"/>
      <w:lang w:bidi="ar-SA"/>
    </w:rPr>
  </w:style>
  <w:style w:type="paragraph" w:styleId="6">
    <w:name w:val="heading 6"/>
    <w:basedOn w:val="a"/>
    <w:next w:val="a"/>
    <w:link w:val="6Char"/>
    <w:uiPriority w:val="9"/>
    <w:qFormat/>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Char"/>
    <w:uiPriority w:val="9"/>
    <w:qFormat/>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Char"/>
    <w:uiPriority w:val="9"/>
    <w:qFormat/>
    <w:pPr>
      <w:keepNext/>
      <w:keepLines/>
      <w:spacing w:before="200" w:after="0"/>
      <w:outlineLvl w:val="7"/>
    </w:pPr>
    <w:rPr>
      <w:rFonts w:ascii="Cambria" w:hAnsi="Cambria"/>
      <w:color w:val="4F81BD"/>
      <w:sz w:val="20"/>
      <w:szCs w:val="20"/>
      <w:lang w:bidi="ar-SA"/>
    </w:rPr>
  </w:style>
  <w:style w:type="paragraph" w:styleId="9">
    <w:name w:val="heading 9"/>
    <w:basedOn w:val="a"/>
    <w:next w:val="a"/>
    <w:link w:val="9Char"/>
    <w:uiPriority w:val="9"/>
    <w:qFormat/>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uiPriority w:val="20"/>
    <w:qFormat/>
    <w:rPr>
      <w:i/>
      <w:iCs/>
    </w:rPr>
  </w:style>
  <w:style w:type="character" w:styleId="a5">
    <w:name w:val="Subtle Reference"/>
    <w:uiPriority w:val="31"/>
    <w:qFormat/>
    <w:rPr>
      <w:smallCaps/>
      <w:color w:val="C0504D"/>
      <w:u w:val="single"/>
    </w:rPr>
  </w:style>
  <w:style w:type="character" w:customStyle="1" w:styleId="7Char">
    <w:name w:val="标题 7 Char"/>
    <w:link w:val="7"/>
    <w:uiPriority w:val="9"/>
    <w:rPr>
      <w:rFonts w:ascii="Cambria" w:eastAsia="宋体" w:hAnsi="Cambria" w:cs="Times New Roman"/>
      <w:i/>
      <w:iCs/>
      <w:color w:val="404040"/>
    </w:rPr>
  </w:style>
  <w:style w:type="character" w:customStyle="1" w:styleId="1Char">
    <w:name w:val="标题 1 Char"/>
    <w:link w:val="1"/>
    <w:uiPriority w:val="9"/>
    <w:rPr>
      <w:rFonts w:ascii="Cambria" w:eastAsia="宋体" w:hAnsi="Cambria" w:cs="Times New Roman"/>
      <w:b/>
      <w:bCs/>
      <w:color w:val="365F91"/>
      <w:sz w:val="28"/>
      <w:szCs w:val="28"/>
    </w:rPr>
  </w:style>
  <w:style w:type="character" w:customStyle="1" w:styleId="Char">
    <w:name w:val="页眉 Char"/>
    <w:link w:val="a6"/>
    <w:uiPriority w:val="99"/>
    <w:rPr>
      <w:sz w:val="18"/>
      <w:szCs w:val="18"/>
      <w:lang w:eastAsia="en-US" w:bidi="en-US"/>
    </w:rPr>
  </w:style>
  <w:style w:type="character" w:customStyle="1" w:styleId="Char0">
    <w:name w:val="标题 Char"/>
    <w:link w:val="a7"/>
    <w:uiPriority w:val="10"/>
    <w:rPr>
      <w:rFonts w:ascii="Cambria" w:eastAsia="宋体" w:hAnsi="Cambria" w:cs="Times New Roman"/>
      <w:color w:val="17365D"/>
      <w:spacing w:val="5"/>
      <w:kern w:val="28"/>
      <w:sz w:val="52"/>
      <w:szCs w:val="52"/>
    </w:rPr>
  </w:style>
  <w:style w:type="character" w:customStyle="1" w:styleId="2Char">
    <w:name w:val="标题 2 Char"/>
    <w:link w:val="2"/>
    <w:uiPriority w:val="9"/>
    <w:semiHidden/>
    <w:rPr>
      <w:rFonts w:ascii="Cambria" w:eastAsia="宋体" w:hAnsi="Cambria" w:cs="Times New Roman"/>
      <w:b/>
      <w:bCs/>
      <w:color w:val="4F81BD"/>
      <w:sz w:val="26"/>
      <w:szCs w:val="26"/>
    </w:rPr>
  </w:style>
  <w:style w:type="character" w:styleId="a8">
    <w:name w:val="Intense Reference"/>
    <w:uiPriority w:val="32"/>
    <w:qFormat/>
    <w:rPr>
      <w:b/>
      <w:bCs/>
      <w:smallCaps/>
      <w:color w:val="C0504D"/>
      <w:spacing w:val="5"/>
      <w:u w:val="single"/>
    </w:rPr>
  </w:style>
  <w:style w:type="character" w:customStyle="1" w:styleId="9Char">
    <w:name w:val="标题 9 Char"/>
    <w:link w:val="9"/>
    <w:uiPriority w:val="9"/>
    <w:rPr>
      <w:rFonts w:ascii="Cambria" w:eastAsia="宋体" w:hAnsi="Cambria" w:cs="Times New Roman"/>
      <w:i/>
      <w:iCs/>
      <w:color w:val="404040"/>
      <w:sz w:val="20"/>
      <w:szCs w:val="20"/>
    </w:rPr>
  </w:style>
  <w:style w:type="character" w:customStyle="1" w:styleId="Char1">
    <w:name w:val="批注框文本 Char"/>
    <w:link w:val="a9"/>
    <w:uiPriority w:val="99"/>
    <w:semiHidden/>
    <w:rPr>
      <w:sz w:val="18"/>
      <w:szCs w:val="18"/>
      <w:lang w:eastAsia="en-US" w:bidi="en-US"/>
    </w:rPr>
  </w:style>
  <w:style w:type="character" w:styleId="aa">
    <w:name w:val="Subtle Emphasis"/>
    <w:uiPriority w:val="19"/>
    <w:qFormat/>
    <w:rPr>
      <w:i/>
      <w:iCs/>
      <w:color w:val="808080"/>
    </w:rPr>
  </w:style>
  <w:style w:type="character" w:customStyle="1" w:styleId="4Char">
    <w:name w:val="标题 4 Char"/>
    <w:link w:val="4"/>
    <w:uiPriority w:val="9"/>
    <w:rPr>
      <w:rFonts w:ascii="Cambria" w:eastAsia="宋体" w:hAnsi="Cambria" w:cs="Times New Roman"/>
      <w:b/>
      <w:bCs/>
      <w:i/>
      <w:iCs/>
      <w:color w:val="4F81BD"/>
    </w:rPr>
  </w:style>
  <w:style w:type="character" w:styleId="ab">
    <w:name w:val="Intense Emphasis"/>
    <w:uiPriority w:val="21"/>
    <w:qFormat/>
    <w:rPr>
      <w:b/>
      <w:bCs/>
      <w:i/>
      <w:iCs/>
      <w:color w:val="4F81BD"/>
    </w:rPr>
  </w:style>
  <w:style w:type="character" w:customStyle="1" w:styleId="8Char">
    <w:name w:val="标题 8 Char"/>
    <w:link w:val="8"/>
    <w:uiPriority w:val="9"/>
    <w:rPr>
      <w:rFonts w:ascii="Cambria" w:eastAsia="宋体" w:hAnsi="Cambria" w:cs="Times New Roman"/>
      <w:color w:val="4F81BD"/>
      <w:sz w:val="20"/>
      <w:szCs w:val="20"/>
    </w:rPr>
  </w:style>
  <w:style w:type="character" w:styleId="ac">
    <w:name w:val="Book Title"/>
    <w:uiPriority w:val="33"/>
    <w:qFormat/>
    <w:rPr>
      <w:b/>
      <w:bCs/>
      <w:smallCaps/>
      <w:spacing w:val="5"/>
    </w:rPr>
  </w:style>
  <w:style w:type="character" w:customStyle="1" w:styleId="Char2">
    <w:name w:val="引用 Char"/>
    <w:link w:val="ad"/>
    <w:uiPriority w:val="29"/>
    <w:rPr>
      <w:i/>
      <w:iCs/>
      <w:color w:val="000000"/>
    </w:rPr>
  </w:style>
  <w:style w:type="character" w:customStyle="1" w:styleId="3Char">
    <w:name w:val="标题 3 Char"/>
    <w:link w:val="3"/>
    <w:uiPriority w:val="9"/>
    <w:rPr>
      <w:rFonts w:ascii="Cambria" w:eastAsia="宋体" w:hAnsi="Cambria" w:cs="Times New Roman"/>
      <w:b/>
      <w:bCs/>
      <w:color w:val="4F81BD"/>
    </w:rPr>
  </w:style>
  <w:style w:type="character" w:customStyle="1" w:styleId="Char3">
    <w:name w:val="页脚 Char"/>
    <w:link w:val="ae"/>
    <w:uiPriority w:val="99"/>
    <w:rPr>
      <w:sz w:val="18"/>
      <w:szCs w:val="18"/>
      <w:lang w:eastAsia="en-US" w:bidi="en-US"/>
    </w:rPr>
  </w:style>
  <w:style w:type="character" w:customStyle="1" w:styleId="Char4">
    <w:name w:val="副标题 Char"/>
    <w:link w:val="af"/>
    <w:uiPriority w:val="11"/>
    <w:rPr>
      <w:rFonts w:ascii="Cambria" w:eastAsia="宋体" w:hAnsi="Cambria" w:cs="Times New Roman"/>
      <w:i/>
      <w:iCs/>
      <w:color w:val="4F81BD"/>
      <w:spacing w:val="15"/>
      <w:sz w:val="24"/>
      <w:szCs w:val="24"/>
    </w:rPr>
  </w:style>
  <w:style w:type="character" w:customStyle="1" w:styleId="5Char">
    <w:name w:val="标题 5 Char"/>
    <w:link w:val="5"/>
    <w:uiPriority w:val="9"/>
    <w:rPr>
      <w:rFonts w:ascii="Cambria" w:eastAsia="宋体" w:hAnsi="Cambria" w:cs="Times New Roman"/>
      <w:color w:val="243F60"/>
    </w:rPr>
  </w:style>
  <w:style w:type="character" w:customStyle="1" w:styleId="Char5">
    <w:name w:val="明显引用 Char"/>
    <w:link w:val="af0"/>
    <w:uiPriority w:val="30"/>
    <w:rPr>
      <w:b/>
      <w:bCs/>
      <w:i/>
      <w:iCs/>
      <w:color w:val="4F81BD"/>
    </w:rPr>
  </w:style>
  <w:style w:type="character" w:customStyle="1" w:styleId="6Char">
    <w:name w:val="标题 6 Char"/>
    <w:link w:val="6"/>
    <w:uiPriority w:val="9"/>
    <w:rPr>
      <w:rFonts w:ascii="Cambria" w:eastAsia="宋体" w:hAnsi="Cambria" w:cs="Times New Roman"/>
      <w:i/>
      <w:iCs/>
      <w:color w:val="243F60"/>
    </w:rPr>
  </w:style>
  <w:style w:type="paragraph" w:styleId="a6">
    <w:name w:val="header"/>
    <w:basedOn w:val="a"/>
    <w:link w:val="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9">
    <w:name w:val="Balloon Text"/>
    <w:basedOn w:val="a"/>
    <w:link w:val="Char1"/>
    <w:uiPriority w:val="99"/>
    <w:unhideWhenUsed/>
    <w:pPr>
      <w:spacing w:after="0" w:line="240" w:lineRule="auto"/>
    </w:pPr>
    <w:rPr>
      <w:sz w:val="18"/>
      <w:szCs w:val="18"/>
    </w:rPr>
  </w:style>
  <w:style w:type="paragraph" w:styleId="af1">
    <w:name w:val="caption"/>
    <w:basedOn w:val="a"/>
    <w:next w:val="a"/>
    <w:uiPriority w:val="35"/>
    <w:qFormat/>
    <w:pPr>
      <w:spacing w:line="240" w:lineRule="auto"/>
    </w:pPr>
    <w:rPr>
      <w:b/>
      <w:bCs/>
      <w:color w:val="4F81BD"/>
      <w:sz w:val="18"/>
      <w:szCs w:val="18"/>
    </w:rPr>
  </w:style>
  <w:style w:type="paragraph" w:styleId="af">
    <w:name w:val="Subtitle"/>
    <w:basedOn w:val="a"/>
    <w:next w:val="a"/>
    <w:link w:val="Char4"/>
    <w:uiPriority w:val="11"/>
    <w:qFormat/>
    <w:rPr>
      <w:rFonts w:ascii="Cambria" w:hAnsi="Cambria"/>
      <w:i/>
      <w:iCs/>
      <w:color w:val="4F81BD"/>
      <w:spacing w:val="15"/>
      <w:sz w:val="24"/>
      <w:szCs w:val="24"/>
      <w:lang w:bidi="ar-SA"/>
    </w:rPr>
  </w:style>
  <w:style w:type="paragraph" w:styleId="ae">
    <w:name w:val="footer"/>
    <w:basedOn w:val="a"/>
    <w:link w:val="Char3"/>
    <w:uiPriority w:val="99"/>
    <w:unhideWhenUsed/>
    <w:pPr>
      <w:tabs>
        <w:tab w:val="center" w:pos="4153"/>
        <w:tab w:val="right" w:pos="8306"/>
      </w:tabs>
      <w:snapToGrid w:val="0"/>
      <w:spacing w:line="240" w:lineRule="auto"/>
    </w:pPr>
    <w:rPr>
      <w:sz w:val="18"/>
      <w:szCs w:val="18"/>
    </w:rPr>
  </w:style>
  <w:style w:type="paragraph" w:styleId="a7">
    <w:name w:val="Title"/>
    <w:basedOn w:val="a"/>
    <w:next w:val="a"/>
    <w:link w:val="Char0"/>
    <w:uiPriority w:val="10"/>
    <w:qFormat/>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paragraph" w:styleId="af2">
    <w:name w:val="Normal (Web)"/>
    <w:basedOn w:val="a"/>
    <w:uiPriority w:val="99"/>
    <w:unhideWhenUsed/>
    <w:pPr>
      <w:spacing w:before="100" w:beforeAutospacing="1" w:after="100" w:afterAutospacing="1" w:line="240" w:lineRule="auto"/>
    </w:pPr>
    <w:rPr>
      <w:rFonts w:ascii="宋体" w:hAnsi="宋体" w:cs="宋体"/>
      <w:sz w:val="24"/>
      <w:szCs w:val="24"/>
      <w:lang w:eastAsia="zh-CN" w:bidi="ar-SA"/>
    </w:rPr>
  </w:style>
  <w:style w:type="paragraph" w:styleId="af3">
    <w:name w:val="No Spacing"/>
    <w:uiPriority w:val="1"/>
    <w:qFormat/>
    <w:rPr>
      <w:sz w:val="22"/>
      <w:szCs w:val="22"/>
      <w:lang w:eastAsia="en-US" w:bidi="en-US"/>
    </w:rPr>
  </w:style>
  <w:style w:type="paragraph" w:styleId="af4">
    <w:name w:val="List Paragraph"/>
    <w:basedOn w:val="a"/>
    <w:uiPriority w:val="34"/>
    <w:qFormat/>
    <w:pPr>
      <w:ind w:left="720"/>
      <w:contextualSpacing/>
    </w:pPr>
  </w:style>
  <w:style w:type="paragraph" w:styleId="ad">
    <w:name w:val="Quote"/>
    <w:basedOn w:val="a"/>
    <w:next w:val="a"/>
    <w:link w:val="Char2"/>
    <w:uiPriority w:val="29"/>
    <w:qFormat/>
    <w:rPr>
      <w:i/>
      <w:iCs/>
      <w:color w:val="000000"/>
      <w:sz w:val="20"/>
      <w:szCs w:val="20"/>
      <w:lang w:bidi="ar-SA"/>
    </w:rPr>
  </w:style>
  <w:style w:type="paragraph" w:styleId="af0">
    <w:name w:val="Intense Quote"/>
    <w:basedOn w:val="a"/>
    <w:next w:val="a"/>
    <w:link w:val="Char5"/>
    <w:uiPriority w:val="30"/>
    <w:qFormat/>
    <w:pPr>
      <w:pBdr>
        <w:bottom w:val="single" w:sz="4" w:space="4" w:color="4F81BD"/>
      </w:pBdr>
      <w:spacing w:before="200" w:after="280"/>
      <w:ind w:left="936" w:right="936"/>
    </w:pPr>
    <w:rPr>
      <w:b/>
      <w:bCs/>
      <w:i/>
      <w:iCs/>
      <w:color w:val="4F81BD"/>
      <w:sz w:val="20"/>
      <w:szCs w:val="20"/>
      <w:lang w:bidi="ar-SA"/>
    </w:rPr>
  </w:style>
  <w:style w:type="paragraph" w:styleId="TOC">
    <w:name w:val="TOC Heading"/>
    <w:basedOn w:val="1"/>
    <w:next w:val="a"/>
    <w:uiPriority w:val="39"/>
    <w:qFormat/>
    <w:pPr>
      <w:outlineLvl w:val="9"/>
    </w:p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Words>
  <Characters>342</Characters>
  <Application>Microsoft Office Word</Application>
  <DocSecurity>0</DocSecurity>
  <Lines>2</Lines>
  <Paragraphs>1</Paragraphs>
  <ScaleCrop>false</ScaleCrop>
  <Company>Lenovo</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邢韦庚</cp:lastModifiedBy>
  <cp:revision>3</cp:revision>
  <cp:lastPrinted>2018-01-15T03:33:00Z</cp:lastPrinted>
  <dcterms:created xsi:type="dcterms:W3CDTF">2021-01-21T01:27:00Z</dcterms:created>
  <dcterms:modified xsi:type="dcterms:W3CDTF">2021-01-21T05:46:00Z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