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70" w:rsidRDefault="00EB6870" w:rsidP="00EB6870"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sz w:val="44"/>
          <w:szCs w:val="44"/>
        </w:rPr>
        <w:t>2020年1-9月朝阳区主要经济指标数据</w:t>
      </w:r>
    </w:p>
    <w:p w:rsidR="00EB6870" w:rsidRDefault="00EB6870" w:rsidP="00EB6870">
      <w:pPr>
        <w:spacing w:line="480" w:lineRule="auto"/>
        <w:ind w:firstLineChars="200" w:firstLine="560"/>
        <w:rPr>
          <w:rFonts w:hint="eastAsia"/>
          <w:sz w:val="28"/>
          <w:szCs w:val="28"/>
        </w:rPr>
      </w:pPr>
    </w:p>
    <w:p w:rsidR="00EB6870" w:rsidRDefault="00EB6870" w:rsidP="00EB6870">
      <w:pPr>
        <w:adjustRightInd w:val="0"/>
        <w:spacing w:line="48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．</w:t>
      </w:r>
      <w:r>
        <w:rPr>
          <w:rFonts w:hAnsi="宋体" w:hint="eastAsia"/>
          <w:b/>
          <w:sz w:val="28"/>
          <w:szCs w:val="28"/>
        </w:rPr>
        <w:t>工业生产</w:t>
      </w:r>
    </w:p>
    <w:p w:rsidR="00EB6870" w:rsidRDefault="00EB6870" w:rsidP="00EB6870">
      <w:pPr>
        <w:adjustRightInd w:val="0"/>
        <w:spacing w:line="480" w:lineRule="auto"/>
        <w:ind w:firstLineChars="200" w:firstLine="560"/>
      </w:pPr>
      <w:r>
        <w:rPr>
          <w:rFonts w:ascii="宋体" w:hAnsi="宋体" w:cs="宋体" w:hint="eastAsia"/>
          <w:sz w:val="28"/>
          <w:szCs w:val="28"/>
        </w:rPr>
        <w:t>1-9月，朝阳区实现规模以上工业总产值522.5亿元，同比</w:t>
      </w:r>
      <w:r>
        <w:rPr>
          <w:rFonts w:ascii="宋体" w:hAnsi="宋体" w:cs="宋体" w:hint="eastAsia"/>
          <w:color w:val="000000"/>
          <w:sz w:val="28"/>
          <w:szCs w:val="28"/>
        </w:rPr>
        <w:t>下降6.4%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color w:val="000000"/>
          <w:sz w:val="28"/>
          <w:szCs w:val="28"/>
        </w:rPr>
        <w:t>分行业看，1-9月，在25个工业大类行业中，9个行业产值同比增长，15个行业同比下降，1个行业与同期持平。</w:t>
      </w:r>
    </w:p>
    <w:p w:rsidR="00EB6870" w:rsidRDefault="00EB6870" w:rsidP="00EB6870">
      <w:pPr>
        <w:spacing w:line="480" w:lineRule="auto"/>
        <w:jc w:val="center"/>
        <w:rPr>
          <w:rFonts w:asciiTheme="minorEastAsia" w:eastAsiaTheme="minorEastAsia" w:hAnsiTheme="minorEastAsia"/>
          <w:b/>
          <w:w w:val="9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w w:val="90"/>
          <w:sz w:val="28"/>
          <w:szCs w:val="28"/>
        </w:rPr>
        <w:t>图1  2019年2月至2020年9月规模以上工业总产值累计增速（%）</w:t>
      </w:r>
    </w:p>
    <w:p w:rsidR="00EB6870" w:rsidRDefault="00EB6870" w:rsidP="00EB6870">
      <w:pPr>
        <w:spacing w:line="480" w:lineRule="auto"/>
        <w:jc w:val="center"/>
        <w:rPr>
          <w:rFonts w:eastAsia="仿宋_GB2312" w:hint="eastAsia"/>
          <w:b/>
          <w:w w:val="90"/>
          <w:sz w:val="28"/>
          <w:szCs w:val="28"/>
        </w:rPr>
      </w:pPr>
      <w:r>
        <w:rPr>
          <w:noProof/>
        </w:rPr>
        <w:drawing>
          <wp:inline distT="0" distB="0" distL="0" distR="0">
            <wp:extent cx="5276850" cy="2962275"/>
            <wp:effectExtent l="0" t="0" r="0" b="0"/>
            <wp:docPr id="6" name="图片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6870" w:rsidRDefault="00EB6870" w:rsidP="00EB6870">
      <w:pPr>
        <w:adjustRightInd w:val="0"/>
        <w:spacing w:line="48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2．固定资产投资</w:t>
      </w:r>
    </w:p>
    <w:p w:rsidR="00EB6870" w:rsidRDefault="00EB6870" w:rsidP="00EB6870">
      <w:pPr>
        <w:adjustRightInd w:val="0"/>
        <w:spacing w:line="48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1-9月，朝阳区固定资产投资（不含农户）同比下降</w:t>
      </w:r>
      <w:r>
        <w:rPr>
          <w:rFonts w:ascii="宋体" w:hAnsi="宋体" w:cs="宋体" w:hint="eastAsia"/>
          <w:kern w:val="0"/>
          <w:sz w:val="28"/>
          <w:szCs w:val="28"/>
        </w:rPr>
        <w:t>16.5%。</w:t>
      </w:r>
      <w:r>
        <w:rPr>
          <w:rFonts w:ascii="宋体" w:hAnsi="宋体" w:cs="宋体" w:hint="eastAsia"/>
          <w:sz w:val="28"/>
          <w:szCs w:val="28"/>
        </w:rPr>
        <w:t>其中，房地产开发投资同比下降</w:t>
      </w:r>
      <w:r>
        <w:rPr>
          <w:rFonts w:ascii="宋体" w:hAnsi="宋体" w:cs="宋体" w:hint="eastAsia"/>
          <w:sz w:val="28"/>
          <w:szCs w:val="32"/>
        </w:rPr>
        <w:t>15.6%。</w:t>
      </w:r>
    </w:p>
    <w:p w:rsidR="00EB6870" w:rsidRDefault="00EB6870" w:rsidP="00EB6870">
      <w:pPr>
        <w:spacing w:line="480" w:lineRule="auto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图2  2019年2月至2020年9月固定资产投资（不含农户）</w:t>
      </w:r>
    </w:p>
    <w:p w:rsidR="00EB6870" w:rsidRDefault="00EB6870" w:rsidP="00EB6870">
      <w:pPr>
        <w:spacing w:line="480" w:lineRule="auto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累计增速（%）</w:t>
      </w:r>
    </w:p>
    <w:p w:rsidR="00EB6870" w:rsidRDefault="00EB6870" w:rsidP="00EB6870">
      <w:pPr>
        <w:spacing w:line="480" w:lineRule="auto"/>
        <w:jc w:val="center"/>
        <w:rPr>
          <w:rFonts w:eastAsia="仿宋_GB2312" w:hint="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34050" cy="2943225"/>
            <wp:effectExtent l="0" t="0" r="0" b="0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6870" w:rsidRDefault="00EB6870" w:rsidP="00EB6870">
      <w:pPr>
        <w:adjustRightInd w:val="0"/>
        <w:spacing w:line="48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3．消费品市场</w:t>
      </w:r>
    </w:p>
    <w:p w:rsidR="00EB6870" w:rsidRDefault="00EB6870" w:rsidP="00EB6870">
      <w:pPr>
        <w:adjustRightInd w:val="0"/>
        <w:spacing w:line="48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1-9月，朝阳区实现社会消费品零售额2253.8亿元，同比下降12.5%。</w:t>
      </w:r>
    </w:p>
    <w:p w:rsidR="00EB6870" w:rsidRDefault="00EB6870" w:rsidP="00EB6870">
      <w:pPr>
        <w:spacing w:line="480" w:lineRule="auto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图3  2019年2月至2020年9月社会消费品零售额累计增速（%）</w:t>
      </w:r>
    </w:p>
    <w:p w:rsidR="00EB6870" w:rsidRDefault="00EB6870" w:rsidP="00EB6870">
      <w:pPr>
        <w:spacing w:line="48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610225" cy="3009900"/>
            <wp:effectExtent l="0" t="0" r="0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6870" w:rsidRDefault="00EB6870" w:rsidP="00EB6870">
      <w:pPr>
        <w:widowControl/>
        <w:adjustRightInd w:val="0"/>
        <w:spacing w:line="480" w:lineRule="auto"/>
        <w:ind w:firstLineChars="200" w:firstLine="562"/>
        <w:jc w:val="left"/>
        <w:rPr>
          <w:rFonts w:ascii="宋体" w:hAnsi="宋体" w:cs="宋体"/>
          <w:b/>
          <w:color w:val="000000"/>
          <w:kern w:val="0"/>
          <w:sz w:val="28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1"/>
        </w:rPr>
        <w:t>4.居民收入</w:t>
      </w:r>
    </w:p>
    <w:p w:rsidR="00D01576" w:rsidRPr="00EB6870" w:rsidRDefault="00EB6870" w:rsidP="00EB6870">
      <w:pPr>
        <w:widowControl/>
        <w:adjustRightInd w:val="0"/>
        <w:spacing w:line="48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1"/>
        </w:rPr>
      </w:pPr>
      <w:r>
        <w:rPr>
          <w:rFonts w:ascii="宋体" w:hAnsi="宋体" w:cs="宋体" w:hint="eastAsia"/>
          <w:color w:val="000000"/>
          <w:kern w:val="0"/>
          <w:sz w:val="28"/>
          <w:szCs w:val="21"/>
        </w:rPr>
        <w:t>1-3季度，朝阳区居民人均可支配收入为58329元，同比增长1.7%。</w:t>
      </w:r>
    </w:p>
    <w:sectPr w:rsidR="00D01576" w:rsidRPr="00EB6870" w:rsidSect="00D01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870" w:rsidRDefault="00EB6870" w:rsidP="00EB6870">
      <w:r>
        <w:separator/>
      </w:r>
    </w:p>
  </w:endnote>
  <w:endnote w:type="continuationSeparator" w:id="1">
    <w:p w:rsidR="00EB6870" w:rsidRDefault="00EB6870" w:rsidP="00EB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870" w:rsidRDefault="00EB6870" w:rsidP="00EB6870">
      <w:r>
        <w:separator/>
      </w:r>
    </w:p>
  </w:footnote>
  <w:footnote w:type="continuationSeparator" w:id="1">
    <w:p w:rsidR="00EB6870" w:rsidRDefault="00EB6870" w:rsidP="00EB6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1E5"/>
    <w:rsid w:val="00007353"/>
    <w:rsid w:val="000243C9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668C1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79B"/>
    <w:rsid w:val="003415F7"/>
    <w:rsid w:val="00350B0C"/>
    <w:rsid w:val="00387D81"/>
    <w:rsid w:val="00396857"/>
    <w:rsid w:val="003B7401"/>
    <w:rsid w:val="003E7FE2"/>
    <w:rsid w:val="00414248"/>
    <w:rsid w:val="00476212"/>
    <w:rsid w:val="004A5B2D"/>
    <w:rsid w:val="004D4457"/>
    <w:rsid w:val="004E63F0"/>
    <w:rsid w:val="00504E29"/>
    <w:rsid w:val="00506056"/>
    <w:rsid w:val="00513146"/>
    <w:rsid w:val="005A5A04"/>
    <w:rsid w:val="005B0CC7"/>
    <w:rsid w:val="005D4ACA"/>
    <w:rsid w:val="005E2D49"/>
    <w:rsid w:val="005F1B70"/>
    <w:rsid w:val="00603CAD"/>
    <w:rsid w:val="006812BB"/>
    <w:rsid w:val="00686AAD"/>
    <w:rsid w:val="006B7F69"/>
    <w:rsid w:val="006C07C9"/>
    <w:rsid w:val="006D6919"/>
    <w:rsid w:val="006E3080"/>
    <w:rsid w:val="006F0B88"/>
    <w:rsid w:val="006F1078"/>
    <w:rsid w:val="006F5391"/>
    <w:rsid w:val="00700E51"/>
    <w:rsid w:val="0070407B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1A7E"/>
    <w:rsid w:val="00901126"/>
    <w:rsid w:val="00903824"/>
    <w:rsid w:val="009415C3"/>
    <w:rsid w:val="00951E9F"/>
    <w:rsid w:val="00954469"/>
    <w:rsid w:val="00974BC9"/>
    <w:rsid w:val="00984BE8"/>
    <w:rsid w:val="009A7B0C"/>
    <w:rsid w:val="009D2207"/>
    <w:rsid w:val="00A32187"/>
    <w:rsid w:val="00A4702D"/>
    <w:rsid w:val="00A506E1"/>
    <w:rsid w:val="00A62620"/>
    <w:rsid w:val="00A73BA4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93D8D"/>
    <w:rsid w:val="00B95F67"/>
    <w:rsid w:val="00BE29F5"/>
    <w:rsid w:val="00BF6415"/>
    <w:rsid w:val="00C21C9F"/>
    <w:rsid w:val="00C2780C"/>
    <w:rsid w:val="00C307FA"/>
    <w:rsid w:val="00C5150E"/>
    <w:rsid w:val="00C668AA"/>
    <w:rsid w:val="00C87CFF"/>
    <w:rsid w:val="00CA0F2A"/>
    <w:rsid w:val="00CA57E3"/>
    <w:rsid w:val="00CC498C"/>
    <w:rsid w:val="00D01576"/>
    <w:rsid w:val="00D168DA"/>
    <w:rsid w:val="00D3467D"/>
    <w:rsid w:val="00D61D76"/>
    <w:rsid w:val="00D828D2"/>
    <w:rsid w:val="00D945BD"/>
    <w:rsid w:val="00DA66A2"/>
    <w:rsid w:val="00DA7AEA"/>
    <w:rsid w:val="00DB44A5"/>
    <w:rsid w:val="00DC407B"/>
    <w:rsid w:val="00DD556C"/>
    <w:rsid w:val="00E27B7F"/>
    <w:rsid w:val="00E31FC2"/>
    <w:rsid w:val="00E61DF0"/>
    <w:rsid w:val="00E63694"/>
    <w:rsid w:val="00E63D44"/>
    <w:rsid w:val="00E7033D"/>
    <w:rsid w:val="00EB6870"/>
    <w:rsid w:val="00F20415"/>
    <w:rsid w:val="00F453DA"/>
    <w:rsid w:val="00F46B15"/>
    <w:rsid w:val="00F57CA3"/>
    <w:rsid w:val="00FA3E35"/>
    <w:rsid w:val="00FC0729"/>
    <w:rsid w:val="00FC4B2A"/>
    <w:rsid w:val="00FC63D3"/>
    <w:rsid w:val="00FD2E5E"/>
    <w:rsid w:val="00FE3B32"/>
    <w:rsid w:val="00FE75BD"/>
    <w:rsid w:val="00FF266F"/>
    <w:rsid w:val="0F300AA8"/>
    <w:rsid w:val="17FC7A16"/>
    <w:rsid w:val="1DB910A3"/>
    <w:rsid w:val="35C76843"/>
    <w:rsid w:val="5FC168D6"/>
    <w:rsid w:val="622460C0"/>
    <w:rsid w:val="6381531C"/>
    <w:rsid w:val="6CA51E10"/>
    <w:rsid w:val="700A7771"/>
    <w:rsid w:val="7A5C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57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01576"/>
    <w:rPr>
      <w:sz w:val="18"/>
      <w:szCs w:val="18"/>
    </w:rPr>
  </w:style>
  <w:style w:type="paragraph" w:styleId="a4">
    <w:name w:val="footer"/>
    <w:basedOn w:val="a"/>
    <w:link w:val="Char0"/>
    <w:qFormat/>
    <w:rsid w:val="00D0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0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D01576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D0157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015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0&#24180;&#20449;&#24687;&#20998;&#26512;&#37319;&#30331;&#24773;&#20917;\&#22806;&#32593;&#20449;&#24687;\&#22806;&#32593;&#20449;&#24687;&#22270;%20-%20&#21103;&#26412;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0&#24180;&#20449;&#24687;&#20998;&#26512;&#37319;&#30331;&#24773;&#20917;\&#22806;&#32593;&#20449;&#24687;\&#22806;&#32593;&#20449;&#24687;&#22270;%20-%20&#21103;&#26412;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0&#24180;&#20449;&#24687;&#20998;&#26512;&#37319;&#30331;&#24773;&#20917;\&#22806;&#32593;&#20449;&#24687;\&#22806;&#32593;&#20449;&#24687;&#22270;%20-%20&#21103;&#26412;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6.1256340226297307E-2"/>
          <c:y val="7.243004069238769E-2"/>
          <c:w val="0.90050721810378542"/>
          <c:h val="0.75969813319210988"/>
        </c:manualLayout>
      </c:layout>
      <c:lineChart>
        <c:grouping val="standard"/>
        <c:ser>
          <c:idx val="0"/>
          <c:order val="0"/>
          <c:tx>
            <c:strRef>
              <c:f>'[外网信息图 - 副本n.xlsx]工业'!$C$1</c:f>
              <c:strCache>
                <c:ptCount val="1"/>
                <c:pt idx="0">
                  <c:v>规模以上现价工业总产值增速</c:v>
                </c:pt>
              </c:strCache>
            </c:strRef>
          </c:tx>
          <c:spPr>
            <a:ln w="28575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chemeClr val="tx1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spPr>
              <a:ln w="28575" cap="rnd" cmpd="sng" algn="ctr">
                <a:noFill/>
                <a:prstDash val="solid"/>
                <a:round/>
              </a:ln>
            </c:spPr>
          </c:dPt>
          <c:cat>
            <c:multiLvlStrRef>
              <c:f>'[外网信息图 - 副本n.xlsx]工业'!$A$57:$B$75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2019年</c:v>
                  </c:pt>
                  <c:pt idx="11">
                    <c:v>2020年</c:v>
                  </c:pt>
                </c:lvl>
              </c:multiLvlStrCache>
            </c:multiLvlStrRef>
          </c:cat>
          <c:val>
            <c:numRef>
              <c:f>'[外网信息图 - 副本n.xlsx]工业'!$C$57:$C$75</c:f>
              <c:numCache>
                <c:formatCode>0.0_ </c:formatCode>
                <c:ptCount val="19"/>
                <c:pt idx="0">
                  <c:v>10.3</c:v>
                </c:pt>
                <c:pt idx="1">
                  <c:v>8.7000000000000011</c:v>
                </c:pt>
                <c:pt idx="2">
                  <c:v>6.3</c:v>
                </c:pt>
                <c:pt idx="3">
                  <c:v>5.4</c:v>
                </c:pt>
                <c:pt idx="4">
                  <c:v>3.6</c:v>
                </c:pt>
                <c:pt idx="5">
                  <c:v>3.4</c:v>
                </c:pt>
                <c:pt idx="6">
                  <c:v>1.9000000000000001</c:v>
                </c:pt>
                <c:pt idx="7">
                  <c:v>3</c:v>
                </c:pt>
                <c:pt idx="8">
                  <c:v>5</c:v>
                </c:pt>
                <c:pt idx="9">
                  <c:v>3.3</c:v>
                </c:pt>
                <c:pt idx="10">
                  <c:v>2.5</c:v>
                </c:pt>
                <c:pt idx="11">
                  <c:v>-12.5</c:v>
                </c:pt>
                <c:pt idx="12">
                  <c:v>-11</c:v>
                </c:pt>
                <c:pt idx="13">
                  <c:v>-7.6</c:v>
                </c:pt>
                <c:pt idx="14">
                  <c:v>-7.7</c:v>
                </c:pt>
                <c:pt idx="15">
                  <c:v>-6.2</c:v>
                </c:pt>
                <c:pt idx="16">
                  <c:v>-6.3</c:v>
                </c:pt>
                <c:pt idx="17">
                  <c:v>-6.1</c:v>
                </c:pt>
                <c:pt idx="18">
                  <c:v>-6.4</c:v>
                </c:pt>
              </c:numCache>
            </c:numRef>
          </c:val>
        </c:ser>
        <c:marker val="1"/>
        <c:axId val="122352768"/>
        <c:axId val="122354304"/>
      </c:lineChart>
      <c:catAx>
        <c:axId val="122352768"/>
        <c:scaling>
          <c:orientation val="minMax"/>
        </c:scaling>
        <c:axPos val="b"/>
        <c:numFmt formatCode="#,##0.00;\-#,##0.00" sourceLinked="0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2354304"/>
        <c:crossesAt val="0"/>
        <c:auto val="1"/>
        <c:lblAlgn val="ctr"/>
        <c:lblOffset val="100"/>
        <c:tickLblSkip val="1"/>
      </c:catAx>
      <c:valAx>
        <c:axId val="122354304"/>
        <c:scaling>
          <c:orientation val="minMax"/>
        </c:scaling>
        <c:axPos val="l"/>
        <c:numFmt formatCode="0.0_ 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2352768"/>
        <c:crosses val="autoZero"/>
        <c:crossBetween val="midCat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9.2702588035638495E-2"/>
          <c:y val="3.87630041328203E-2"/>
          <c:w val="0.87812897751379004"/>
          <c:h val="0.67698446629613873"/>
        </c:manualLayout>
      </c:layout>
      <c:lineChart>
        <c:grouping val="standard"/>
        <c:ser>
          <c:idx val="0"/>
          <c:order val="0"/>
          <c:spPr>
            <a:ln w="25400" cap="rnd" cmpd="sng" algn="ctr">
              <a:solidFill>
                <a:prstClr val="black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</c:spPr>
          </c:marker>
          <c:dPt>
            <c:idx val="11"/>
            <c:spPr>
              <a:ln w="25400" cap="rnd" cmpd="sng" algn="ctr">
                <a:noFill/>
                <a:prstDash val="solid"/>
                <a:round/>
              </a:ln>
            </c:spPr>
          </c:dPt>
          <c:cat>
            <c:multiLvlStrRef>
              <c:f>'[外网信息图 - 副本n.xlsx]投资'!$A$57:$B$75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2019年</c:v>
                  </c:pt>
                  <c:pt idx="11">
                    <c:v>2020年</c:v>
                  </c:pt>
                </c:lvl>
              </c:multiLvlStrCache>
            </c:multiLvlStrRef>
          </c:cat>
          <c:val>
            <c:numRef>
              <c:f>'[外网信息图 - 副本n.xlsx]投资'!$C$57:$C$75</c:f>
              <c:numCache>
                <c:formatCode>0.0_ </c:formatCode>
                <c:ptCount val="19"/>
                <c:pt idx="0">
                  <c:v>21.1</c:v>
                </c:pt>
                <c:pt idx="1">
                  <c:v>23.2</c:v>
                </c:pt>
                <c:pt idx="2">
                  <c:v>0.30000000000000021</c:v>
                </c:pt>
                <c:pt idx="3">
                  <c:v>-10</c:v>
                </c:pt>
                <c:pt idx="4">
                  <c:v>1.9000000000000001</c:v>
                </c:pt>
                <c:pt idx="5">
                  <c:v>4.4000000000000004</c:v>
                </c:pt>
                <c:pt idx="6">
                  <c:v>-1.8</c:v>
                </c:pt>
                <c:pt idx="7">
                  <c:v>-6.5</c:v>
                </c:pt>
                <c:pt idx="8">
                  <c:v>-9.6</c:v>
                </c:pt>
                <c:pt idx="9">
                  <c:v>-5.7</c:v>
                </c:pt>
                <c:pt idx="10">
                  <c:v>-8.6</c:v>
                </c:pt>
                <c:pt idx="11">
                  <c:v>-23.4</c:v>
                </c:pt>
                <c:pt idx="12" formatCode="General">
                  <c:v>-16.600000000000001</c:v>
                </c:pt>
                <c:pt idx="13">
                  <c:v>-15</c:v>
                </c:pt>
                <c:pt idx="14" formatCode="General">
                  <c:v>-25.5</c:v>
                </c:pt>
                <c:pt idx="15" formatCode="General">
                  <c:v>-10.4</c:v>
                </c:pt>
                <c:pt idx="16" formatCode="General">
                  <c:v>-16.7</c:v>
                </c:pt>
                <c:pt idx="17" formatCode="General">
                  <c:v>-18.100000000000001</c:v>
                </c:pt>
                <c:pt idx="18" formatCode="General">
                  <c:v>-16.5</c:v>
                </c:pt>
              </c:numCache>
            </c:numRef>
          </c:val>
        </c:ser>
        <c:marker val="1"/>
        <c:axId val="75303168"/>
        <c:axId val="122000896"/>
      </c:lineChart>
      <c:catAx>
        <c:axId val="75303168"/>
        <c:scaling>
          <c:orientation val="minMax"/>
        </c:scaling>
        <c:axPos val="b"/>
        <c:tickLblPos val="low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2000896"/>
        <c:crosses val="autoZero"/>
        <c:auto val="1"/>
        <c:lblAlgn val="ctr"/>
        <c:lblOffset val="100"/>
      </c:catAx>
      <c:valAx>
        <c:axId val="122000896"/>
        <c:scaling>
          <c:orientation val="minMax"/>
        </c:scaling>
        <c:axPos val="l"/>
        <c:numFmt formatCode="0.0_ 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530316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8.3245025314965373E-2"/>
          <c:y val="5.4057412700385242E-2"/>
          <c:w val="0.89815141881549554"/>
          <c:h val="0.70739405989809945"/>
        </c:manualLayout>
      </c:layout>
      <c:lineChart>
        <c:grouping val="standard"/>
        <c:ser>
          <c:idx val="0"/>
          <c:order val="0"/>
          <c:spPr>
            <a:ln w="28575" cap="rnd" cmpd="sng" algn="ctr">
              <a:solidFill>
                <a:prstClr val="black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spPr>
              <a:ln w="28575" cap="rnd" cmpd="sng" algn="ctr">
                <a:noFill/>
                <a:prstDash val="solid"/>
                <a:round/>
              </a:ln>
            </c:spPr>
          </c:dPt>
          <c:cat>
            <c:multiLvlStrRef>
              <c:f>'[外网信息图 - 副本n.xlsx]零售额'!$A$57:$B$75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2019年</c:v>
                  </c:pt>
                  <c:pt idx="11">
                    <c:v>2020年</c:v>
                  </c:pt>
                </c:lvl>
              </c:multiLvlStrCache>
            </c:multiLvlStrRef>
          </c:cat>
          <c:val>
            <c:numRef>
              <c:f>'[外网信息图 - 副本n.xlsx]零售额'!$C$57:$C$75</c:f>
              <c:numCache>
                <c:formatCode>0.0_ </c:formatCode>
                <c:ptCount val="19"/>
                <c:pt idx="0">
                  <c:v>2.4</c:v>
                </c:pt>
                <c:pt idx="1">
                  <c:v>3.1</c:v>
                </c:pt>
                <c:pt idx="2">
                  <c:v>4.3</c:v>
                </c:pt>
                <c:pt idx="3">
                  <c:v>4.4000000000000004</c:v>
                </c:pt>
                <c:pt idx="4">
                  <c:v>4.7</c:v>
                </c:pt>
                <c:pt idx="5">
                  <c:v>4.7</c:v>
                </c:pt>
                <c:pt idx="6">
                  <c:v>4.5</c:v>
                </c:pt>
                <c:pt idx="7">
                  <c:v>4</c:v>
                </c:pt>
                <c:pt idx="8">
                  <c:v>4.0999999999999996</c:v>
                </c:pt>
                <c:pt idx="9">
                  <c:v>4.3</c:v>
                </c:pt>
                <c:pt idx="10">
                  <c:v>3.5</c:v>
                </c:pt>
                <c:pt idx="11">
                  <c:v>-18.8</c:v>
                </c:pt>
                <c:pt idx="12">
                  <c:v>-22.9</c:v>
                </c:pt>
                <c:pt idx="13">
                  <c:v>-21.6</c:v>
                </c:pt>
                <c:pt idx="14">
                  <c:v>-18.600000000000001</c:v>
                </c:pt>
                <c:pt idx="15">
                  <c:v>-16.600000000000001</c:v>
                </c:pt>
                <c:pt idx="16">
                  <c:v>-15.7</c:v>
                </c:pt>
                <c:pt idx="17">
                  <c:v>-13.8</c:v>
                </c:pt>
                <c:pt idx="18">
                  <c:v>-12.5</c:v>
                </c:pt>
              </c:numCache>
            </c:numRef>
          </c:val>
        </c:ser>
        <c:marker val="1"/>
        <c:axId val="73384704"/>
        <c:axId val="73386240"/>
      </c:lineChart>
      <c:catAx>
        <c:axId val="73384704"/>
        <c:scaling>
          <c:orientation val="minMax"/>
        </c:scaling>
        <c:axPos val="b"/>
        <c:numFmt formatCode="#,##0.00;[Red]\-#,##0.00" sourceLinked="0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386240"/>
        <c:crosses val="autoZero"/>
        <c:auto val="1"/>
        <c:lblAlgn val="ctr"/>
        <c:lblOffset val="100"/>
      </c:catAx>
      <c:valAx>
        <c:axId val="73386240"/>
        <c:scaling>
          <c:orientation val="minMax"/>
        </c:scaling>
        <c:axPos val="l"/>
        <c:numFmt formatCode="0.0_ 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384704"/>
        <c:crosses val="autoZero"/>
        <c:crossBetween val="between"/>
      </c:valAx>
    </c:plotArea>
    <c:plotVisOnly val="1"/>
    <c:dispBlanksAs val="gap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972AB3-0B5A-4D70-915A-69439C02FE3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Lenovo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黄桂俊</dc:creator>
  <cp:lastModifiedBy>黄桂俊</cp:lastModifiedBy>
  <cp:revision>54</cp:revision>
  <cp:lastPrinted>2018-03-16T09:02:00Z</cp:lastPrinted>
  <dcterms:created xsi:type="dcterms:W3CDTF">2014-03-17T02:07:00Z</dcterms:created>
  <dcterms:modified xsi:type="dcterms:W3CDTF">2020-10-22T08:25:00Z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