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101B" w:rsidRDefault="003C101B" w:rsidP="003C101B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r w:rsidRPr="0031014B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</w:t>
      </w:r>
      <w:r w:rsidR="006218BD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</w:t>
      </w:r>
      <w:r w:rsidRPr="0031014B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年度朝阳区社会发展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科技</w:t>
      </w:r>
      <w:r w:rsidRPr="0031014B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计划</w:t>
      </w:r>
      <w:r w:rsidR="006218BD" w:rsidRPr="006218BD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（节能环保、城市管理与社会建设领域）</w:t>
      </w:r>
      <w:r w:rsidRPr="0031014B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拟立项项目名单</w:t>
      </w:r>
    </w:p>
    <w:bookmarkEnd w:id="0"/>
    <w:p w:rsidR="003C101B" w:rsidRPr="00D8244C" w:rsidRDefault="003C101B" w:rsidP="003C101B"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18"/>
          <w:szCs w:val="18"/>
        </w:rPr>
      </w:pP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4031"/>
        <w:gridCol w:w="3828"/>
      </w:tblGrid>
      <w:tr w:rsidR="003C101B" w:rsidRPr="003C101B" w:rsidTr="003C101B">
        <w:trPr>
          <w:trHeight w:val="567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:rsidR="003C101B" w:rsidRPr="003C101B" w:rsidRDefault="003C101B" w:rsidP="003C10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3C101B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031" w:type="dxa"/>
            <w:shd w:val="clear" w:color="auto" w:fill="auto"/>
            <w:noWrap/>
            <w:vAlign w:val="center"/>
            <w:hideMark/>
          </w:tcPr>
          <w:p w:rsidR="003C101B" w:rsidRPr="003C101B" w:rsidRDefault="003C101B" w:rsidP="003C101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C101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3C101B" w:rsidRPr="003C101B" w:rsidRDefault="003C101B" w:rsidP="003C101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3C101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申报单位</w:t>
            </w:r>
          </w:p>
        </w:tc>
      </w:tr>
      <w:tr w:rsidR="00605B72" w:rsidRPr="003C101B" w:rsidTr="003C101B">
        <w:trPr>
          <w:trHeight w:val="567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05B72" w:rsidRPr="003C101B" w:rsidRDefault="00605B72" w:rsidP="003C10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C101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复杂曲面玻璃幕墙智能清洗机器人研究与示范应用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北京国家速滑馆经营有限责任公司</w:t>
            </w:r>
          </w:p>
        </w:tc>
      </w:tr>
      <w:tr w:rsidR="00605B72" w:rsidRPr="003C101B" w:rsidTr="003C101B">
        <w:trPr>
          <w:trHeight w:val="567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05B72" w:rsidRPr="003C101B" w:rsidRDefault="00605B72" w:rsidP="003C10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C101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冬奥场馆周边及廊道冬季植物景观提升及管护技术研究与示范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北京市朝阳区园林绿化局、北京市园林科学研究院</w:t>
            </w:r>
          </w:p>
        </w:tc>
      </w:tr>
      <w:tr w:rsidR="00605B72" w:rsidRPr="003C101B" w:rsidTr="003C101B">
        <w:trPr>
          <w:trHeight w:val="567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05B72" w:rsidRPr="003C101B" w:rsidRDefault="00605B72" w:rsidP="003C10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C101B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北京冬奥村钢结构住宅关键技术研究与应用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北京北投置业有限公司</w:t>
            </w:r>
          </w:p>
        </w:tc>
      </w:tr>
      <w:tr w:rsidR="00605B72" w:rsidRPr="003C101B" w:rsidTr="003C101B">
        <w:trPr>
          <w:trHeight w:val="567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05B72" w:rsidRPr="003C101B" w:rsidRDefault="00605B72" w:rsidP="003C10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C101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北京奥林匹克公园公共区域人群态势监测与预警系统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北京奥林匹克公园管理委员会</w:t>
            </w:r>
          </w:p>
        </w:tc>
      </w:tr>
      <w:tr w:rsidR="00605B72" w:rsidRPr="003C101B" w:rsidTr="003C101B">
        <w:trPr>
          <w:trHeight w:val="567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05B72" w:rsidRPr="003C101B" w:rsidRDefault="00605B72" w:rsidP="003C10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C101B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既有实验建筑能量回收关键适用技术研究及示范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中国计量科学研究院</w:t>
            </w:r>
          </w:p>
        </w:tc>
      </w:tr>
      <w:tr w:rsidR="00605B72" w:rsidRPr="003C101B" w:rsidTr="003C101B">
        <w:trPr>
          <w:trHeight w:val="567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05B72" w:rsidRPr="003C101B" w:rsidRDefault="00605B72" w:rsidP="003C10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C101B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垃圾处理设施恶臭气体在线监测与装备研发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05B72" w:rsidRDefault="00605B72" w:rsidP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北京市朝阳循环经济产业园管理中心</w:t>
            </w:r>
          </w:p>
        </w:tc>
      </w:tr>
      <w:tr w:rsidR="00605B72" w:rsidRPr="003C101B" w:rsidTr="003C101B">
        <w:trPr>
          <w:trHeight w:val="567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05B72" w:rsidRPr="003C101B" w:rsidRDefault="00605B72" w:rsidP="003C10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C101B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朝阳区地表水环境天地一体化监测体系研究与应用（二期）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北京市朝阳区环境保护监测站、北京地</w:t>
            </w:r>
            <w:proofErr w:type="gramStart"/>
            <w:r>
              <w:rPr>
                <w:rFonts w:hint="eastAsia"/>
                <w:sz w:val="20"/>
                <w:szCs w:val="20"/>
              </w:rPr>
              <w:t>拓科技</w:t>
            </w:r>
            <w:proofErr w:type="gramEnd"/>
            <w:r>
              <w:rPr>
                <w:rFonts w:hint="eastAsia"/>
                <w:sz w:val="20"/>
                <w:szCs w:val="20"/>
              </w:rPr>
              <w:t>发展有限公司</w:t>
            </w:r>
          </w:p>
        </w:tc>
      </w:tr>
      <w:tr w:rsidR="00605B72" w:rsidRPr="003C101B" w:rsidTr="003C101B">
        <w:trPr>
          <w:trHeight w:val="567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05B72" w:rsidRPr="003C101B" w:rsidRDefault="00605B72" w:rsidP="003C10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C101B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雨水回用技术在老旧小区海绵城市改造中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的应用研究与示范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北京市朝阳区水</w:t>
            </w:r>
            <w:proofErr w:type="gramStart"/>
            <w:r>
              <w:rPr>
                <w:rFonts w:hint="eastAsia"/>
                <w:sz w:val="20"/>
                <w:szCs w:val="20"/>
              </w:rPr>
              <w:t>务</w:t>
            </w:r>
            <w:proofErr w:type="gramEnd"/>
            <w:r>
              <w:rPr>
                <w:rFonts w:hint="eastAsia"/>
                <w:sz w:val="20"/>
                <w:szCs w:val="20"/>
              </w:rPr>
              <w:t>局</w:t>
            </w:r>
          </w:p>
        </w:tc>
      </w:tr>
      <w:tr w:rsidR="00605B72" w:rsidRPr="003C101B" w:rsidTr="003C101B">
        <w:trPr>
          <w:trHeight w:val="567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05B72" w:rsidRPr="003C101B" w:rsidRDefault="00605B72" w:rsidP="003C10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C101B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朝阳区宠物人兽共患鹦鹉热衣原体病环</w:t>
            </w:r>
            <w:proofErr w:type="gramStart"/>
            <w:r>
              <w:rPr>
                <w:rFonts w:hint="eastAsia"/>
                <w:sz w:val="20"/>
                <w:szCs w:val="20"/>
              </w:rPr>
              <w:t>介</w:t>
            </w:r>
            <w:proofErr w:type="gramEnd"/>
            <w:r>
              <w:rPr>
                <w:rFonts w:hint="eastAsia"/>
                <w:sz w:val="20"/>
                <w:szCs w:val="20"/>
              </w:rPr>
              <w:t>导等温扩增检测技术的引进与应用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北京市朝阳</w:t>
            </w:r>
            <w:proofErr w:type="gramStart"/>
            <w:r>
              <w:rPr>
                <w:rFonts w:hint="eastAsia"/>
                <w:sz w:val="20"/>
                <w:szCs w:val="20"/>
              </w:rPr>
              <w:t>区动物</w:t>
            </w:r>
            <w:proofErr w:type="gramEnd"/>
            <w:r>
              <w:rPr>
                <w:rFonts w:hint="eastAsia"/>
                <w:sz w:val="20"/>
                <w:szCs w:val="20"/>
              </w:rPr>
              <w:t>疫病预防控制中心</w:t>
            </w:r>
          </w:p>
        </w:tc>
      </w:tr>
      <w:tr w:rsidR="00605B72" w:rsidRPr="003C101B" w:rsidTr="003C101B">
        <w:trPr>
          <w:trHeight w:val="567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05B72" w:rsidRPr="003C101B" w:rsidRDefault="00605B72" w:rsidP="003C10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C101B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儿童青少年体质健康综合监测体系构建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北京市朝阳区教育委员会、首都体育学院</w:t>
            </w:r>
          </w:p>
        </w:tc>
      </w:tr>
      <w:tr w:rsidR="00605B72" w:rsidRPr="003C101B" w:rsidTr="003C101B">
        <w:trPr>
          <w:trHeight w:val="567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05B72" w:rsidRPr="003C101B" w:rsidRDefault="00605B72" w:rsidP="003C10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Pr="003C101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>
              <w:rPr>
                <w:rFonts w:hint="eastAsia"/>
                <w:sz w:val="20"/>
                <w:szCs w:val="20"/>
              </w:rPr>
              <w:t>年冬奥会突发公共卫生事件应急保障技术平台建设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北京市朝阳疾病预防控制中心</w:t>
            </w:r>
          </w:p>
        </w:tc>
      </w:tr>
      <w:tr w:rsidR="00605B72" w:rsidRPr="003C101B" w:rsidTr="003C101B">
        <w:trPr>
          <w:trHeight w:val="567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05B72" w:rsidRPr="003C101B" w:rsidRDefault="00605B72" w:rsidP="003C10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首都国际交往中心文化外交信息交流合作平台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北京第二外国语学院</w:t>
            </w:r>
          </w:p>
        </w:tc>
      </w:tr>
      <w:tr w:rsidR="00605B72" w:rsidRPr="003C101B" w:rsidTr="003C101B">
        <w:trPr>
          <w:trHeight w:val="567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05B72" w:rsidRPr="003C101B" w:rsidRDefault="00605B72" w:rsidP="003C10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朝阳区冬奥会医疗应急保障创伤救治标准研究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北京市朝阳区紧急医疗救援中心</w:t>
            </w:r>
          </w:p>
        </w:tc>
      </w:tr>
      <w:tr w:rsidR="00605B72" w:rsidRPr="003C101B" w:rsidTr="003C101B">
        <w:trPr>
          <w:trHeight w:val="567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05B72" w:rsidRPr="003C101B" w:rsidRDefault="00605B72" w:rsidP="003C10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朝阳区冬奥场馆及周边气象风险分析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北京市朝阳区气象局</w:t>
            </w:r>
          </w:p>
        </w:tc>
      </w:tr>
      <w:tr w:rsidR="00605B72" w:rsidRPr="003C101B" w:rsidTr="003C101B">
        <w:trPr>
          <w:trHeight w:val="567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05B72" w:rsidRPr="003C101B" w:rsidRDefault="00605B72" w:rsidP="003C10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朝阳区杨柳絮飞散气象预报技术研究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北京市朝阳区气象局</w:t>
            </w:r>
          </w:p>
        </w:tc>
      </w:tr>
      <w:tr w:rsidR="00605B72" w:rsidRPr="003C101B" w:rsidTr="003C101B">
        <w:trPr>
          <w:trHeight w:val="567"/>
        </w:trPr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05B72" w:rsidRPr="003C101B" w:rsidRDefault="00605B72" w:rsidP="003C10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4031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北京市朝阳区卫生人才队伍建设与发展研究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605B72" w:rsidRDefault="00605B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北京市朝阳区人才服务中心卫生专业人才分中心</w:t>
            </w:r>
          </w:p>
        </w:tc>
      </w:tr>
    </w:tbl>
    <w:p w:rsidR="009C783B" w:rsidRPr="003C101B" w:rsidRDefault="009C783B"/>
    <w:sectPr w:rsidR="009C783B" w:rsidRPr="003C101B" w:rsidSect="009C7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22FC" w:rsidRDefault="00F422FC" w:rsidP="00AF72D1">
      <w:r>
        <w:separator/>
      </w:r>
    </w:p>
  </w:endnote>
  <w:endnote w:type="continuationSeparator" w:id="0">
    <w:p w:rsidR="00F422FC" w:rsidRDefault="00F422FC" w:rsidP="00AF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22FC" w:rsidRDefault="00F422FC" w:rsidP="00AF72D1">
      <w:r>
        <w:separator/>
      </w:r>
    </w:p>
  </w:footnote>
  <w:footnote w:type="continuationSeparator" w:id="0">
    <w:p w:rsidR="00F422FC" w:rsidRDefault="00F422FC" w:rsidP="00AF7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01B"/>
    <w:rsid w:val="00066A5E"/>
    <w:rsid w:val="0038512B"/>
    <w:rsid w:val="0039307C"/>
    <w:rsid w:val="003C101B"/>
    <w:rsid w:val="0046240D"/>
    <w:rsid w:val="005535AE"/>
    <w:rsid w:val="005B0A4D"/>
    <w:rsid w:val="00605B72"/>
    <w:rsid w:val="006218BD"/>
    <w:rsid w:val="009462DF"/>
    <w:rsid w:val="009C783B"/>
    <w:rsid w:val="00A5683D"/>
    <w:rsid w:val="00AF72D1"/>
    <w:rsid w:val="00C25788"/>
    <w:rsid w:val="00D8244C"/>
    <w:rsid w:val="00F422FC"/>
    <w:rsid w:val="00F8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140D25-2FB7-49F2-BAFF-370B0A5A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0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7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F72D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F7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F72D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2020-05-21T06:40:00Z</dcterms:created>
  <dcterms:modified xsi:type="dcterms:W3CDTF">2020-05-21T06:40:00Z</dcterms:modified>
</cp:coreProperties>
</file>