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center"/>
        <w:rPr>
          <w:rFonts w:hint="eastAsia"/>
          <w:lang w:eastAsia="zh-CN"/>
        </w:rPr>
      </w:pPr>
      <w:r>
        <w:rPr>
          <w:rFonts w:hint="eastAsia"/>
          <w:b/>
          <w:sz w:val="36"/>
          <w:szCs w:val="36"/>
          <w:lang w:eastAsia="zh-CN"/>
        </w:rPr>
        <w:t>朝阳区固定资产投资（不含农户）情况</w:t>
      </w:r>
    </w:p>
    <w:tbl>
      <w:tblPr>
        <w:tblStyle w:val="3"/>
        <w:tblW w:w="8363" w:type="dxa"/>
        <w:tblInd w:w="25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39"/>
        <w:gridCol w:w="442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3939" w:type="dxa"/>
            <w:vMerge w:val="restart"/>
            <w:vAlign w:val="center"/>
          </w:tcPr>
          <w:p>
            <w:pPr>
              <w:spacing w:after="0" w:line="240" w:lineRule="auto"/>
              <w:jc w:val="center"/>
              <w:rPr>
                <w:rFonts w:hint="eastAsia"/>
                <w:sz w:val="28"/>
                <w:szCs w:val="28"/>
                <w:lang w:eastAsia="zh-CN"/>
              </w:rPr>
            </w:pPr>
            <w:r>
              <w:rPr>
                <w:rFonts w:hint="eastAsia"/>
                <w:sz w:val="28"/>
                <w:szCs w:val="28"/>
                <w:lang w:eastAsia="zh-CN"/>
              </w:rPr>
              <w:t>项  目</w:t>
            </w:r>
          </w:p>
        </w:tc>
        <w:tc>
          <w:tcPr>
            <w:tcW w:w="4424" w:type="dxa"/>
            <w:vAlign w:val="center"/>
          </w:tcPr>
          <w:p>
            <w:pPr>
              <w:spacing w:after="0" w:line="240" w:lineRule="auto"/>
              <w:jc w:val="center"/>
              <w:rPr>
                <w:rFonts w:hint="eastAsia"/>
                <w:sz w:val="28"/>
                <w:szCs w:val="28"/>
                <w:lang w:eastAsia="zh-CN"/>
              </w:rPr>
            </w:pPr>
            <w:r>
              <w:rPr>
                <w:rFonts w:hint="eastAsia"/>
                <w:sz w:val="28"/>
                <w:szCs w:val="28"/>
                <w:lang w:eastAsia="zh-CN"/>
              </w:rPr>
              <w:t>2025年1-</w:t>
            </w:r>
            <w:r>
              <w:rPr>
                <w:rFonts w:hint="eastAsia"/>
                <w:sz w:val="28"/>
                <w:szCs w:val="28"/>
                <w:lang w:val="en-US" w:eastAsia="zh-CN"/>
              </w:rPr>
              <w:t>8</w:t>
            </w:r>
            <w:r>
              <w:rPr>
                <w:rFonts w:hint="eastAsia"/>
                <w:sz w:val="28"/>
                <w:szCs w:val="28"/>
                <w:lang w:eastAsia="zh-CN"/>
              </w:rPr>
              <w:t>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3939" w:type="dxa"/>
            <w:vMerge w:val="continue"/>
            <w:vAlign w:val="center"/>
          </w:tcPr>
          <w:p>
            <w:pPr>
              <w:spacing w:after="0" w:line="240" w:lineRule="auto"/>
              <w:jc w:val="center"/>
              <w:rPr>
                <w:rFonts w:hint="eastAsia"/>
                <w:sz w:val="28"/>
                <w:szCs w:val="28"/>
                <w:lang w:eastAsia="zh-CN"/>
              </w:rPr>
            </w:pPr>
          </w:p>
        </w:tc>
        <w:tc>
          <w:tcPr>
            <w:tcW w:w="4424" w:type="dxa"/>
            <w:vAlign w:val="center"/>
          </w:tcPr>
          <w:p>
            <w:pPr>
              <w:spacing w:after="0" w:line="240" w:lineRule="auto"/>
              <w:jc w:val="center"/>
              <w:rPr>
                <w:rFonts w:hint="eastAsia"/>
                <w:sz w:val="28"/>
                <w:szCs w:val="28"/>
                <w:lang w:eastAsia="zh-CN"/>
              </w:rPr>
            </w:pPr>
            <w:r>
              <w:rPr>
                <w:rFonts w:hint="eastAsia"/>
                <w:sz w:val="28"/>
                <w:szCs w:val="28"/>
                <w:lang w:eastAsia="zh-CN"/>
              </w:rPr>
              <w:t>同比增长(%)</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rFonts w:hint="eastAsia"/>
                <w:sz w:val="28"/>
                <w:szCs w:val="28"/>
                <w:lang w:eastAsia="zh-CN"/>
              </w:rPr>
            </w:pPr>
            <w:r>
              <w:rPr>
                <w:rFonts w:hint="eastAsia"/>
                <w:sz w:val="28"/>
                <w:szCs w:val="28"/>
                <w:lang w:eastAsia="zh-CN"/>
              </w:rPr>
              <w:t>固定资产投资（不含农户）</w:t>
            </w:r>
          </w:p>
        </w:tc>
        <w:tc>
          <w:tcPr>
            <w:tcW w:w="4424" w:type="dxa"/>
            <w:vAlign w:val="center"/>
          </w:tcPr>
          <w:p>
            <w:pPr>
              <w:spacing w:after="0" w:line="240" w:lineRule="auto"/>
              <w:jc w:val="center"/>
              <w:rPr>
                <w:sz w:val="28"/>
                <w:szCs w:val="28"/>
                <w:lang w:eastAsia="zh-CN"/>
              </w:rPr>
            </w:pPr>
            <w:r>
              <w:rPr>
                <w:rFonts w:hint="eastAsia"/>
                <w:sz w:val="28"/>
                <w:szCs w:val="28"/>
                <w:lang w:val="en-US" w:eastAsia="zh-CN"/>
              </w:rPr>
              <w:t>3.3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rFonts w:hint="eastAsia"/>
                <w:sz w:val="28"/>
                <w:szCs w:val="28"/>
                <w:lang w:eastAsia="zh-CN"/>
              </w:rPr>
            </w:pPr>
            <w:r>
              <w:rPr>
                <w:rFonts w:hint="eastAsia"/>
                <w:sz w:val="28"/>
                <w:szCs w:val="28"/>
                <w:lang w:eastAsia="zh-CN"/>
              </w:rPr>
              <w:t xml:space="preserve">  其中：房地产开发投资</w:t>
            </w:r>
          </w:p>
        </w:tc>
        <w:tc>
          <w:tcPr>
            <w:tcW w:w="4424" w:type="dxa"/>
            <w:vAlign w:val="center"/>
          </w:tcPr>
          <w:p>
            <w:pPr>
              <w:spacing w:after="0" w:line="240" w:lineRule="auto"/>
              <w:jc w:val="center"/>
              <w:rPr>
                <w:sz w:val="28"/>
                <w:szCs w:val="28"/>
                <w:lang w:eastAsia="zh-CN"/>
              </w:rPr>
            </w:pPr>
            <w:r>
              <w:rPr>
                <w:rFonts w:hint="eastAsia"/>
                <w:sz w:val="28"/>
                <w:szCs w:val="28"/>
                <w:lang w:val="en-US" w:eastAsia="zh-CN"/>
              </w:rPr>
              <w:t>-0.7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rFonts w:hint="eastAsia"/>
                <w:sz w:val="28"/>
                <w:szCs w:val="28"/>
                <w:lang w:eastAsia="zh-CN"/>
              </w:rPr>
            </w:pPr>
            <w:r>
              <w:rPr>
                <w:rFonts w:hint="eastAsia"/>
                <w:sz w:val="28"/>
                <w:szCs w:val="28"/>
                <w:lang w:eastAsia="zh-CN"/>
              </w:rPr>
              <w:t>按构成分</w:t>
            </w:r>
          </w:p>
        </w:tc>
        <w:tc>
          <w:tcPr>
            <w:tcW w:w="4424" w:type="dxa"/>
            <w:vAlign w:val="center"/>
          </w:tcPr>
          <w:p>
            <w:pPr>
              <w:spacing w:after="0" w:line="240" w:lineRule="auto"/>
              <w:jc w:val="center"/>
              <w:rPr>
                <w:sz w:val="28"/>
                <w:szCs w:val="28"/>
                <w:lang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ind w:firstLine="280" w:firstLineChars="100"/>
              <w:rPr>
                <w:sz w:val="28"/>
                <w:szCs w:val="28"/>
                <w:lang w:eastAsia="zh-CN"/>
              </w:rPr>
            </w:pPr>
            <w:r>
              <w:rPr>
                <w:rFonts w:hint="eastAsia"/>
                <w:sz w:val="28"/>
                <w:szCs w:val="28"/>
                <w:lang w:eastAsia="zh-CN"/>
              </w:rPr>
              <w:t xml:space="preserve">  其中：建安投资</w:t>
            </w:r>
          </w:p>
        </w:tc>
        <w:tc>
          <w:tcPr>
            <w:tcW w:w="4424" w:type="dxa"/>
            <w:vAlign w:val="center"/>
          </w:tcPr>
          <w:p>
            <w:pPr>
              <w:spacing w:after="0" w:line="240" w:lineRule="auto"/>
              <w:jc w:val="center"/>
              <w:rPr>
                <w:sz w:val="28"/>
                <w:szCs w:val="28"/>
                <w:lang w:eastAsia="zh-CN"/>
              </w:rPr>
            </w:pPr>
            <w:r>
              <w:rPr>
                <w:rFonts w:hint="eastAsia"/>
                <w:sz w:val="28"/>
                <w:szCs w:val="28"/>
                <w:lang w:val="en-US" w:eastAsia="zh-CN"/>
              </w:rPr>
              <w:t>6</w:t>
            </w:r>
            <w:r>
              <w:rPr>
                <w:rFonts w:hint="eastAsia"/>
                <w:sz w:val="28"/>
                <w:szCs w:val="28"/>
                <w:lang w:eastAsia="zh-CN"/>
              </w:rPr>
              <w:t>.8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ind w:firstLine="280" w:firstLineChars="100"/>
              <w:rPr>
                <w:sz w:val="28"/>
                <w:szCs w:val="28"/>
                <w:lang w:eastAsia="zh-CN"/>
              </w:rPr>
            </w:pPr>
            <w:r>
              <w:rPr>
                <w:rFonts w:hint="eastAsia"/>
                <w:sz w:val="28"/>
                <w:szCs w:val="28"/>
                <w:lang w:eastAsia="zh-CN"/>
              </w:rPr>
              <w:t xml:space="preserve">        设备工器具购置</w:t>
            </w:r>
          </w:p>
        </w:tc>
        <w:tc>
          <w:tcPr>
            <w:tcW w:w="4424" w:type="dxa"/>
            <w:vAlign w:val="center"/>
          </w:tcPr>
          <w:p>
            <w:pPr>
              <w:spacing w:after="0" w:line="240" w:lineRule="auto"/>
              <w:jc w:val="center"/>
              <w:rPr>
                <w:sz w:val="28"/>
                <w:szCs w:val="28"/>
                <w:lang w:eastAsia="zh-CN"/>
              </w:rPr>
            </w:pPr>
            <w:r>
              <w:rPr>
                <w:rFonts w:hint="eastAsia"/>
                <w:sz w:val="28"/>
                <w:szCs w:val="28"/>
                <w:lang w:val="en-US" w:eastAsia="zh-CN"/>
              </w:rPr>
              <w:t>44.4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sz w:val="28"/>
                <w:szCs w:val="28"/>
                <w:lang w:eastAsia="zh-CN"/>
              </w:rPr>
            </w:pPr>
            <w:r>
              <w:rPr>
                <w:rFonts w:hint="eastAsia"/>
                <w:sz w:val="28"/>
                <w:szCs w:val="28"/>
                <w:lang w:eastAsia="zh-CN"/>
              </w:rPr>
              <w:t xml:space="preserve">          其他费用</w:t>
            </w:r>
          </w:p>
        </w:tc>
        <w:tc>
          <w:tcPr>
            <w:tcW w:w="4424" w:type="dxa"/>
            <w:vAlign w:val="center"/>
          </w:tcPr>
          <w:p>
            <w:pPr>
              <w:spacing w:after="0" w:line="240" w:lineRule="auto"/>
              <w:jc w:val="center"/>
              <w:rPr>
                <w:sz w:val="28"/>
                <w:szCs w:val="28"/>
                <w:lang w:eastAsia="zh-CN"/>
              </w:rPr>
            </w:pPr>
            <w:r>
              <w:rPr>
                <w:rFonts w:hint="eastAsia"/>
                <w:sz w:val="28"/>
                <w:szCs w:val="28"/>
                <w:lang w:eastAsia="zh-CN"/>
              </w:rPr>
              <w:t>-</w:t>
            </w:r>
            <w:r>
              <w:rPr>
                <w:rFonts w:hint="eastAsia"/>
                <w:sz w:val="28"/>
                <w:szCs w:val="28"/>
                <w:lang w:val="en-US" w:eastAsia="zh-CN"/>
              </w:rPr>
              <w:t>6.1</w:t>
            </w:r>
            <w:bookmarkStart w:id="0" w:name="_GoBack"/>
            <w:bookmarkEnd w:id="0"/>
          </w:p>
        </w:tc>
      </w:tr>
    </w:tbl>
    <w:p>
      <w:pPr>
        <w:rPr>
          <w:rFonts w:hint="eastAsia"/>
          <w:lang w:eastAsia="zh-CN"/>
        </w:rPr>
      </w:pPr>
    </w:p>
    <w:p>
      <w:pPr>
        <w:rPr>
          <w:rFonts w:hint="eastAsia"/>
          <w:lang w:eastAsia="zh-CN"/>
        </w:rPr>
      </w:pPr>
    </w:p>
    <w:p>
      <w:pPr>
        <w:spacing w:after="0"/>
        <w:jc w:val="center"/>
        <w:rPr>
          <w:rFonts w:hint="eastAsia" w:ascii="宋体" w:hAnsi="宋体"/>
          <w:b/>
          <w:bCs/>
          <w:color w:val="000000"/>
          <w:sz w:val="32"/>
          <w:szCs w:val="32"/>
          <w:lang w:eastAsia="zh-CN"/>
        </w:rPr>
      </w:pPr>
      <w:r>
        <w:rPr>
          <w:rFonts w:hint="eastAsia"/>
          <w:b/>
          <w:sz w:val="32"/>
          <w:szCs w:val="32"/>
          <w:lang w:eastAsia="zh-CN"/>
        </w:rPr>
        <w:t>固定资产投资（不含农户）领域</w:t>
      </w:r>
      <w:r>
        <w:rPr>
          <w:rFonts w:hint="eastAsia" w:ascii="宋体" w:hAnsi="宋体"/>
          <w:b/>
          <w:bCs/>
          <w:color w:val="000000"/>
          <w:sz w:val="32"/>
          <w:szCs w:val="32"/>
          <w:lang w:eastAsia="zh-CN"/>
        </w:rPr>
        <w:t>统计范围、</w:t>
      </w:r>
    </w:p>
    <w:p>
      <w:pPr>
        <w:spacing w:after="0"/>
        <w:jc w:val="center"/>
        <w:rPr>
          <w:rFonts w:hint="eastAsia" w:ascii="宋体" w:hAnsi="宋体"/>
          <w:b/>
          <w:bCs/>
          <w:color w:val="000000"/>
          <w:sz w:val="32"/>
          <w:szCs w:val="32"/>
          <w:lang w:eastAsia="zh-CN"/>
        </w:rPr>
      </w:pPr>
      <w:r>
        <w:rPr>
          <w:rFonts w:hint="eastAsia" w:ascii="宋体" w:hAnsi="宋体"/>
          <w:b/>
          <w:bCs/>
          <w:color w:val="000000"/>
          <w:sz w:val="32"/>
          <w:szCs w:val="32"/>
          <w:lang w:eastAsia="zh-CN"/>
        </w:rPr>
        <w:t>采集渠道和主要指标解释</w:t>
      </w:r>
    </w:p>
    <w:p>
      <w:pPr>
        <w:spacing w:before="156" w:beforeLines="50" w:after="0" w:line="480" w:lineRule="auto"/>
        <w:ind w:firstLine="562" w:firstLineChars="200"/>
        <w:rPr>
          <w:rFonts w:hint="eastAsia" w:ascii="宋体" w:hAnsi="宋体"/>
          <w:b/>
          <w:bCs/>
          <w:color w:val="000000"/>
          <w:sz w:val="28"/>
          <w:szCs w:val="28"/>
          <w:lang w:eastAsia="zh-CN"/>
        </w:rPr>
      </w:pPr>
      <w:r>
        <w:rPr>
          <w:rFonts w:hint="eastAsia" w:ascii="宋体" w:hAnsi="宋体"/>
          <w:b/>
          <w:bCs/>
          <w:color w:val="000000"/>
          <w:sz w:val="28"/>
          <w:szCs w:val="28"/>
          <w:lang w:eastAsia="zh-CN"/>
        </w:rPr>
        <w:t>一、统计范围</w:t>
      </w:r>
    </w:p>
    <w:p>
      <w:pPr>
        <w:spacing w:after="0" w:line="480" w:lineRule="auto"/>
        <w:ind w:firstLine="570"/>
        <w:rPr>
          <w:rFonts w:hint="eastAsia" w:ascii="宋体" w:hAnsi="宋体"/>
          <w:color w:val="000000"/>
          <w:sz w:val="28"/>
          <w:szCs w:val="28"/>
          <w:lang w:eastAsia="zh-CN"/>
        </w:rPr>
      </w:pPr>
      <w:r>
        <w:rPr>
          <w:rFonts w:hint="eastAsia" w:ascii="宋体" w:hAnsi="宋体"/>
          <w:color w:val="000000"/>
          <w:sz w:val="28"/>
          <w:szCs w:val="28"/>
          <w:lang w:eastAsia="zh-CN"/>
        </w:rPr>
        <w:t>计划总投资500万元及以上固定资产投资项目的各种登记注册统计类别的单位及个体经营户、有开发经营活动的全部房地产开发经营业法人单位。</w:t>
      </w:r>
    </w:p>
    <w:p>
      <w:pPr>
        <w:numPr>
          <w:ilvl w:val="0"/>
          <w:numId w:val="1"/>
        </w:numPr>
        <w:spacing w:after="0" w:line="480" w:lineRule="auto"/>
        <w:ind w:firstLine="570"/>
        <w:rPr>
          <w:rFonts w:hint="eastAsia" w:ascii="宋体" w:hAnsi="宋体"/>
          <w:color w:val="000000"/>
          <w:sz w:val="28"/>
          <w:szCs w:val="28"/>
          <w:lang w:eastAsia="zh-CN"/>
        </w:rPr>
      </w:pPr>
      <w:r>
        <w:rPr>
          <w:rFonts w:hint="eastAsia" w:ascii="宋体" w:hAnsi="宋体"/>
          <w:b/>
          <w:bCs/>
          <w:color w:val="000000"/>
          <w:sz w:val="28"/>
          <w:szCs w:val="28"/>
          <w:lang w:eastAsia="zh-CN"/>
        </w:rPr>
        <w:t>采集渠道</w:t>
      </w:r>
      <w:r>
        <w:rPr>
          <w:rFonts w:hint="eastAsia" w:ascii="宋体" w:hAnsi="宋体"/>
          <w:color w:val="000000"/>
          <w:sz w:val="28"/>
          <w:szCs w:val="28"/>
          <w:lang w:eastAsia="zh-CN"/>
        </w:rPr>
        <w:br w:type="textWrapping"/>
      </w:r>
      <w:r>
        <w:rPr>
          <w:rFonts w:hint="eastAsia" w:ascii="宋体" w:hAnsi="宋体"/>
          <w:color w:val="000000"/>
          <w:sz w:val="28"/>
          <w:szCs w:val="28"/>
          <w:lang w:eastAsia="zh-CN"/>
        </w:rPr>
        <w:t>　　符合统计范围的固定资产投资项目单位按照《固定资产投资统计报表制度》、《房地产开发统计报表制度》的要求，通过统计联网直报平台上报统计数据。</w:t>
      </w:r>
    </w:p>
    <w:p>
      <w:pPr>
        <w:spacing w:after="0" w:line="480" w:lineRule="auto"/>
        <w:ind w:firstLine="562" w:firstLineChars="200"/>
        <w:rPr>
          <w:rFonts w:hint="eastAsia" w:ascii="宋体" w:hAnsi="宋体"/>
          <w:b/>
          <w:bCs/>
          <w:color w:val="000000"/>
          <w:sz w:val="28"/>
          <w:szCs w:val="28"/>
          <w:lang w:eastAsia="zh-CN"/>
        </w:rPr>
      </w:pPr>
      <w:r>
        <w:rPr>
          <w:rFonts w:hint="eastAsia" w:ascii="宋体" w:hAnsi="宋体"/>
          <w:b/>
          <w:bCs/>
          <w:color w:val="000000"/>
          <w:sz w:val="28"/>
          <w:szCs w:val="28"/>
          <w:lang w:eastAsia="zh-CN"/>
        </w:rPr>
        <w:t>三、指标解释</w:t>
      </w:r>
    </w:p>
    <w:p>
      <w:r>
        <w:rPr>
          <w:rFonts w:hint="eastAsia" w:ascii="宋体" w:hAnsi="宋体"/>
          <w:b/>
          <w:color w:val="000000"/>
          <w:sz w:val="28"/>
          <w:szCs w:val="28"/>
          <w:lang w:eastAsia="zh-CN"/>
        </w:rPr>
        <w:t>固定资产投资：</w:t>
      </w:r>
      <w:r>
        <w:rPr>
          <w:rFonts w:hint="eastAsia" w:ascii="宋体" w:hAnsi="宋体"/>
          <w:color w:val="000000"/>
          <w:sz w:val="28"/>
          <w:szCs w:val="28"/>
          <w:lang w:eastAsia="zh-CN"/>
        </w:rPr>
        <w:t>是以货币形式表现的在一定时期内建造和购置固定资产的工作量以及与此有关的费用的总称。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6BCA4"/>
    <w:multiLevelType w:val="singleLevel"/>
    <w:tmpl w:val="5FF6BCA4"/>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E22C12"/>
    <w:rsid w:val="13E22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imes New Roman"/>
      <w:sz w:val="22"/>
      <w:szCs w:val="22"/>
      <w:lang w:val="en-US" w:eastAsia="en-US" w:bidi="en-US"/>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2025-09-17T03:19:00Z</dcterms:created>
  <dc:creator>lei</dc:creator>
  <cp:lastModifiedBy>lei</cp:lastModifiedBy>
  <dcterms:modified xsi:type="dcterms:W3CDTF">2025-09-17T03:22:06Z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