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北京市朝阳区医疗保障局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北京市朝阳区医疗保障局内设3个科室，分别为办公室、规划待遇保障科、医药服务监管科；下属1家预算单位北京市朝阳区医疗保险事务管理中心。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门职责：贯彻执行国家和北京市有关医疗保险、生育保险、医疗救助等医疗保障制度的法律法规和政策待遇规定，拟订本区医疗保障相关政策、规划和标准，并组织实施；负责本区医疗保障基金支付预算、管理及拨付工作；落实并执行本市公费医疗政策，承担区域内中央在京机构公费医疗管理工作，负责本区离休干部医疗费用统筹工作，实施长期护理保险制度；组织辖区内医药机构落实本市相关药品、医用耗材采购和医疗服务项目、医疗服务设施收费等政策，并在区域内组织实施，负责建立价格信息监测和信息发布制度，落实药品、医用耗材招标采购等工作；负责本区定点医药机构协议管理，落实医疗保障信用评价体系和信息披露制度，监督管理纳入医保范围的医疗服务行为和医疗费用，依法查处医疗保障领域违法违规行为；负责本区医疗保障经办管理、公共服务体系和信息化建设，组织实施异地就医管理、费用结算政策和平台建设，实施医疗保障关系转移接续制度等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（二）部门整体绩效目标设立情况。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整体绩效目标设立情况为贯彻执行国家和北京市有关医疗保险、生育保险、医疗救助等医疗保障制度的法律法规和政策待遇规定，做好政策宣传；做好本区定点医药机构协议管理，监督管理纳入医保范围的医疗服务行为和医疗费用，落实打击欺诈骗保相关工作，依法查处医疗保障领域违法违规行为，维护医保基金安全，提升依法行政能力；组织辖区内医药机构落实本市相关药品、医用耗材采购和医疗服务项目、医疗服务设施收费等政策；做好本区医疗保障经办管理、公共服务体系和信息化建设，提升经办服务水平；做好网络安全相关工作，保障医保信息安全。绩效目标设定明确，设立依据是我单位的三定方案所规定的职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能够符合单位的工作方向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与单位职能一致，绩效目标设定合理、明确。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预算数26314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6696万元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5326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173958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项目支出预算数20988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495642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支出26314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6696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5326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173958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支出20988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495642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1.产出数量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：服务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朝阳区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医保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参保人，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全覆盖监管定点医疗机构及药店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余家，负责我区医保相关政策、规划和标准的落地实施，包括城乡居民参保人员的登记、缴费，全区参保人、定点医药机构待遇审核与支付，定点医药机构管理等工作。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质量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：促进了全区医疗保障工作有序发展，保障了医保日常经办工作及各项医疗保障工作正常开展。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：按照年初计划完成全年工作，及时、足额保障群众待遇。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：各项工作支出成本均控制在总成本内，厉行勤俭节约，提高财政资金使用效益。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1.经济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：预算资金及时准确拨付，</w:t>
      </w:r>
      <w:r>
        <w:rPr>
          <w:rFonts w:hint="eastAsia" w:ascii="仿宋_GB2312" w:eastAsia="仿宋_GB2312"/>
          <w:sz w:val="32"/>
          <w:szCs w:val="32"/>
        </w:rPr>
        <w:t>促进</w:t>
      </w:r>
      <w:r>
        <w:rPr>
          <w:rFonts w:hint="eastAsia" w:ascii="仿宋_GB2312" w:eastAsia="仿宋_GB2312"/>
          <w:sz w:val="32"/>
          <w:szCs w:val="32"/>
          <w:lang w:eastAsia="zh-CN"/>
        </w:rPr>
        <w:t>朝阳区</w:t>
      </w:r>
      <w:r>
        <w:rPr>
          <w:rFonts w:hint="eastAsia" w:ascii="仿宋_GB2312" w:eastAsia="仿宋_GB2312"/>
          <w:sz w:val="32"/>
          <w:szCs w:val="32"/>
        </w:rPr>
        <w:t>经济发展与和谐稳定。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2.社会效益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为保障待遇享受人员的医疗待遇，减轻享受人员医疗费用负担，健全社会医疗保障体系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3.环境效益：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达到设定的环境效益。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4.可持续性影响：达到设定的可持续性影响。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满意度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：保障落实各项医疗保障政策,不断提高服务对象的满意度。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我局严格执行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财务管理制度，财务制度健全、会计核算规范，</w:t>
      </w:r>
      <w:r>
        <w:rPr>
          <w:rFonts w:hint="eastAsia" w:ascii="仿宋_GB2312" w:eastAsia="仿宋_GB2312"/>
          <w:bCs/>
          <w:sz w:val="32"/>
          <w:szCs w:val="32"/>
        </w:rPr>
        <w:t>树牢底线思维，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严把</w:t>
      </w:r>
      <w:r>
        <w:rPr>
          <w:rFonts w:hint="eastAsia" w:ascii="仿宋_GB2312" w:eastAsia="仿宋_GB2312"/>
          <w:bCs/>
          <w:sz w:val="32"/>
          <w:szCs w:val="32"/>
        </w:rPr>
        <w:t>资金审批关，把防风险摆在更加突</w:t>
      </w:r>
      <w:r>
        <w:rPr>
          <w:rFonts w:hint="eastAsia" w:ascii="仿宋_GB2312" w:eastAsia="仿宋_GB2312"/>
          <w:sz w:val="32"/>
          <w:szCs w:val="32"/>
        </w:rPr>
        <w:t>出的位置。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及资金使用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遵循“三重一大”的要求，切实履行集体研究决策和审批程序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以时时放心不下的责任感、事事抓实抓细的硬举措牢牢守住安全底线。</w:t>
      </w:r>
    </w:p>
    <w:p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我局科学、合理编制预算，坚持资金安全和预算执行并举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统筹规划、合理安排资金使用，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搭建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起我局科学、合理的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内部控制体系，确保资金收支合理、合规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，本年度资金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全局医保工作的正常运行、项目开展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贯彻执行国家和市区级的方针、政策，强化了部门责任，取得了一定的成绩，资金执行率较高并得到了良好的效益反馈。</w:t>
      </w:r>
    </w:p>
    <w:p>
      <w:pPr>
        <w:numPr>
          <w:ilvl w:val="0"/>
          <w:numId w:val="3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我局能够按照会计基础工作规范及各项制度要求编制会计凭证、登记账簿、编制会计报表。账目材料真实完整、账目清晰。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加强资产管理，保障国有资产安全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做好资产清查及产权登记工作，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严格按照“三重一大”审批流程开展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积极开展预算绩效管理工作，预算申报前做好充分的分析研究；预算执行中监控绩效完成情况，切实提高资金使用效率；预算执行完毕开展绩效自评，对资金投入、产出、效果等开展评价。做到预算财务分析常态化，做好部门整体支出预算绩效工作。本年度项目按照预算绩效管理要求，组织项目实施，整体项目绩效目标完成及绩效实现情况符合预期。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结转结余率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本年度财政拨款结转和结余率为0。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本年度部门预决算差异率为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70.66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。主要是城乡居民基本医疗保险区级财政补贴、城乡特困人员医疗救助部分款项由区级财政部门直接上缴市专户，预算调减。</w:t>
      </w:r>
      <w:bookmarkStart w:id="0" w:name="_GoBack"/>
      <w:bookmarkEnd w:id="0"/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我局绩效自评得分较高，资金使用过程中严格遵守财经纪律，加强对权力运行的制约和监督，绩效运行整体质量好。</w:t>
      </w:r>
    </w:p>
    <w:p>
      <w:pPr>
        <w:numPr>
          <w:ilvl w:val="0"/>
          <w:numId w:val="5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下一步，我局将从绩效指标设定的科学性、合理性上下功夫，进一步提高预算收支质量和资金使用效益，实现预算与绩效的有机融合。 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楷体_GB2312" w:eastAsia="楷体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E9DB"/>
    <w:multiLevelType w:val="singleLevel"/>
    <w:tmpl w:val="65EFE9DB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5EFE9F8"/>
    <w:multiLevelType w:val="singleLevel"/>
    <w:tmpl w:val="65EFE9F8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5EFEA2B"/>
    <w:multiLevelType w:val="singleLevel"/>
    <w:tmpl w:val="65EFEA2B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5EFEADF"/>
    <w:multiLevelType w:val="singleLevel"/>
    <w:tmpl w:val="65EFEADF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5F7A3FA"/>
    <w:multiLevelType w:val="singleLevel"/>
    <w:tmpl w:val="65F7A3F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35276916"/>
    <w:rsid w:val="4A281FC8"/>
    <w:rsid w:val="5B1D39DF"/>
    <w:rsid w:val="5EBA623B"/>
    <w:rsid w:val="686D6032"/>
    <w:rsid w:val="6E0E5CF7"/>
    <w:rsid w:val="6EB4249E"/>
    <w:rsid w:val="7E0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0"/>
    <w:pPr>
      <w:ind w:firstLine="420"/>
    </w:pPr>
    <w:rPr>
      <w:rFonts w:ascii="Times New Roman" w:eastAsia="Times New Roman"/>
    </w:r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ACER</cp:lastModifiedBy>
  <cp:lastPrinted>2024-02-27T01:50:00Z</cp:lastPrinted>
  <dcterms:modified xsi:type="dcterms:W3CDTF">2024-04-24T09:09:15Z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