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E19E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 Regular" w:hAnsi="Times New Roman Regular" w:cs="Times New Roman Regular" w:eastAsiaTheme="minorEastAsia"/>
          <w:b w:val="0"/>
          <w:bCs/>
          <w:sz w:val="44"/>
          <w:szCs w:val="44"/>
          <w:lang w:val="en-US" w:eastAsia="zh-CN"/>
        </w:rPr>
      </w:pPr>
      <w:r>
        <w:rPr>
          <w:rFonts w:hint="default" w:ascii="Times New Roman Regular" w:hAnsi="Times New Roman Regular" w:cs="Times New Roman Regular" w:eastAsiaTheme="minorEastAsia"/>
          <w:b w:val="0"/>
          <w:bCs/>
          <w:sz w:val="44"/>
          <w:szCs w:val="44"/>
          <w:lang w:val="en-US" w:eastAsia="zh-CN"/>
        </w:rPr>
        <w:t>2026年1-</w:t>
      </w:r>
      <w:r>
        <w:rPr>
          <w:rFonts w:hint="eastAsia" w:ascii="Times New Roman Regular" w:hAnsi="Times New Roman Regular" w:cs="Times New Roman Regular"/>
          <w:b w:val="0"/>
          <w:bCs/>
          <w:sz w:val="44"/>
          <w:szCs w:val="44"/>
          <w:lang w:val="en-US" w:eastAsia="zh-CN"/>
        </w:rPr>
        <w:t>4</w:t>
      </w:r>
      <w:r>
        <w:rPr>
          <w:rFonts w:hint="default" w:ascii="Times New Roman Regular" w:hAnsi="Times New Roman Regular" w:cs="Times New Roman Regular" w:eastAsiaTheme="minorEastAsia"/>
          <w:b w:val="0"/>
          <w:bCs/>
          <w:sz w:val="44"/>
          <w:szCs w:val="44"/>
          <w:lang w:val="en-US" w:eastAsia="zh-CN"/>
        </w:rPr>
        <w:t>月朝阳区规模以上服务业企业运行情况</w:t>
      </w:r>
    </w:p>
    <w:p w14:paraId="53DC45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 Regular" w:hAnsi="Times New Roman Regular" w:cs="Times New Roman Regular" w:eastAsiaTheme="minorEastAsia"/>
          <w:b w:val="0"/>
          <w:bCs/>
          <w:sz w:val="44"/>
          <w:szCs w:val="44"/>
          <w:lang w:val="en-US" w:eastAsia="zh-CN"/>
        </w:rPr>
      </w:pPr>
      <w:bookmarkStart w:id="0" w:name="_GoBack"/>
      <w:bookmarkEnd w:id="0"/>
    </w:p>
    <w:p w14:paraId="60CAB5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both"/>
        <w:textAlignment w:val="auto"/>
        <w:rPr>
          <w:rFonts w:hint="default" w:ascii="Times New Roman Regular" w:hAnsi="Times New Roman Regular" w:cs="Times New Roman Regular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 Regular" w:hAnsi="Times New Roman Regular" w:cs="Times New Roman Regular"/>
          <w:b w:val="0"/>
          <w:bCs w:val="0"/>
          <w:color w:val="auto"/>
          <w:sz w:val="28"/>
          <w:szCs w:val="28"/>
          <w:lang w:val="en-US" w:eastAsia="zh-CN"/>
        </w:rPr>
        <w:t>2026年1-</w:t>
      </w:r>
      <w:r>
        <w:rPr>
          <w:rFonts w:hint="eastAsia" w:ascii="Times New Roman Regular" w:hAnsi="Times New Roman Regular" w:cs="Times New Roman Regular"/>
          <w:b w:val="0"/>
          <w:bCs w:val="0"/>
          <w:color w:val="auto"/>
          <w:sz w:val="28"/>
          <w:szCs w:val="28"/>
          <w:lang w:val="en-US" w:eastAsia="zh-CN"/>
        </w:rPr>
        <w:t>4</w:t>
      </w:r>
      <w:r>
        <w:rPr>
          <w:rFonts w:hint="default" w:ascii="Times New Roman Regular" w:hAnsi="Times New Roman Regular" w:cs="Times New Roman Regular"/>
          <w:b w:val="0"/>
          <w:bCs w:val="0"/>
          <w:color w:val="auto"/>
          <w:sz w:val="28"/>
          <w:szCs w:val="28"/>
          <w:lang w:val="en-US" w:eastAsia="zh-CN"/>
        </w:rPr>
        <w:t>月，朝阳区规模以上服务业企业合计实现营业收入</w:t>
      </w:r>
      <w:r>
        <w:rPr>
          <w:rFonts w:hint="eastAsia" w:ascii="Times New Roman Regular" w:hAnsi="Times New Roman Regular" w:cs="Times New Roman Regular"/>
          <w:b w:val="0"/>
          <w:bCs w:val="0"/>
          <w:color w:val="auto"/>
          <w:sz w:val="28"/>
          <w:szCs w:val="28"/>
          <w:lang w:val="en-US" w:eastAsia="zh-CN"/>
        </w:rPr>
        <w:t>4636.0</w:t>
      </w:r>
      <w:r>
        <w:rPr>
          <w:rFonts w:hint="default" w:ascii="Times New Roman Regular" w:hAnsi="Times New Roman Regular" w:cs="Times New Roman Regular"/>
          <w:b w:val="0"/>
          <w:bCs w:val="0"/>
          <w:color w:val="auto"/>
          <w:sz w:val="28"/>
          <w:szCs w:val="28"/>
          <w:lang w:val="en-US" w:eastAsia="zh-CN"/>
        </w:rPr>
        <w:t>亿元，同比增长</w:t>
      </w:r>
      <w:r>
        <w:rPr>
          <w:rFonts w:hint="eastAsia" w:ascii="Times New Roman Regular" w:hAnsi="Times New Roman Regular" w:cs="Times New Roman Regular"/>
          <w:b w:val="0"/>
          <w:bCs w:val="0"/>
          <w:color w:val="auto"/>
          <w:sz w:val="28"/>
          <w:szCs w:val="28"/>
          <w:lang w:val="en-US" w:eastAsia="zh-CN"/>
        </w:rPr>
        <w:t>1.8</w:t>
      </w:r>
      <w:r>
        <w:rPr>
          <w:rFonts w:hint="default" w:ascii="Times New Roman Regular" w:hAnsi="Times New Roman Regular" w:cs="Times New Roman Regular"/>
          <w:b w:val="0"/>
          <w:bCs w:val="0"/>
          <w:color w:val="auto"/>
          <w:sz w:val="28"/>
          <w:szCs w:val="28"/>
          <w:lang w:val="en-US" w:eastAsia="zh-CN"/>
        </w:rPr>
        <w:t>%。分行业看，信息传输、软件和信息技术服务业，租赁和商务服务业</w:t>
      </w:r>
      <w:r>
        <w:rPr>
          <w:rFonts w:hint="eastAsia" w:ascii="Times New Roman Regular" w:hAnsi="Times New Roman Regular" w:cs="Times New Roman Regular"/>
          <w:b w:val="0"/>
          <w:bCs w:val="0"/>
          <w:color w:val="auto"/>
          <w:sz w:val="28"/>
          <w:szCs w:val="28"/>
          <w:lang w:val="en-US" w:eastAsia="zh-CN"/>
        </w:rPr>
        <w:t>以及</w:t>
      </w:r>
      <w:r>
        <w:rPr>
          <w:rFonts w:hint="default" w:ascii="Times New Roman Regular" w:hAnsi="Times New Roman Regular" w:cs="Times New Roman Regular"/>
          <w:b w:val="0"/>
          <w:bCs w:val="0"/>
          <w:color w:val="auto"/>
          <w:sz w:val="28"/>
          <w:szCs w:val="28"/>
          <w:lang w:val="en-US" w:eastAsia="zh-CN"/>
        </w:rPr>
        <w:t>科学研究和技术服务业三个行业</w:t>
      </w:r>
      <w:r>
        <w:rPr>
          <w:rFonts w:hint="eastAsia" w:ascii="Times New Roman Regular" w:hAnsi="Times New Roman Regular" w:cs="Times New Roman Regular"/>
          <w:b w:val="0"/>
          <w:bCs w:val="0"/>
          <w:color w:val="auto"/>
          <w:sz w:val="28"/>
          <w:szCs w:val="28"/>
          <w:lang w:val="en-US" w:eastAsia="zh-CN"/>
        </w:rPr>
        <w:t>保持增长</w:t>
      </w:r>
      <w:r>
        <w:rPr>
          <w:rFonts w:hint="default" w:ascii="Times New Roman Regular" w:hAnsi="Times New Roman Regular" w:cs="Times New Roman Regular"/>
          <w:b w:val="0"/>
          <w:bCs w:val="0"/>
          <w:color w:val="auto"/>
          <w:sz w:val="28"/>
          <w:szCs w:val="28"/>
          <w:lang w:val="en-US" w:eastAsia="zh-CN"/>
        </w:rPr>
        <w:t>，收入分别增长</w:t>
      </w:r>
      <w:r>
        <w:rPr>
          <w:rFonts w:hint="eastAsia" w:ascii="Times New Roman Regular" w:hAnsi="Times New Roman Regular" w:cs="Times New Roman Regular"/>
          <w:b w:val="0"/>
          <w:bCs w:val="0"/>
          <w:color w:val="auto"/>
          <w:sz w:val="28"/>
          <w:szCs w:val="28"/>
          <w:lang w:val="en-US" w:eastAsia="zh-CN"/>
        </w:rPr>
        <w:t>5.5</w:t>
      </w:r>
      <w:r>
        <w:rPr>
          <w:rFonts w:hint="default" w:ascii="Times New Roman Regular" w:hAnsi="Times New Roman Regular" w:cs="Times New Roman Regular"/>
          <w:b w:val="0"/>
          <w:bCs w:val="0"/>
          <w:color w:val="auto"/>
          <w:sz w:val="28"/>
          <w:szCs w:val="28"/>
          <w:lang w:val="en-US" w:eastAsia="zh-CN"/>
        </w:rPr>
        <w:t>%、</w:t>
      </w:r>
      <w:r>
        <w:rPr>
          <w:rFonts w:hint="eastAsia" w:ascii="Times New Roman Regular" w:hAnsi="Times New Roman Regular" w:cs="Times New Roman Regular"/>
          <w:b w:val="0"/>
          <w:bCs w:val="0"/>
          <w:color w:val="auto"/>
          <w:sz w:val="28"/>
          <w:szCs w:val="28"/>
          <w:lang w:val="en-US" w:eastAsia="zh-CN"/>
        </w:rPr>
        <w:t>2.8</w:t>
      </w:r>
      <w:r>
        <w:rPr>
          <w:rFonts w:hint="default" w:ascii="Times New Roman Regular" w:hAnsi="Times New Roman Regular" w:cs="Times New Roman Regular"/>
          <w:b w:val="0"/>
          <w:bCs w:val="0"/>
          <w:color w:val="auto"/>
          <w:sz w:val="28"/>
          <w:szCs w:val="28"/>
          <w:lang w:val="en-US" w:eastAsia="zh-CN"/>
        </w:rPr>
        <w:t>%和</w:t>
      </w:r>
      <w:r>
        <w:rPr>
          <w:rFonts w:hint="eastAsia" w:ascii="Times New Roman Regular" w:hAnsi="Times New Roman Regular" w:cs="Times New Roman Regular"/>
          <w:b w:val="0"/>
          <w:bCs w:val="0"/>
          <w:color w:val="auto"/>
          <w:sz w:val="28"/>
          <w:szCs w:val="28"/>
          <w:lang w:val="en-US" w:eastAsia="zh-CN"/>
        </w:rPr>
        <w:t>2.1</w:t>
      </w:r>
      <w:r>
        <w:rPr>
          <w:rFonts w:hint="default" w:ascii="Times New Roman Regular" w:hAnsi="Times New Roman Regular" w:cs="Times New Roman Regular"/>
          <w:b w:val="0"/>
          <w:bCs w:val="0"/>
          <w:color w:val="auto"/>
          <w:sz w:val="28"/>
          <w:szCs w:val="28"/>
          <w:lang w:val="en-US" w:eastAsia="zh-CN"/>
        </w:rPr>
        <w:t>%。文化、体育和娱乐业，房地产业收入分别下降</w:t>
      </w:r>
      <w:r>
        <w:rPr>
          <w:rFonts w:hint="eastAsia" w:ascii="Times New Roman Regular" w:hAnsi="Times New Roman Regular" w:cs="Times New Roman Regular"/>
          <w:b w:val="0"/>
          <w:bCs w:val="0"/>
          <w:color w:val="auto"/>
          <w:sz w:val="28"/>
          <w:szCs w:val="28"/>
          <w:lang w:val="en-US" w:eastAsia="zh-CN"/>
        </w:rPr>
        <w:t>5.0</w:t>
      </w:r>
      <w:r>
        <w:rPr>
          <w:rFonts w:hint="default" w:ascii="Times New Roman Regular" w:hAnsi="Times New Roman Regular" w:cs="Times New Roman Regular"/>
          <w:b w:val="0"/>
          <w:bCs w:val="0"/>
          <w:color w:val="auto"/>
          <w:sz w:val="28"/>
          <w:szCs w:val="28"/>
          <w:lang w:val="en-US" w:eastAsia="zh-CN"/>
        </w:rPr>
        <w:t>%和</w:t>
      </w:r>
      <w:r>
        <w:rPr>
          <w:rFonts w:hint="eastAsia" w:ascii="Times New Roman Regular" w:hAnsi="Times New Roman Regular" w:cs="Times New Roman Regular"/>
          <w:b w:val="0"/>
          <w:bCs w:val="0"/>
          <w:color w:val="auto"/>
          <w:sz w:val="28"/>
          <w:szCs w:val="28"/>
          <w:lang w:val="en-US" w:eastAsia="zh-CN"/>
        </w:rPr>
        <w:t>3.9</w:t>
      </w:r>
      <w:r>
        <w:rPr>
          <w:rFonts w:hint="default" w:ascii="Times New Roman Regular" w:hAnsi="Times New Roman Regular" w:cs="Times New Roman Regular"/>
          <w:b w:val="0"/>
          <w:bCs w:val="0"/>
          <w:color w:val="auto"/>
          <w:sz w:val="28"/>
          <w:szCs w:val="28"/>
          <w:lang w:val="en-US" w:eastAsia="zh-CN"/>
        </w:rPr>
        <w:t>%。</w:t>
      </w:r>
    </w:p>
    <w:p w14:paraId="342FDA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both"/>
        <w:textAlignment w:val="auto"/>
        <w:rPr>
          <w:rFonts w:hint="default" w:ascii="Times New Roman Regular" w:hAnsi="Times New Roman Regular" w:cs="Times New Roman Regular"/>
          <w:b w:val="0"/>
          <w:bCs w:val="0"/>
          <w:sz w:val="28"/>
          <w:szCs w:val="28"/>
          <w:lang w:val="en-US" w:eastAsia="zh-CN"/>
        </w:rPr>
      </w:pPr>
    </w:p>
    <w:p w14:paraId="5729A0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both"/>
        <w:textAlignment w:val="auto"/>
        <w:rPr>
          <w:rFonts w:hint="default" w:ascii="Times New Roman Regular" w:hAnsi="Times New Roman Regular" w:cs="Times New Roman Regular"/>
          <w:b w:val="0"/>
          <w:bCs w:val="0"/>
          <w:sz w:val="28"/>
          <w:szCs w:val="28"/>
          <w:lang w:val="en-US" w:eastAsia="zh-CN"/>
        </w:rPr>
      </w:pPr>
      <w:r>
        <w:rPr>
          <w:rFonts w:hint="default" w:ascii="Times New Roman Regular" w:hAnsi="Times New Roman Regular" w:cs="Times New Roman Regular"/>
          <w:b w:val="0"/>
          <w:bCs w:val="0"/>
          <w:sz w:val="28"/>
          <w:szCs w:val="28"/>
          <w:lang w:val="en-US" w:eastAsia="zh-CN"/>
        </w:rPr>
        <w:t>注：服务业企业包括交通运输、仓储和邮政业，信息传输、软件和信息技术服务业，物业管理、房地产中介服务、房地产租赁经营和其他房地产业，租赁和商务服务业，科学研究和技术服务业，水利、环境和公共设施管理业，居民服务、修理和其他服务业，教育，卫生和社会工作，文化、体育和娱乐业企业法人单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80E14"/>
    <w:rsid w:val="43FD28EF"/>
    <w:rsid w:val="560F0DBA"/>
    <w:rsid w:val="577F098E"/>
    <w:rsid w:val="FEFFCB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iPriority w:val="0"/>
    <w:pPr>
      <w:snapToGrid w:val="0"/>
      <w:jc w:val="left"/>
    </w:pPr>
    <w:rPr>
      <w:sz w:val="18"/>
    </w:rPr>
  </w:style>
  <w:style w:type="character" w:styleId="5">
    <w:name w:val="footnote reference"/>
    <w:basedOn w:val="4"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王州敬</cp:lastModifiedBy>
  <dcterms:modified xsi:type="dcterms:W3CDTF">2026-06-04T06:09:48Z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5DB06FDA7EF44DB480E9E58EEEE0EE32_12</vt:lpwstr>
  </property>
</Properties>
</file>