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cs="Times New Roman"/>
          <w:lang w:eastAsia="zh-CN"/>
        </w:rPr>
      </w:pPr>
      <w:r>
        <w:rPr>
          <w:rFonts w:hint="eastAsia" w:cs="宋体"/>
          <w:b/>
          <w:bCs/>
          <w:sz w:val="36"/>
          <w:szCs w:val="36"/>
          <w:lang w:eastAsia="zh-CN"/>
        </w:rPr>
        <w:t>朝阳区农林牧渔业总产值</w:t>
      </w:r>
    </w:p>
    <w:tbl>
      <w:tblPr>
        <w:tblStyle w:val="19"/>
        <w:tblW w:w="8861" w:type="dxa"/>
        <w:tblInd w:w="-106"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616"/>
        <w:gridCol w:w="851"/>
        <w:gridCol w:w="2126"/>
        <w:gridCol w:w="226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3616" w:type="dxa"/>
            <w:vAlign w:val="center"/>
          </w:tcPr>
          <w:p>
            <w:pPr>
              <w:spacing w:after="0" w:line="240" w:lineRule="auto"/>
              <w:jc w:val="center"/>
              <w:rPr>
                <w:rFonts w:cs="Times New Roman"/>
                <w:sz w:val="28"/>
                <w:szCs w:val="28"/>
                <w:lang w:eastAsia="zh-CN"/>
              </w:rPr>
            </w:pPr>
            <w:r>
              <w:rPr>
                <w:rFonts w:hint="eastAsia" w:cs="宋体"/>
                <w:sz w:val="28"/>
                <w:szCs w:val="28"/>
                <w:lang w:eastAsia="zh-CN"/>
              </w:rPr>
              <w:t>项</w:t>
            </w:r>
            <w:r>
              <w:rPr>
                <w:sz w:val="28"/>
                <w:szCs w:val="28"/>
                <w:lang w:eastAsia="zh-CN"/>
              </w:rPr>
              <w:t xml:space="preserve">  </w:t>
            </w:r>
            <w:r>
              <w:rPr>
                <w:rFonts w:hint="eastAsia" w:cs="宋体"/>
                <w:sz w:val="28"/>
                <w:szCs w:val="28"/>
                <w:lang w:eastAsia="zh-CN"/>
              </w:rPr>
              <w:t>目</w:t>
            </w:r>
          </w:p>
        </w:tc>
        <w:tc>
          <w:tcPr>
            <w:tcW w:w="851" w:type="dxa"/>
            <w:vAlign w:val="center"/>
          </w:tcPr>
          <w:p>
            <w:pPr>
              <w:spacing w:after="0" w:line="240" w:lineRule="auto"/>
              <w:jc w:val="center"/>
              <w:rPr>
                <w:rFonts w:cs="Times New Roman"/>
                <w:sz w:val="28"/>
                <w:szCs w:val="28"/>
                <w:lang w:eastAsia="zh-CN"/>
              </w:rPr>
            </w:pPr>
            <w:r>
              <w:rPr>
                <w:rFonts w:hint="eastAsia" w:cs="宋体"/>
                <w:sz w:val="28"/>
                <w:szCs w:val="28"/>
                <w:lang w:eastAsia="zh-CN"/>
              </w:rPr>
              <w:t>单位</w:t>
            </w:r>
          </w:p>
        </w:tc>
        <w:tc>
          <w:tcPr>
            <w:tcW w:w="2126" w:type="dxa"/>
            <w:vAlign w:val="center"/>
          </w:tcPr>
          <w:p>
            <w:pPr>
              <w:spacing w:after="0" w:line="240" w:lineRule="auto"/>
              <w:jc w:val="center"/>
              <w:rPr>
                <w:rFonts w:cs="Times New Roman"/>
                <w:sz w:val="28"/>
                <w:szCs w:val="28"/>
                <w:lang w:eastAsia="zh-CN"/>
              </w:rPr>
            </w:pPr>
            <w:r>
              <w:rPr>
                <w:sz w:val="28"/>
                <w:szCs w:val="28"/>
                <w:lang w:eastAsia="zh-CN"/>
              </w:rPr>
              <w:t>20</w:t>
            </w:r>
            <w:r>
              <w:rPr>
                <w:rFonts w:hint="eastAsia"/>
                <w:sz w:val="28"/>
                <w:szCs w:val="28"/>
                <w:lang w:eastAsia="zh-CN"/>
              </w:rPr>
              <w:t>2</w:t>
            </w:r>
            <w:r>
              <w:rPr>
                <w:rFonts w:hint="eastAsia"/>
                <w:sz w:val="28"/>
                <w:szCs w:val="28"/>
                <w:lang w:val="en-US" w:eastAsia="zh-CN"/>
              </w:rPr>
              <w:t>6</w:t>
            </w:r>
            <w:r>
              <w:rPr>
                <w:rFonts w:hint="eastAsia" w:cs="宋体"/>
                <w:sz w:val="28"/>
                <w:szCs w:val="28"/>
                <w:lang w:eastAsia="zh-CN"/>
              </w:rPr>
              <w:t>年1季度</w:t>
            </w:r>
          </w:p>
        </w:tc>
        <w:tc>
          <w:tcPr>
            <w:tcW w:w="2268" w:type="dxa"/>
            <w:vAlign w:val="center"/>
          </w:tcPr>
          <w:p>
            <w:pPr>
              <w:spacing w:after="0" w:line="240" w:lineRule="auto"/>
              <w:jc w:val="center"/>
              <w:rPr>
                <w:sz w:val="28"/>
                <w:szCs w:val="28"/>
                <w:lang w:eastAsia="zh-CN"/>
              </w:rPr>
            </w:pPr>
            <w:r>
              <w:rPr>
                <w:rFonts w:hint="eastAsia" w:cs="宋体"/>
                <w:sz w:val="28"/>
                <w:szCs w:val="28"/>
                <w:lang w:eastAsia="zh-CN"/>
              </w:rPr>
              <w:t>同比增长</w:t>
            </w:r>
            <w:r>
              <w:rPr>
                <w:sz w:val="28"/>
                <w:szCs w:val="2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616" w:type="dxa"/>
            <w:vAlign w:val="center"/>
          </w:tcPr>
          <w:p>
            <w:pPr>
              <w:spacing w:after="0" w:line="240" w:lineRule="auto"/>
              <w:jc w:val="center"/>
              <w:rPr>
                <w:rFonts w:cs="Times New Roman"/>
                <w:sz w:val="28"/>
                <w:szCs w:val="28"/>
                <w:lang w:eastAsia="zh-CN"/>
              </w:rPr>
            </w:pPr>
            <w:r>
              <w:rPr>
                <w:rFonts w:hint="eastAsia" w:cs="宋体"/>
                <w:sz w:val="28"/>
                <w:szCs w:val="28"/>
                <w:lang w:eastAsia="zh-CN"/>
              </w:rPr>
              <w:t>农林牧渔业总产值</w:t>
            </w:r>
          </w:p>
        </w:tc>
        <w:tc>
          <w:tcPr>
            <w:tcW w:w="851" w:type="dxa"/>
            <w:vAlign w:val="center"/>
          </w:tcPr>
          <w:p>
            <w:pPr>
              <w:spacing w:after="0" w:line="240" w:lineRule="auto"/>
              <w:jc w:val="center"/>
              <w:rPr>
                <w:rFonts w:cs="Times New Roman"/>
                <w:sz w:val="28"/>
                <w:szCs w:val="28"/>
                <w:lang w:eastAsia="zh-CN"/>
              </w:rPr>
            </w:pPr>
            <w:r>
              <w:rPr>
                <w:rFonts w:hint="eastAsia" w:cs="宋体"/>
                <w:sz w:val="28"/>
                <w:szCs w:val="28"/>
                <w:lang w:eastAsia="zh-CN"/>
              </w:rPr>
              <w:t>万元</w:t>
            </w:r>
          </w:p>
        </w:tc>
        <w:tc>
          <w:tcPr>
            <w:tcW w:w="2126" w:type="dxa"/>
          </w:tcPr>
          <w:p>
            <w:pPr>
              <w:spacing w:after="0" w:line="240" w:lineRule="auto"/>
              <w:jc w:val="center"/>
              <w:rPr>
                <w:sz w:val="28"/>
                <w:szCs w:val="28"/>
                <w:lang w:eastAsia="zh-CN"/>
              </w:rPr>
            </w:pPr>
            <w:r>
              <w:rPr>
                <w:rFonts w:hint="eastAsia"/>
                <w:sz w:val="28"/>
                <w:szCs w:val="28"/>
                <w:lang w:val="en-US" w:eastAsia="zh-CN"/>
              </w:rPr>
              <w:t>10187.1</w:t>
            </w:r>
          </w:p>
        </w:tc>
        <w:tc>
          <w:tcPr>
            <w:tcW w:w="2268" w:type="dxa"/>
          </w:tcPr>
          <w:p>
            <w:pPr>
              <w:spacing w:after="0" w:line="240" w:lineRule="auto"/>
              <w:jc w:val="center"/>
              <w:rPr>
                <w:sz w:val="28"/>
                <w:szCs w:val="28"/>
                <w:lang w:eastAsia="zh-CN"/>
              </w:rPr>
            </w:pPr>
            <w:r>
              <w:rPr>
                <w:rFonts w:hint="eastAsia"/>
                <w:sz w:val="28"/>
                <w:szCs w:val="28"/>
                <w:lang w:val="en-US" w:eastAsia="zh-CN"/>
              </w:rPr>
              <w:t>3.2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616" w:type="dxa"/>
            <w:vAlign w:val="center"/>
          </w:tcPr>
          <w:p>
            <w:pPr>
              <w:spacing w:after="0" w:line="240" w:lineRule="auto"/>
              <w:ind w:firstLine="420" w:firstLineChars="150"/>
              <w:rPr>
                <w:rFonts w:cs="宋体"/>
                <w:sz w:val="28"/>
                <w:szCs w:val="28"/>
                <w:lang w:eastAsia="zh-CN"/>
              </w:rPr>
            </w:pPr>
            <w:r>
              <w:rPr>
                <w:rFonts w:hint="eastAsia" w:cs="宋体"/>
                <w:sz w:val="28"/>
                <w:szCs w:val="28"/>
                <w:lang w:eastAsia="zh-CN"/>
              </w:rPr>
              <w:t>其中</w:t>
            </w:r>
            <w:r>
              <w:rPr>
                <w:rFonts w:cs="宋体"/>
                <w:sz w:val="28"/>
                <w:szCs w:val="28"/>
                <w:lang w:eastAsia="zh-CN"/>
              </w:rPr>
              <w:t>：</w:t>
            </w:r>
            <w:r>
              <w:rPr>
                <w:rFonts w:hint="eastAsia" w:cs="宋体"/>
                <w:sz w:val="28"/>
                <w:szCs w:val="28"/>
                <w:lang w:eastAsia="zh-CN"/>
              </w:rPr>
              <w:t>农业</w:t>
            </w:r>
          </w:p>
        </w:tc>
        <w:tc>
          <w:tcPr>
            <w:tcW w:w="851" w:type="dxa"/>
            <w:vAlign w:val="center"/>
          </w:tcPr>
          <w:p>
            <w:pPr>
              <w:spacing w:after="0" w:line="240" w:lineRule="auto"/>
              <w:jc w:val="center"/>
              <w:rPr>
                <w:rFonts w:cs="宋体"/>
                <w:sz w:val="28"/>
                <w:szCs w:val="28"/>
                <w:lang w:eastAsia="zh-CN"/>
              </w:rPr>
            </w:pPr>
            <w:r>
              <w:rPr>
                <w:rFonts w:hint="eastAsia" w:cs="宋体"/>
                <w:sz w:val="28"/>
                <w:szCs w:val="28"/>
                <w:lang w:eastAsia="zh-CN"/>
              </w:rPr>
              <w:t>万元</w:t>
            </w:r>
          </w:p>
        </w:tc>
        <w:tc>
          <w:tcPr>
            <w:tcW w:w="2126" w:type="dxa"/>
          </w:tcPr>
          <w:p>
            <w:pPr>
              <w:spacing w:after="0" w:line="240" w:lineRule="auto"/>
              <w:jc w:val="center"/>
              <w:rPr>
                <w:sz w:val="28"/>
                <w:szCs w:val="28"/>
                <w:lang w:eastAsia="zh-CN"/>
              </w:rPr>
            </w:pPr>
            <w:r>
              <w:rPr>
                <w:rFonts w:hint="eastAsia"/>
                <w:sz w:val="28"/>
                <w:szCs w:val="28"/>
                <w:lang w:val="en-US" w:eastAsia="zh-CN"/>
              </w:rPr>
              <w:t>471.8</w:t>
            </w:r>
          </w:p>
        </w:tc>
        <w:tc>
          <w:tcPr>
            <w:tcW w:w="2268" w:type="dxa"/>
          </w:tcPr>
          <w:p>
            <w:pPr>
              <w:spacing w:after="0" w:line="240" w:lineRule="auto"/>
              <w:jc w:val="center"/>
              <w:rPr>
                <w:sz w:val="28"/>
                <w:szCs w:val="28"/>
                <w:lang w:eastAsia="zh-CN"/>
              </w:rPr>
            </w:pPr>
            <w:r>
              <w:rPr>
                <w:rFonts w:hint="eastAsia"/>
                <w:sz w:val="28"/>
                <w:szCs w:val="28"/>
                <w:lang w:val="en-US" w:eastAsia="zh-CN"/>
              </w:rPr>
              <w:t>9.0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616" w:type="dxa"/>
            <w:vAlign w:val="center"/>
          </w:tcPr>
          <w:p>
            <w:pPr>
              <w:spacing w:after="0" w:line="240" w:lineRule="auto"/>
              <w:ind w:firstLine="1260" w:firstLineChars="450"/>
              <w:rPr>
                <w:rFonts w:cs="宋体"/>
                <w:sz w:val="28"/>
                <w:szCs w:val="28"/>
                <w:lang w:eastAsia="zh-CN"/>
              </w:rPr>
            </w:pPr>
            <w:r>
              <w:rPr>
                <w:rFonts w:hint="eastAsia" w:cs="宋体"/>
                <w:sz w:val="28"/>
                <w:szCs w:val="28"/>
                <w:lang w:eastAsia="zh-CN"/>
              </w:rPr>
              <w:t>林业</w:t>
            </w:r>
          </w:p>
        </w:tc>
        <w:tc>
          <w:tcPr>
            <w:tcW w:w="851" w:type="dxa"/>
            <w:vAlign w:val="center"/>
          </w:tcPr>
          <w:p>
            <w:pPr>
              <w:spacing w:after="0" w:line="240" w:lineRule="auto"/>
              <w:jc w:val="center"/>
              <w:rPr>
                <w:rFonts w:cs="宋体"/>
                <w:sz w:val="28"/>
                <w:szCs w:val="28"/>
                <w:lang w:eastAsia="zh-CN"/>
              </w:rPr>
            </w:pPr>
            <w:r>
              <w:rPr>
                <w:rFonts w:hint="eastAsia" w:cs="宋体"/>
                <w:sz w:val="28"/>
                <w:szCs w:val="28"/>
                <w:lang w:eastAsia="zh-CN"/>
              </w:rPr>
              <w:t>万元</w:t>
            </w:r>
          </w:p>
        </w:tc>
        <w:tc>
          <w:tcPr>
            <w:tcW w:w="2126" w:type="dxa"/>
          </w:tcPr>
          <w:p>
            <w:pPr>
              <w:spacing w:after="0" w:line="240" w:lineRule="auto"/>
              <w:jc w:val="center"/>
              <w:rPr>
                <w:sz w:val="28"/>
                <w:szCs w:val="28"/>
                <w:lang w:eastAsia="zh-CN"/>
              </w:rPr>
            </w:pPr>
            <w:r>
              <w:rPr>
                <w:rFonts w:hint="eastAsia"/>
                <w:sz w:val="28"/>
                <w:szCs w:val="28"/>
                <w:lang w:val="en-US" w:eastAsia="zh-CN"/>
              </w:rPr>
              <w:t>8602.4</w:t>
            </w:r>
          </w:p>
        </w:tc>
        <w:tc>
          <w:tcPr>
            <w:tcW w:w="2268" w:type="dxa"/>
          </w:tcPr>
          <w:p>
            <w:pPr>
              <w:spacing w:after="0" w:line="240" w:lineRule="auto"/>
              <w:jc w:val="center"/>
              <w:rPr>
                <w:sz w:val="28"/>
                <w:szCs w:val="28"/>
                <w:lang w:eastAsia="zh-CN"/>
              </w:rPr>
            </w:pPr>
            <w:r>
              <w:rPr>
                <w:rFonts w:hint="eastAsia"/>
                <w:sz w:val="28"/>
                <w:szCs w:val="28"/>
                <w:lang w:val="en-US" w:eastAsia="zh-CN"/>
              </w:rPr>
              <w:t>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616" w:type="dxa"/>
            <w:vAlign w:val="center"/>
          </w:tcPr>
          <w:p>
            <w:pPr>
              <w:spacing w:after="0" w:line="240" w:lineRule="auto"/>
              <w:ind w:firstLine="1260" w:firstLineChars="450"/>
              <w:rPr>
                <w:rFonts w:cs="宋体"/>
                <w:sz w:val="28"/>
                <w:szCs w:val="28"/>
                <w:lang w:eastAsia="zh-CN"/>
              </w:rPr>
            </w:pPr>
            <w:r>
              <w:rPr>
                <w:rFonts w:hint="eastAsia" w:cs="宋体"/>
                <w:sz w:val="28"/>
                <w:szCs w:val="28"/>
                <w:lang w:eastAsia="zh-CN"/>
              </w:rPr>
              <w:t>牧业</w:t>
            </w:r>
          </w:p>
        </w:tc>
        <w:tc>
          <w:tcPr>
            <w:tcW w:w="851" w:type="dxa"/>
            <w:vAlign w:val="center"/>
          </w:tcPr>
          <w:p>
            <w:pPr>
              <w:spacing w:after="0" w:line="240" w:lineRule="auto"/>
              <w:jc w:val="center"/>
              <w:rPr>
                <w:rFonts w:cs="宋体"/>
                <w:sz w:val="28"/>
                <w:szCs w:val="28"/>
                <w:lang w:eastAsia="zh-CN"/>
              </w:rPr>
            </w:pPr>
            <w:r>
              <w:rPr>
                <w:rFonts w:hint="eastAsia" w:cs="宋体"/>
                <w:sz w:val="28"/>
                <w:szCs w:val="28"/>
                <w:lang w:eastAsia="zh-CN"/>
              </w:rPr>
              <w:t>万元</w:t>
            </w:r>
          </w:p>
        </w:tc>
        <w:tc>
          <w:tcPr>
            <w:tcW w:w="2126" w:type="dxa"/>
          </w:tcPr>
          <w:p>
            <w:pPr>
              <w:spacing w:after="0" w:line="240" w:lineRule="auto"/>
              <w:jc w:val="center"/>
              <w:rPr>
                <w:sz w:val="28"/>
                <w:szCs w:val="28"/>
                <w:lang w:eastAsia="zh-CN"/>
              </w:rPr>
            </w:pPr>
            <w:r>
              <w:rPr>
                <w:sz w:val="28"/>
                <w:szCs w:val="28"/>
                <w:lang w:eastAsia="zh-CN"/>
              </w:rPr>
              <w:t>0</w:t>
            </w:r>
          </w:p>
        </w:tc>
        <w:tc>
          <w:tcPr>
            <w:tcW w:w="2268" w:type="dxa"/>
            <w:vAlign w:val="center"/>
          </w:tcPr>
          <w:p>
            <w:pPr>
              <w:spacing w:after="0" w:line="240" w:lineRule="auto"/>
              <w:jc w:val="center"/>
              <w:rPr>
                <w:sz w:val="28"/>
                <w:szCs w:val="28"/>
                <w:lang w:eastAsia="zh-CN"/>
              </w:rPr>
            </w:pPr>
            <w:r>
              <w:rPr>
                <w:rFonts w:hint="eastAsia"/>
                <w:sz w:val="28"/>
                <w:szCs w:val="2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616" w:type="dxa"/>
            <w:vAlign w:val="center"/>
          </w:tcPr>
          <w:p>
            <w:pPr>
              <w:spacing w:after="0" w:line="240" w:lineRule="auto"/>
              <w:ind w:firstLine="1260" w:firstLineChars="450"/>
              <w:rPr>
                <w:rFonts w:cs="宋体"/>
                <w:sz w:val="28"/>
                <w:szCs w:val="28"/>
                <w:lang w:eastAsia="zh-CN"/>
              </w:rPr>
            </w:pPr>
            <w:r>
              <w:rPr>
                <w:rFonts w:hint="eastAsia" w:cs="宋体"/>
                <w:sz w:val="28"/>
                <w:szCs w:val="28"/>
                <w:lang w:eastAsia="zh-CN"/>
              </w:rPr>
              <w:t>渔业</w:t>
            </w:r>
          </w:p>
        </w:tc>
        <w:tc>
          <w:tcPr>
            <w:tcW w:w="851" w:type="dxa"/>
            <w:vAlign w:val="center"/>
          </w:tcPr>
          <w:p>
            <w:pPr>
              <w:spacing w:after="0" w:line="240" w:lineRule="auto"/>
              <w:jc w:val="center"/>
              <w:rPr>
                <w:rFonts w:cs="宋体"/>
                <w:sz w:val="28"/>
                <w:szCs w:val="28"/>
                <w:lang w:eastAsia="zh-CN"/>
              </w:rPr>
            </w:pPr>
            <w:r>
              <w:rPr>
                <w:rFonts w:hint="eastAsia" w:cs="宋体"/>
                <w:sz w:val="28"/>
                <w:szCs w:val="28"/>
                <w:lang w:eastAsia="zh-CN"/>
              </w:rPr>
              <w:t>万元</w:t>
            </w:r>
          </w:p>
        </w:tc>
        <w:tc>
          <w:tcPr>
            <w:tcW w:w="2126" w:type="dxa"/>
          </w:tcPr>
          <w:p>
            <w:pPr>
              <w:spacing w:after="0" w:line="240" w:lineRule="auto"/>
              <w:jc w:val="center"/>
              <w:rPr>
                <w:sz w:val="28"/>
                <w:szCs w:val="28"/>
                <w:lang w:eastAsia="zh-CN"/>
              </w:rPr>
            </w:pPr>
            <w:r>
              <w:rPr>
                <w:rFonts w:hint="eastAsia"/>
                <w:sz w:val="28"/>
                <w:szCs w:val="28"/>
                <w:lang w:val="en-US" w:eastAsia="zh-CN"/>
              </w:rPr>
              <w:t>1102.5</w:t>
            </w:r>
          </w:p>
        </w:tc>
        <w:tc>
          <w:tcPr>
            <w:tcW w:w="2268" w:type="dxa"/>
            <w:vAlign w:val="center"/>
          </w:tcPr>
          <w:p>
            <w:pPr>
              <w:spacing w:after="0" w:line="240" w:lineRule="auto"/>
              <w:jc w:val="center"/>
              <w:rPr>
                <w:sz w:val="28"/>
                <w:szCs w:val="28"/>
                <w:lang w:eastAsia="zh-CN"/>
              </w:rPr>
            </w:pPr>
            <w:r>
              <w:rPr>
                <w:rFonts w:hint="eastAsia"/>
                <w:sz w:val="28"/>
                <w:szCs w:val="28"/>
                <w:lang w:val="en-US" w:eastAsia="zh-CN"/>
              </w:rPr>
              <w:t>2.1</w:t>
            </w:r>
            <w:bookmarkStart w:id="0" w:name="_GoBack"/>
            <w:bookmarkEnd w:id="0"/>
          </w:p>
        </w:tc>
      </w:tr>
    </w:tbl>
    <w:p>
      <w:pPr>
        <w:rPr>
          <w:rFonts w:cs="Times New Roman"/>
          <w:lang w:eastAsia="zh-CN"/>
        </w:rPr>
      </w:pPr>
    </w:p>
    <w:p>
      <w:pPr>
        <w:spacing w:after="156" w:afterLines="50" w:line="480" w:lineRule="auto"/>
        <w:jc w:val="center"/>
        <w:rPr>
          <w:rFonts w:ascii="宋体" w:cs="Times New Roman"/>
          <w:b/>
          <w:bCs/>
          <w:color w:val="000000"/>
          <w:sz w:val="32"/>
          <w:szCs w:val="32"/>
          <w:lang w:eastAsia="zh-CN"/>
        </w:rPr>
      </w:pPr>
      <w:r>
        <w:rPr>
          <w:rFonts w:hint="eastAsia" w:ascii="宋体" w:hAnsi="宋体" w:cs="宋体"/>
          <w:b/>
          <w:bCs/>
          <w:color w:val="000000"/>
          <w:sz w:val="32"/>
          <w:szCs w:val="32"/>
          <w:lang w:eastAsia="zh-CN"/>
        </w:rPr>
        <w:t>农林牧渔业总产值统计范围、采集渠道及指标解释</w:t>
      </w:r>
    </w:p>
    <w:p>
      <w:pPr>
        <w:spacing w:after="0" w:line="480" w:lineRule="auto"/>
        <w:ind w:firstLine="562" w:firstLineChars="200"/>
        <w:rPr>
          <w:rFonts w:ascii="宋体" w:cs="Times New Roman"/>
          <w:b/>
          <w:bCs/>
          <w:color w:val="000000"/>
          <w:sz w:val="28"/>
          <w:szCs w:val="28"/>
          <w:lang w:eastAsia="zh-CN"/>
        </w:rPr>
      </w:pPr>
      <w:r>
        <w:rPr>
          <w:rFonts w:hint="eastAsia" w:ascii="宋体" w:hAnsi="宋体" w:cs="宋体"/>
          <w:b/>
          <w:bCs/>
          <w:color w:val="000000"/>
          <w:sz w:val="28"/>
          <w:szCs w:val="28"/>
          <w:lang w:eastAsia="zh-CN"/>
        </w:rPr>
        <w:t>一、统计范围</w:t>
      </w:r>
    </w:p>
    <w:p>
      <w:pPr>
        <w:spacing w:after="0" w:line="480" w:lineRule="auto"/>
        <w:rPr>
          <w:rFonts w:ascii="宋体" w:cs="Times New Roman"/>
          <w:lang w:eastAsia="zh-CN"/>
        </w:rPr>
      </w:pPr>
      <w:r>
        <w:rPr>
          <w:rFonts w:hint="eastAsia" w:ascii="宋体" w:hAnsi="宋体" w:cs="宋体"/>
          <w:color w:val="000000"/>
          <w:sz w:val="28"/>
          <w:szCs w:val="28"/>
          <w:lang w:eastAsia="zh-CN"/>
        </w:rPr>
        <w:t>　　朝阳区农林牧渔业生产单位，第二、三产业法人单位中的农林牧渔业生产活动，</w:t>
      </w:r>
      <w:r>
        <w:rPr>
          <w:rFonts w:hint="eastAsia" w:ascii="宋体" w:hAnsi="宋体" w:cs="宋体"/>
          <w:sz w:val="28"/>
          <w:szCs w:val="28"/>
          <w:lang w:eastAsia="zh-CN"/>
        </w:rPr>
        <w:t>军委系统的农业生产单位（除军马外），</w:t>
      </w:r>
      <w:r>
        <w:rPr>
          <w:rFonts w:hint="eastAsia" w:ascii="宋体" w:hAnsi="宋体" w:cs="宋体"/>
          <w:color w:val="000000"/>
          <w:sz w:val="28"/>
          <w:szCs w:val="28"/>
          <w:lang w:eastAsia="zh-CN"/>
        </w:rPr>
        <w:t>以及为农业生产提供服务的农林牧渔服务业单位和农户。</w:t>
      </w:r>
      <w:r>
        <w:rPr>
          <w:rFonts w:ascii="宋体" w:cs="Times New Roman"/>
          <w:color w:val="000000"/>
          <w:sz w:val="28"/>
          <w:szCs w:val="28"/>
          <w:lang w:eastAsia="zh-CN"/>
        </w:rPr>
        <w:br w:type="textWrapping"/>
      </w:r>
      <w:r>
        <w:rPr>
          <w:rFonts w:ascii="宋体" w:hAnsi="宋体" w:cs="宋体"/>
          <w:b/>
          <w:bCs/>
          <w:color w:val="000000"/>
          <w:sz w:val="28"/>
          <w:szCs w:val="28"/>
          <w:lang w:eastAsia="zh-CN"/>
        </w:rPr>
        <w:t xml:space="preserve">    </w:t>
      </w:r>
      <w:r>
        <w:rPr>
          <w:rFonts w:hint="eastAsia" w:ascii="宋体" w:hAnsi="宋体" w:cs="宋体"/>
          <w:b/>
          <w:bCs/>
          <w:color w:val="000000"/>
          <w:sz w:val="28"/>
          <w:szCs w:val="28"/>
          <w:lang w:eastAsia="zh-CN"/>
        </w:rPr>
        <w:t>二、采集渠道</w:t>
      </w:r>
      <w:r>
        <w:rPr>
          <w:rFonts w:ascii="宋体" w:cs="Times New Roman"/>
          <w:color w:val="000000"/>
          <w:sz w:val="28"/>
          <w:szCs w:val="28"/>
          <w:lang w:eastAsia="zh-CN"/>
        </w:rPr>
        <w:br w:type="textWrapping"/>
      </w:r>
      <w:r>
        <w:rPr>
          <w:rFonts w:hint="eastAsia" w:ascii="宋体" w:hAnsi="宋体" w:cs="宋体"/>
          <w:color w:val="000000"/>
          <w:sz w:val="28"/>
          <w:szCs w:val="28"/>
          <w:lang w:eastAsia="zh-CN"/>
        </w:rPr>
        <w:t>　　按照《郊区统计报表制度》的规定，由村、乡、到区逐级汇总、上报。</w:t>
      </w:r>
      <w:r>
        <w:rPr>
          <w:rFonts w:ascii="宋体" w:cs="Times New Roman"/>
          <w:color w:val="000000"/>
          <w:sz w:val="28"/>
          <w:szCs w:val="28"/>
          <w:lang w:eastAsia="zh-CN"/>
        </w:rPr>
        <w:br w:type="textWrapping"/>
      </w:r>
      <w:r>
        <w:rPr>
          <w:rFonts w:ascii="宋体" w:hAnsi="宋体" w:cs="宋体"/>
          <w:b/>
          <w:bCs/>
          <w:color w:val="000000"/>
          <w:sz w:val="28"/>
          <w:szCs w:val="28"/>
          <w:lang w:eastAsia="zh-CN"/>
        </w:rPr>
        <w:t xml:space="preserve">    </w:t>
      </w:r>
      <w:r>
        <w:rPr>
          <w:rFonts w:hint="eastAsia" w:ascii="宋体" w:hAnsi="宋体" w:cs="宋体"/>
          <w:b/>
          <w:bCs/>
          <w:color w:val="000000"/>
          <w:sz w:val="28"/>
          <w:szCs w:val="28"/>
          <w:lang w:eastAsia="zh-CN"/>
        </w:rPr>
        <w:t>三、指标解释</w:t>
      </w:r>
      <w:r>
        <w:rPr>
          <w:rFonts w:ascii="宋体" w:cs="Times New Roman"/>
          <w:color w:val="000000"/>
          <w:sz w:val="28"/>
          <w:szCs w:val="28"/>
          <w:lang w:eastAsia="zh-CN"/>
        </w:rPr>
        <w:br w:type="textWrapping"/>
      </w:r>
      <w:r>
        <w:rPr>
          <w:rFonts w:hint="eastAsia" w:ascii="宋体" w:hAnsi="宋体" w:cs="宋体"/>
          <w:color w:val="000000"/>
          <w:sz w:val="28"/>
          <w:szCs w:val="28"/>
          <w:lang w:eastAsia="zh-CN"/>
        </w:rPr>
        <w:t>　　</w:t>
      </w:r>
      <w:r>
        <w:rPr>
          <w:rFonts w:hint="eastAsia" w:ascii="宋体" w:hAnsi="宋体" w:cs="宋体"/>
          <w:b/>
          <w:bCs/>
          <w:color w:val="000000"/>
          <w:sz w:val="28"/>
          <w:szCs w:val="28"/>
          <w:lang w:eastAsia="zh-CN"/>
        </w:rPr>
        <w:t>农林牧渔业总产值</w:t>
      </w:r>
      <w:r>
        <w:rPr>
          <w:rFonts w:hint="eastAsia" w:ascii="宋体" w:hAnsi="宋体" w:cs="宋体"/>
          <w:color w:val="000000"/>
          <w:sz w:val="28"/>
          <w:szCs w:val="28"/>
          <w:lang w:eastAsia="zh-CN"/>
        </w:rPr>
        <w:t>：是以货币表现的农林牧渔业的全部产品总量和对农林牧渔业生产活动进行的各种支持性服务活动的价值。</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B3E18"/>
    <w:rsid w:val="0001503A"/>
    <w:rsid w:val="00017719"/>
    <w:rsid w:val="00070B64"/>
    <w:rsid w:val="000A2A7D"/>
    <w:rsid w:val="000B1FD9"/>
    <w:rsid w:val="000C2160"/>
    <w:rsid w:val="00127BC4"/>
    <w:rsid w:val="00131392"/>
    <w:rsid w:val="001332B8"/>
    <w:rsid w:val="00144DEA"/>
    <w:rsid w:val="001F1A2C"/>
    <w:rsid w:val="00211C30"/>
    <w:rsid w:val="0021768C"/>
    <w:rsid w:val="002503FE"/>
    <w:rsid w:val="00250EBF"/>
    <w:rsid w:val="00270FEB"/>
    <w:rsid w:val="00322663"/>
    <w:rsid w:val="003313A8"/>
    <w:rsid w:val="00371A83"/>
    <w:rsid w:val="00375A3A"/>
    <w:rsid w:val="003853A1"/>
    <w:rsid w:val="00393F23"/>
    <w:rsid w:val="003C627B"/>
    <w:rsid w:val="003C7F62"/>
    <w:rsid w:val="00410D9F"/>
    <w:rsid w:val="00445523"/>
    <w:rsid w:val="00456BDB"/>
    <w:rsid w:val="004614EC"/>
    <w:rsid w:val="004D1245"/>
    <w:rsid w:val="004D1ABA"/>
    <w:rsid w:val="00534044"/>
    <w:rsid w:val="00543622"/>
    <w:rsid w:val="005753CE"/>
    <w:rsid w:val="005B3E18"/>
    <w:rsid w:val="005C0F4F"/>
    <w:rsid w:val="006623E6"/>
    <w:rsid w:val="006E5044"/>
    <w:rsid w:val="006F0B17"/>
    <w:rsid w:val="00704299"/>
    <w:rsid w:val="00711B52"/>
    <w:rsid w:val="00724D86"/>
    <w:rsid w:val="00762522"/>
    <w:rsid w:val="007708A4"/>
    <w:rsid w:val="00781736"/>
    <w:rsid w:val="0079172E"/>
    <w:rsid w:val="007A7E8F"/>
    <w:rsid w:val="0082431E"/>
    <w:rsid w:val="00833155"/>
    <w:rsid w:val="00836199"/>
    <w:rsid w:val="00885D8C"/>
    <w:rsid w:val="008B3F0C"/>
    <w:rsid w:val="008B43C3"/>
    <w:rsid w:val="008C79BD"/>
    <w:rsid w:val="008F564F"/>
    <w:rsid w:val="00907987"/>
    <w:rsid w:val="009171AD"/>
    <w:rsid w:val="00931159"/>
    <w:rsid w:val="00934898"/>
    <w:rsid w:val="00950F88"/>
    <w:rsid w:val="00960771"/>
    <w:rsid w:val="009716C7"/>
    <w:rsid w:val="009860F4"/>
    <w:rsid w:val="009D116A"/>
    <w:rsid w:val="009F7AA6"/>
    <w:rsid w:val="00A3425F"/>
    <w:rsid w:val="00A55103"/>
    <w:rsid w:val="00A72298"/>
    <w:rsid w:val="00AF20FF"/>
    <w:rsid w:val="00B27967"/>
    <w:rsid w:val="00B3557D"/>
    <w:rsid w:val="00B405A2"/>
    <w:rsid w:val="00B535D3"/>
    <w:rsid w:val="00B70C39"/>
    <w:rsid w:val="00B727D7"/>
    <w:rsid w:val="00BA0900"/>
    <w:rsid w:val="00BC12B0"/>
    <w:rsid w:val="00BC2839"/>
    <w:rsid w:val="00C11B12"/>
    <w:rsid w:val="00C146F8"/>
    <w:rsid w:val="00C23D23"/>
    <w:rsid w:val="00C5326F"/>
    <w:rsid w:val="00C65E7D"/>
    <w:rsid w:val="00CA0F48"/>
    <w:rsid w:val="00CC1B1A"/>
    <w:rsid w:val="00CD431B"/>
    <w:rsid w:val="00CE044A"/>
    <w:rsid w:val="00D26CC3"/>
    <w:rsid w:val="00D5272E"/>
    <w:rsid w:val="00D74DBB"/>
    <w:rsid w:val="00D95D9C"/>
    <w:rsid w:val="00DD3DBD"/>
    <w:rsid w:val="00DE0FB1"/>
    <w:rsid w:val="00E65EFB"/>
    <w:rsid w:val="00E82FB3"/>
    <w:rsid w:val="00E96723"/>
    <w:rsid w:val="00F405CF"/>
    <w:rsid w:val="00F54B7E"/>
    <w:rsid w:val="00F80F6F"/>
    <w:rsid w:val="00F83739"/>
    <w:rsid w:val="00FA52A6"/>
    <w:rsid w:val="00FA74D6"/>
    <w:rsid w:val="00FF48C7"/>
    <w:rsid w:val="09E31732"/>
    <w:rsid w:val="117911CD"/>
    <w:rsid w:val="17060CE2"/>
    <w:rsid w:val="19274D76"/>
    <w:rsid w:val="1CFE2A4C"/>
    <w:rsid w:val="1E0563A1"/>
    <w:rsid w:val="27FE7320"/>
    <w:rsid w:val="66BD7B67"/>
    <w:rsid w:val="68284F23"/>
    <w:rsid w:val="6B7015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Calibri"/>
      <w:sz w:val="22"/>
      <w:szCs w:val="22"/>
      <w:lang w:val="en-US" w:eastAsia="en-US" w:bidi="ar-SA"/>
    </w:rPr>
  </w:style>
  <w:style w:type="paragraph" w:styleId="2">
    <w:name w:val="heading 1"/>
    <w:basedOn w:val="1"/>
    <w:next w:val="1"/>
    <w:link w:val="21"/>
    <w:qFormat/>
    <w:uiPriority w:val="99"/>
    <w:pPr>
      <w:keepNext/>
      <w:keepLines/>
      <w:spacing w:before="480" w:after="0"/>
      <w:outlineLvl w:val="0"/>
    </w:pPr>
    <w:rPr>
      <w:rFonts w:ascii="Cambria" w:hAnsi="Cambria" w:cs="Cambria"/>
      <w:b/>
      <w:bCs/>
      <w:color w:val="365F91"/>
      <w:sz w:val="28"/>
      <w:szCs w:val="28"/>
    </w:rPr>
  </w:style>
  <w:style w:type="paragraph" w:styleId="3">
    <w:name w:val="heading 2"/>
    <w:basedOn w:val="1"/>
    <w:next w:val="1"/>
    <w:link w:val="22"/>
    <w:qFormat/>
    <w:uiPriority w:val="99"/>
    <w:pPr>
      <w:keepNext/>
      <w:keepLines/>
      <w:spacing w:before="200" w:after="0"/>
      <w:outlineLvl w:val="1"/>
    </w:pPr>
    <w:rPr>
      <w:rFonts w:ascii="Cambria" w:hAnsi="Cambria" w:cs="Cambria"/>
      <w:b/>
      <w:bCs/>
      <w:color w:val="4F81BD"/>
      <w:sz w:val="26"/>
      <w:szCs w:val="26"/>
    </w:rPr>
  </w:style>
  <w:style w:type="paragraph" w:styleId="4">
    <w:name w:val="heading 3"/>
    <w:basedOn w:val="1"/>
    <w:next w:val="1"/>
    <w:link w:val="23"/>
    <w:qFormat/>
    <w:uiPriority w:val="99"/>
    <w:pPr>
      <w:keepNext/>
      <w:keepLines/>
      <w:spacing w:before="200" w:after="0"/>
      <w:outlineLvl w:val="2"/>
    </w:pPr>
    <w:rPr>
      <w:rFonts w:ascii="Cambria" w:hAnsi="Cambria" w:cs="Cambria"/>
      <w:b/>
      <w:bCs/>
      <w:color w:val="4F81BD"/>
    </w:rPr>
  </w:style>
  <w:style w:type="paragraph" w:styleId="5">
    <w:name w:val="heading 4"/>
    <w:basedOn w:val="1"/>
    <w:next w:val="1"/>
    <w:link w:val="24"/>
    <w:qFormat/>
    <w:uiPriority w:val="99"/>
    <w:pPr>
      <w:keepNext/>
      <w:keepLines/>
      <w:spacing w:before="200" w:after="0"/>
      <w:outlineLvl w:val="3"/>
    </w:pPr>
    <w:rPr>
      <w:rFonts w:ascii="Cambria" w:hAnsi="Cambria" w:cs="Cambria"/>
      <w:b/>
      <w:bCs/>
      <w:i/>
      <w:iCs/>
      <w:color w:val="4F81BD"/>
    </w:rPr>
  </w:style>
  <w:style w:type="paragraph" w:styleId="6">
    <w:name w:val="heading 5"/>
    <w:basedOn w:val="1"/>
    <w:next w:val="1"/>
    <w:link w:val="25"/>
    <w:qFormat/>
    <w:uiPriority w:val="99"/>
    <w:pPr>
      <w:keepNext/>
      <w:keepLines/>
      <w:spacing w:before="200" w:after="0"/>
      <w:outlineLvl w:val="4"/>
    </w:pPr>
    <w:rPr>
      <w:rFonts w:ascii="Cambria" w:hAnsi="Cambria" w:cs="Cambria"/>
      <w:color w:val="243F60"/>
    </w:rPr>
  </w:style>
  <w:style w:type="paragraph" w:styleId="7">
    <w:name w:val="heading 6"/>
    <w:basedOn w:val="1"/>
    <w:next w:val="1"/>
    <w:link w:val="26"/>
    <w:qFormat/>
    <w:uiPriority w:val="99"/>
    <w:pPr>
      <w:keepNext/>
      <w:keepLines/>
      <w:spacing w:before="200" w:after="0"/>
      <w:outlineLvl w:val="5"/>
    </w:pPr>
    <w:rPr>
      <w:rFonts w:ascii="Cambria" w:hAnsi="Cambria" w:cs="Cambria"/>
      <w:i/>
      <w:iCs/>
      <w:color w:val="243F60"/>
    </w:rPr>
  </w:style>
  <w:style w:type="paragraph" w:styleId="8">
    <w:name w:val="heading 7"/>
    <w:basedOn w:val="1"/>
    <w:next w:val="1"/>
    <w:link w:val="27"/>
    <w:qFormat/>
    <w:uiPriority w:val="99"/>
    <w:pPr>
      <w:keepNext/>
      <w:keepLines/>
      <w:spacing w:before="200" w:after="0"/>
      <w:outlineLvl w:val="6"/>
    </w:pPr>
    <w:rPr>
      <w:rFonts w:ascii="Cambria" w:hAnsi="Cambria" w:cs="Cambria"/>
      <w:i/>
      <w:iCs/>
      <w:color w:val="404040"/>
    </w:rPr>
  </w:style>
  <w:style w:type="paragraph" w:styleId="9">
    <w:name w:val="heading 8"/>
    <w:basedOn w:val="1"/>
    <w:next w:val="1"/>
    <w:link w:val="28"/>
    <w:qFormat/>
    <w:uiPriority w:val="99"/>
    <w:pPr>
      <w:keepNext/>
      <w:keepLines/>
      <w:spacing w:before="200" w:after="0"/>
      <w:outlineLvl w:val="7"/>
    </w:pPr>
    <w:rPr>
      <w:rFonts w:ascii="Cambria" w:hAnsi="Cambria" w:cs="Cambria"/>
      <w:color w:val="4F81BD"/>
      <w:sz w:val="20"/>
      <w:szCs w:val="20"/>
    </w:rPr>
  </w:style>
  <w:style w:type="paragraph" w:styleId="10">
    <w:name w:val="heading 9"/>
    <w:basedOn w:val="1"/>
    <w:next w:val="1"/>
    <w:link w:val="29"/>
    <w:qFormat/>
    <w:uiPriority w:val="99"/>
    <w:pPr>
      <w:keepNext/>
      <w:keepLines/>
      <w:spacing w:before="200" w:after="0"/>
      <w:outlineLvl w:val="8"/>
    </w:pPr>
    <w:rPr>
      <w:rFonts w:ascii="Cambria" w:hAnsi="Cambria" w:cs="Cambria"/>
      <w:i/>
      <w:iCs/>
      <w:color w:val="404040"/>
      <w:sz w:val="20"/>
      <w:szCs w:val="20"/>
    </w:rPr>
  </w:style>
  <w:style w:type="character" w:default="1" w:styleId="16">
    <w:name w:val="Default Paragraph Font"/>
    <w:unhideWhenUsed/>
    <w:uiPriority w:val="1"/>
  </w:style>
  <w:style w:type="table" w:default="1" w:styleId="19">
    <w:name w:val="Normal Table"/>
    <w:unhideWhenUsed/>
    <w:uiPriority w:val="99"/>
    <w:tblPr>
      <w:tblLayout w:type="fixed"/>
      <w:tblCellMar>
        <w:top w:w="0" w:type="dxa"/>
        <w:left w:w="108" w:type="dxa"/>
        <w:bottom w:w="0" w:type="dxa"/>
        <w:right w:w="108" w:type="dxa"/>
      </w:tblCellMar>
    </w:tblPr>
  </w:style>
  <w:style w:type="paragraph" w:styleId="11">
    <w:name w:val="caption"/>
    <w:basedOn w:val="1"/>
    <w:next w:val="1"/>
    <w:qFormat/>
    <w:uiPriority w:val="99"/>
    <w:pPr>
      <w:spacing w:line="240" w:lineRule="auto"/>
    </w:pPr>
    <w:rPr>
      <w:b/>
      <w:bCs/>
      <w:color w:val="4F81BD"/>
      <w:sz w:val="18"/>
      <w:szCs w:val="18"/>
    </w:rPr>
  </w:style>
  <w:style w:type="paragraph" w:styleId="12">
    <w:name w:val="footer"/>
    <w:basedOn w:val="1"/>
    <w:link w:val="45"/>
    <w:semiHidden/>
    <w:qFormat/>
    <w:uiPriority w:val="99"/>
    <w:pPr>
      <w:tabs>
        <w:tab w:val="center" w:pos="4153"/>
        <w:tab w:val="right" w:pos="8306"/>
      </w:tabs>
      <w:snapToGrid w:val="0"/>
      <w:spacing w:line="240" w:lineRule="auto"/>
    </w:pPr>
    <w:rPr>
      <w:sz w:val="18"/>
      <w:szCs w:val="18"/>
    </w:rPr>
  </w:style>
  <w:style w:type="paragraph" w:styleId="13">
    <w:name w:val="header"/>
    <w:basedOn w:val="1"/>
    <w:link w:val="44"/>
    <w:semiHidden/>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Subtitle"/>
    <w:basedOn w:val="1"/>
    <w:next w:val="1"/>
    <w:link w:val="31"/>
    <w:qFormat/>
    <w:uiPriority w:val="99"/>
    <w:rPr>
      <w:rFonts w:ascii="Cambria" w:hAnsi="Cambria" w:cs="Cambria"/>
      <w:i/>
      <w:iCs/>
      <w:color w:val="4F81BD"/>
      <w:spacing w:val="15"/>
      <w:sz w:val="24"/>
      <w:szCs w:val="24"/>
    </w:rPr>
  </w:style>
  <w:style w:type="paragraph" w:styleId="15">
    <w:name w:val="Title"/>
    <w:basedOn w:val="1"/>
    <w:next w:val="1"/>
    <w:link w:val="30"/>
    <w:qFormat/>
    <w:uiPriority w:val="99"/>
    <w:pPr>
      <w:pBdr>
        <w:bottom w:val="single" w:color="4F81BD" w:sz="8" w:space="4"/>
      </w:pBdr>
      <w:spacing w:after="300" w:line="240" w:lineRule="auto"/>
    </w:pPr>
    <w:rPr>
      <w:rFonts w:ascii="Cambria" w:hAnsi="Cambria" w:cs="Cambria"/>
      <w:color w:val="17365D"/>
      <w:spacing w:val="5"/>
      <w:kern w:val="28"/>
      <w:sz w:val="52"/>
      <w:szCs w:val="52"/>
    </w:rPr>
  </w:style>
  <w:style w:type="character" w:styleId="17">
    <w:name w:val="Strong"/>
    <w:basedOn w:val="16"/>
    <w:qFormat/>
    <w:uiPriority w:val="99"/>
    <w:rPr>
      <w:b/>
      <w:bCs/>
    </w:rPr>
  </w:style>
  <w:style w:type="character" w:styleId="18">
    <w:name w:val="Emphasis"/>
    <w:basedOn w:val="16"/>
    <w:qFormat/>
    <w:uiPriority w:val="99"/>
    <w:rPr>
      <w:i/>
      <w:iCs/>
    </w:rPr>
  </w:style>
  <w:style w:type="table" w:styleId="20">
    <w:name w:val="Table Grid"/>
    <w:basedOn w:val="19"/>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1">
    <w:name w:val="标题 1 Char"/>
    <w:basedOn w:val="16"/>
    <w:link w:val="2"/>
    <w:qFormat/>
    <w:locked/>
    <w:uiPriority w:val="99"/>
    <w:rPr>
      <w:rFonts w:ascii="Cambria" w:hAnsi="Cambria" w:eastAsia="宋体" w:cs="Cambria"/>
      <w:b/>
      <w:bCs/>
      <w:color w:val="365F91"/>
      <w:sz w:val="28"/>
      <w:szCs w:val="28"/>
    </w:rPr>
  </w:style>
  <w:style w:type="character" w:customStyle="1" w:styleId="22">
    <w:name w:val="标题 2 Char"/>
    <w:basedOn w:val="16"/>
    <w:link w:val="3"/>
    <w:semiHidden/>
    <w:qFormat/>
    <w:locked/>
    <w:uiPriority w:val="99"/>
    <w:rPr>
      <w:rFonts w:ascii="Cambria" w:hAnsi="Cambria" w:eastAsia="宋体" w:cs="Cambria"/>
      <w:b/>
      <w:bCs/>
      <w:color w:val="4F81BD"/>
      <w:sz w:val="26"/>
      <w:szCs w:val="26"/>
    </w:rPr>
  </w:style>
  <w:style w:type="character" w:customStyle="1" w:styleId="23">
    <w:name w:val="标题 3 Char"/>
    <w:basedOn w:val="16"/>
    <w:link w:val="4"/>
    <w:qFormat/>
    <w:locked/>
    <w:uiPriority w:val="99"/>
    <w:rPr>
      <w:rFonts w:ascii="Cambria" w:hAnsi="Cambria" w:eastAsia="宋体" w:cs="Cambria"/>
      <w:b/>
      <w:bCs/>
      <w:color w:val="4F81BD"/>
    </w:rPr>
  </w:style>
  <w:style w:type="character" w:customStyle="1" w:styleId="24">
    <w:name w:val="标题 4 Char"/>
    <w:basedOn w:val="16"/>
    <w:link w:val="5"/>
    <w:qFormat/>
    <w:locked/>
    <w:uiPriority w:val="99"/>
    <w:rPr>
      <w:rFonts w:ascii="Cambria" w:hAnsi="Cambria" w:eastAsia="宋体" w:cs="Cambria"/>
      <w:b/>
      <w:bCs/>
      <w:i/>
      <w:iCs/>
      <w:color w:val="4F81BD"/>
    </w:rPr>
  </w:style>
  <w:style w:type="character" w:customStyle="1" w:styleId="25">
    <w:name w:val="标题 5 Char"/>
    <w:basedOn w:val="16"/>
    <w:link w:val="6"/>
    <w:qFormat/>
    <w:locked/>
    <w:uiPriority w:val="99"/>
    <w:rPr>
      <w:rFonts w:ascii="Cambria" w:hAnsi="Cambria" w:eastAsia="宋体" w:cs="Cambria"/>
      <w:color w:val="243F60"/>
    </w:rPr>
  </w:style>
  <w:style w:type="character" w:customStyle="1" w:styleId="26">
    <w:name w:val="标题 6 Char"/>
    <w:basedOn w:val="16"/>
    <w:link w:val="7"/>
    <w:qFormat/>
    <w:locked/>
    <w:uiPriority w:val="99"/>
    <w:rPr>
      <w:rFonts w:ascii="Cambria" w:hAnsi="Cambria" w:eastAsia="宋体" w:cs="Cambria"/>
      <w:i/>
      <w:iCs/>
      <w:color w:val="243F60"/>
    </w:rPr>
  </w:style>
  <w:style w:type="character" w:customStyle="1" w:styleId="27">
    <w:name w:val="标题 7 Char"/>
    <w:basedOn w:val="16"/>
    <w:link w:val="8"/>
    <w:qFormat/>
    <w:locked/>
    <w:uiPriority w:val="99"/>
    <w:rPr>
      <w:rFonts w:ascii="Cambria" w:hAnsi="Cambria" w:eastAsia="宋体" w:cs="Cambria"/>
      <w:i/>
      <w:iCs/>
      <w:color w:val="404040"/>
    </w:rPr>
  </w:style>
  <w:style w:type="character" w:customStyle="1" w:styleId="28">
    <w:name w:val="标题 8 Char"/>
    <w:basedOn w:val="16"/>
    <w:link w:val="9"/>
    <w:qFormat/>
    <w:locked/>
    <w:uiPriority w:val="99"/>
    <w:rPr>
      <w:rFonts w:ascii="Cambria" w:hAnsi="Cambria" w:eastAsia="宋体" w:cs="Cambria"/>
      <w:color w:val="4F81BD"/>
      <w:sz w:val="20"/>
      <w:szCs w:val="20"/>
    </w:rPr>
  </w:style>
  <w:style w:type="character" w:customStyle="1" w:styleId="29">
    <w:name w:val="标题 9 Char"/>
    <w:basedOn w:val="16"/>
    <w:link w:val="10"/>
    <w:qFormat/>
    <w:locked/>
    <w:uiPriority w:val="99"/>
    <w:rPr>
      <w:rFonts w:ascii="Cambria" w:hAnsi="Cambria" w:eastAsia="宋体" w:cs="Cambria"/>
      <w:i/>
      <w:iCs/>
      <w:color w:val="404040"/>
      <w:sz w:val="20"/>
      <w:szCs w:val="20"/>
    </w:rPr>
  </w:style>
  <w:style w:type="character" w:customStyle="1" w:styleId="30">
    <w:name w:val="标题 Char"/>
    <w:basedOn w:val="16"/>
    <w:link w:val="15"/>
    <w:qFormat/>
    <w:locked/>
    <w:uiPriority w:val="99"/>
    <w:rPr>
      <w:rFonts w:ascii="Cambria" w:hAnsi="Cambria" w:eastAsia="宋体" w:cs="Cambria"/>
      <w:color w:val="17365D"/>
      <w:spacing w:val="5"/>
      <w:kern w:val="28"/>
      <w:sz w:val="52"/>
      <w:szCs w:val="52"/>
    </w:rPr>
  </w:style>
  <w:style w:type="character" w:customStyle="1" w:styleId="31">
    <w:name w:val="副标题 Char"/>
    <w:basedOn w:val="16"/>
    <w:link w:val="14"/>
    <w:qFormat/>
    <w:locked/>
    <w:uiPriority w:val="99"/>
    <w:rPr>
      <w:rFonts w:ascii="Cambria" w:hAnsi="Cambria" w:eastAsia="宋体" w:cs="Cambria"/>
      <w:i/>
      <w:iCs/>
      <w:color w:val="4F81BD"/>
      <w:spacing w:val="15"/>
      <w:sz w:val="24"/>
      <w:szCs w:val="24"/>
    </w:rPr>
  </w:style>
  <w:style w:type="paragraph" w:customStyle="1" w:styleId="32">
    <w:name w:val="无间隔1"/>
    <w:qFormat/>
    <w:uiPriority w:val="99"/>
    <w:rPr>
      <w:rFonts w:ascii="Calibri" w:hAnsi="Calibri" w:eastAsia="宋体" w:cs="Calibri"/>
      <w:sz w:val="22"/>
      <w:szCs w:val="22"/>
      <w:lang w:val="en-US" w:eastAsia="en-US" w:bidi="ar-SA"/>
    </w:rPr>
  </w:style>
  <w:style w:type="paragraph" w:customStyle="1" w:styleId="33">
    <w:name w:val="列出段落1"/>
    <w:basedOn w:val="1"/>
    <w:qFormat/>
    <w:uiPriority w:val="99"/>
    <w:pPr>
      <w:ind w:left="720"/>
    </w:pPr>
  </w:style>
  <w:style w:type="paragraph" w:customStyle="1" w:styleId="34">
    <w:name w:val="引用1"/>
    <w:basedOn w:val="1"/>
    <w:next w:val="1"/>
    <w:link w:val="35"/>
    <w:qFormat/>
    <w:uiPriority w:val="99"/>
    <w:rPr>
      <w:i/>
      <w:iCs/>
      <w:color w:val="000000"/>
    </w:rPr>
  </w:style>
  <w:style w:type="character" w:customStyle="1" w:styleId="35">
    <w:name w:val="引用 Char"/>
    <w:basedOn w:val="16"/>
    <w:link w:val="34"/>
    <w:qFormat/>
    <w:locked/>
    <w:uiPriority w:val="99"/>
    <w:rPr>
      <w:i/>
      <w:iCs/>
      <w:color w:val="000000"/>
    </w:rPr>
  </w:style>
  <w:style w:type="paragraph" w:customStyle="1" w:styleId="36">
    <w:name w:val="明显引用1"/>
    <w:basedOn w:val="1"/>
    <w:next w:val="1"/>
    <w:link w:val="37"/>
    <w:qFormat/>
    <w:uiPriority w:val="99"/>
    <w:pPr>
      <w:pBdr>
        <w:bottom w:val="single" w:color="4F81BD" w:sz="4" w:space="4"/>
      </w:pBdr>
      <w:spacing w:before="200" w:after="280"/>
      <w:ind w:left="936" w:right="936"/>
    </w:pPr>
    <w:rPr>
      <w:b/>
      <w:bCs/>
      <w:i/>
      <w:iCs/>
      <w:color w:val="4F81BD"/>
    </w:rPr>
  </w:style>
  <w:style w:type="character" w:customStyle="1" w:styleId="37">
    <w:name w:val="明显引用 Char"/>
    <w:basedOn w:val="16"/>
    <w:link w:val="36"/>
    <w:qFormat/>
    <w:locked/>
    <w:uiPriority w:val="99"/>
    <w:rPr>
      <w:b/>
      <w:bCs/>
      <w:i/>
      <w:iCs/>
      <w:color w:val="4F81BD"/>
    </w:rPr>
  </w:style>
  <w:style w:type="character" w:customStyle="1" w:styleId="38">
    <w:name w:val="不明显强调1"/>
    <w:basedOn w:val="16"/>
    <w:qFormat/>
    <w:uiPriority w:val="99"/>
    <w:rPr>
      <w:i/>
      <w:iCs/>
      <w:color w:val="808080"/>
    </w:rPr>
  </w:style>
  <w:style w:type="character" w:customStyle="1" w:styleId="39">
    <w:name w:val="明显强调1"/>
    <w:basedOn w:val="16"/>
    <w:qFormat/>
    <w:uiPriority w:val="99"/>
    <w:rPr>
      <w:b/>
      <w:bCs/>
      <w:i/>
      <w:iCs/>
      <w:color w:val="4F81BD"/>
    </w:rPr>
  </w:style>
  <w:style w:type="character" w:customStyle="1" w:styleId="40">
    <w:name w:val="不明显参考1"/>
    <w:basedOn w:val="16"/>
    <w:qFormat/>
    <w:uiPriority w:val="99"/>
    <w:rPr>
      <w:smallCaps/>
      <w:color w:val="auto"/>
      <w:u w:val="single"/>
    </w:rPr>
  </w:style>
  <w:style w:type="character" w:customStyle="1" w:styleId="41">
    <w:name w:val="明显参考1"/>
    <w:basedOn w:val="16"/>
    <w:qFormat/>
    <w:uiPriority w:val="99"/>
    <w:rPr>
      <w:b/>
      <w:bCs/>
      <w:smallCaps/>
      <w:color w:val="auto"/>
      <w:spacing w:val="5"/>
      <w:u w:val="single"/>
    </w:rPr>
  </w:style>
  <w:style w:type="character" w:customStyle="1" w:styleId="42">
    <w:name w:val="书籍标题1"/>
    <w:basedOn w:val="16"/>
    <w:qFormat/>
    <w:uiPriority w:val="99"/>
    <w:rPr>
      <w:b/>
      <w:bCs/>
      <w:smallCaps/>
      <w:spacing w:val="5"/>
    </w:rPr>
  </w:style>
  <w:style w:type="paragraph" w:customStyle="1" w:styleId="43">
    <w:name w:val="TOC 标题1"/>
    <w:basedOn w:val="2"/>
    <w:next w:val="1"/>
    <w:qFormat/>
    <w:uiPriority w:val="99"/>
    <w:pPr>
      <w:outlineLvl w:val="9"/>
    </w:pPr>
  </w:style>
  <w:style w:type="character" w:customStyle="1" w:styleId="44">
    <w:name w:val="页眉 Char"/>
    <w:basedOn w:val="16"/>
    <w:link w:val="13"/>
    <w:semiHidden/>
    <w:qFormat/>
    <w:locked/>
    <w:uiPriority w:val="99"/>
    <w:rPr>
      <w:sz w:val="18"/>
      <w:szCs w:val="18"/>
      <w:lang w:eastAsia="en-US"/>
    </w:rPr>
  </w:style>
  <w:style w:type="character" w:customStyle="1" w:styleId="45">
    <w:name w:val="页脚 Char"/>
    <w:basedOn w:val="16"/>
    <w:link w:val="12"/>
    <w:semiHidden/>
    <w:qFormat/>
    <w:locked/>
    <w:uiPriority w:val="99"/>
    <w:rPr>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53</Words>
  <Characters>306</Characters>
  <Lines>2</Lines>
  <Paragraphs>1</Paragraphs>
  <TotalTime>0</TotalTime>
  <ScaleCrop>false</ScaleCrop>
  <LinksUpToDate>false</LinksUpToDate>
  <CharactersWithSpaces>358</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2019-04-19T09:45:00Z</dcterms:created>
  <dc:creator>Lenovo</dc:creator>
  <cp:lastModifiedBy>北京市朝阳区统计局(拟稿)</cp:lastModifiedBy>
  <dcterms:modified xsi:type="dcterms:W3CDTF">2026-04-20T08:59:42Z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